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A32F90">
      <w:pPr>
        <w:ind w:firstLine="887"/>
        <w:jc w:val="center"/>
        <w:rPr>
          <w:rFonts w:hAnsi="宋体"/>
          <w:color w:val="auto"/>
          <w:sz w:val="44"/>
          <w:szCs w:val="44"/>
        </w:rPr>
      </w:pPr>
    </w:p>
    <w:p w14:paraId="334D5E08">
      <w:pPr>
        <w:pStyle w:val="2"/>
        <w:rPr>
          <w:color w:val="auto"/>
        </w:rPr>
      </w:pPr>
    </w:p>
    <w:p w14:paraId="08006183">
      <w:pPr>
        <w:ind w:firstLine="887"/>
        <w:rPr>
          <w:rFonts w:hAnsi="宋体"/>
          <w:color w:val="auto"/>
          <w:sz w:val="44"/>
          <w:szCs w:val="44"/>
        </w:rPr>
      </w:pPr>
    </w:p>
    <w:p w14:paraId="366AA67A">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b/>
          <w:bCs/>
          <w:color w:val="auto"/>
          <w:sz w:val="44"/>
          <w:szCs w:val="44"/>
          <w:lang w:val="en-US" w:eastAsia="zh-CN"/>
        </w:rPr>
      </w:pPr>
      <w:r>
        <w:rPr>
          <w:rFonts w:hint="eastAsia"/>
          <w:b/>
          <w:bCs/>
          <w:color w:val="auto"/>
          <w:sz w:val="44"/>
          <w:szCs w:val="44"/>
          <w:lang w:eastAsia="zh-CN"/>
        </w:rPr>
        <w:t>江西洪城水业环保有限公司资溪县分公司</w:t>
      </w:r>
    </w:p>
    <w:p w14:paraId="64849D26">
      <w:pPr>
        <w:keepNext w:val="0"/>
        <w:keepLines w:val="0"/>
        <w:pageBreakBefore w:val="0"/>
        <w:widowControl w:val="0"/>
        <w:kinsoku/>
        <w:wordWrap/>
        <w:overflowPunct/>
        <w:topLinePunct w:val="0"/>
        <w:autoSpaceDE/>
        <w:autoSpaceDN/>
        <w:bidi w:val="0"/>
        <w:adjustRightInd/>
        <w:spacing w:before="480" w:after="480"/>
        <w:ind w:left="0" w:leftChars="0" w:firstLine="0" w:firstLineChars="0"/>
        <w:jc w:val="center"/>
        <w:textAlignment w:val="auto"/>
        <w:rPr>
          <w:rFonts w:hint="eastAsia" w:ascii="宋体" w:hAnsi="宋体" w:eastAsia="宋体" w:cs="宋体"/>
          <w:b/>
          <w:bCs/>
          <w:color w:val="auto"/>
          <w:sz w:val="44"/>
          <w:szCs w:val="44"/>
        </w:rPr>
      </w:pPr>
      <w:r>
        <w:rPr>
          <w:rFonts w:hint="eastAsia" w:ascii="宋体" w:hAnsi="宋体" w:eastAsia="宋体" w:cs="宋体"/>
          <w:b/>
          <w:bCs/>
          <w:color w:val="auto"/>
          <w:sz w:val="44"/>
          <w:szCs w:val="44"/>
        </w:rPr>
        <w:t>突发环境事件应急预案</w:t>
      </w:r>
    </w:p>
    <w:p w14:paraId="3DCB2581">
      <w:pPr>
        <w:keepNext w:val="0"/>
        <w:keepLines w:val="0"/>
        <w:pageBreakBefore w:val="0"/>
        <w:widowControl w:val="0"/>
        <w:kinsoku/>
        <w:wordWrap/>
        <w:overflowPunct/>
        <w:topLinePunct w:val="0"/>
        <w:autoSpaceDE/>
        <w:autoSpaceDN/>
        <w:bidi w:val="0"/>
        <w:adjustRightInd/>
        <w:spacing w:before="480" w:after="480"/>
        <w:ind w:left="0" w:leftChars="0" w:firstLine="0" w:firstLineChars="0"/>
        <w:jc w:val="center"/>
        <w:textAlignment w:val="auto"/>
        <w:rPr>
          <w:rFonts w:hint="eastAsia" w:ascii="宋体" w:hAnsi="宋体" w:eastAsia="宋体" w:cs="宋体"/>
          <w:b/>
          <w:bCs/>
          <w:color w:val="auto"/>
          <w:sz w:val="44"/>
          <w:szCs w:val="44"/>
        </w:rPr>
      </w:pPr>
      <w:r>
        <w:rPr>
          <w:rFonts w:hint="eastAsia" w:ascii="宋体" w:hAnsi="宋体" w:eastAsia="宋体" w:cs="宋体"/>
          <w:b/>
          <w:bCs/>
          <w:color w:val="auto"/>
          <w:sz w:val="44"/>
          <w:szCs w:val="44"/>
        </w:rPr>
        <w:t>突发环境事件风险评估报告</w:t>
      </w:r>
    </w:p>
    <w:p w14:paraId="07D22105">
      <w:pPr>
        <w:keepNext w:val="0"/>
        <w:keepLines w:val="0"/>
        <w:pageBreakBefore w:val="0"/>
        <w:widowControl w:val="0"/>
        <w:kinsoku/>
        <w:wordWrap/>
        <w:overflowPunct/>
        <w:topLinePunct w:val="0"/>
        <w:autoSpaceDE/>
        <w:autoSpaceDN/>
        <w:bidi w:val="0"/>
        <w:adjustRightInd/>
        <w:spacing w:before="480" w:after="480"/>
        <w:ind w:left="0" w:leftChars="0" w:firstLine="0" w:firstLineChars="0"/>
        <w:jc w:val="center"/>
        <w:textAlignment w:val="auto"/>
        <w:rPr>
          <w:rFonts w:hint="eastAsia" w:ascii="宋体" w:hAnsi="宋体" w:eastAsia="宋体" w:cs="宋体"/>
          <w:b/>
          <w:bCs/>
          <w:color w:val="auto"/>
          <w:sz w:val="44"/>
          <w:szCs w:val="44"/>
        </w:rPr>
      </w:pPr>
      <w:r>
        <w:rPr>
          <w:rFonts w:hint="eastAsia" w:ascii="宋体" w:hAnsi="宋体" w:eastAsia="宋体" w:cs="宋体"/>
          <w:b/>
          <w:bCs/>
          <w:color w:val="auto"/>
          <w:sz w:val="44"/>
          <w:szCs w:val="44"/>
        </w:rPr>
        <w:t>突发环境事件应急资源调查报告</w:t>
      </w:r>
    </w:p>
    <w:p w14:paraId="46365018">
      <w:pPr>
        <w:ind w:left="0" w:leftChars="0" w:firstLine="0" w:firstLineChars="0"/>
        <w:jc w:val="center"/>
        <w:rPr>
          <w:rFonts w:hint="eastAsia" w:ascii="黑体" w:hAnsi="黑体" w:eastAsia="黑体" w:cs="黑体"/>
          <w:color w:val="auto"/>
          <w:sz w:val="32"/>
          <w:szCs w:val="32"/>
        </w:rPr>
      </w:pPr>
      <w:r>
        <w:rPr>
          <w:rFonts w:hint="eastAsia" w:ascii="黑体" w:hAnsi="黑体" w:eastAsia="黑体" w:cs="黑体"/>
          <w:color w:val="auto"/>
          <w:sz w:val="32"/>
          <w:szCs w:val="32"/>
        </w:rPr>
        <w:t>（合订本）</w:t>
      </w:r>
    </w:p>
    <w:p w14:paraId="2D094D8E">
      <w:pPr>
        <w:ind w:firstLine="887"/>
        <w:jc w:val="center"/>
        <w:rPr>
          <w:rFonts w:hAnsi="宋体"/>
          <w:color w:val="auto"/>
          <w:sz w:val="44"/>
          <w:szCs w:val="44"/>
        </w:rPr>
      </w:pPr>
    </w:p>
    <w:p w14:paraId="46AAA613">
      <w:pPr>
        <w:ind w:firstLine="887"/>
        <w:jc w:val="center"/>
        <w:rPr>
          <w:rFonts w:hAnsi="宋体"/>
          <w:color w:val="auto"/>
          <w:sz w:val="44"/>
          <w:szCs w:val="44"/>
        </w:rPr>
      </w:pPr>
    </w:p>
    <w:p w14:paraId="6A9DDEF2">
      <w:pPr>
        <w:ind w:firstLine="887"/>
        <w:jc w:val="center"/>
        <w:rPr>
          <w:rFonts w:hAnsi="宋体"/>
          <w:color w:val="auto"/>
          <w:sz w:val="44"/>
          <w:szCs w:val="44"/>
        </w:rPr>
      </w:pPr>
    </w:p>
    <w:p w14:paraId="0ADFCB53">
      <w:pPr>
        <w:ind w:firstLine="887"/>
        <w:jc w:val="center"/>
        <w:rPr>
          <w:rFonts w:hAnsi="宋体"/>
          <w:color w:val="auto"/>
          <w:sz w:val="44"/>
          <w:szCs w:val="44"/>
        </w:rPr>
      </w:pPr>
    </w:p>
    <w:p w14:paraId="2668F8A7">
      <w:pPr>
        <w:ind w:firstLine="887"/>
        <w:jc w:val="center"/>
        <w:rPr>
          <w:rFonts w:hAnsi="宋体"/>
          <w:color w:val="auto"/>
          <w:sz w:val="44"/>
          <w:szCs w:val="44"/>
        </w:rPr>
      </w:pPr>
    </w:p>
    <w:p w14:paraId="6D5EC5B7">
      <w:pPr>
        <w:ind w:firstLine="887"/>
        <w:jc w:val="center"/>
        <w:rPr>
          <w:rFonts w:hAnsi="宋体"/>
          <w:color w:val="auto"/>
          <w:sz w:val="44"/>
          <w:szCs w:val="44"/>
        </w:rPr>
      </w:pPr>
    </w:p>
    <w:p w14:paraId="684F2205">
      <w:pPr>
        <w:spacing w:before="240"/>
        <w:ind w:firstLine="887"/>
        <w:jc w:val="center"/>
        <w:rPr>
          <w:rFonts w:hAnsi="宋体"/>
          <w:color w:val="auto"/>
          <w:sz w:val="44"/>
          <w:szCs w:val="44"/>
        </w:rPr>
      </w:pPr>
    </w:p>
    <w:p w14:paraId="423819A5">
      <w:pPr>
        <w:pStyle w:val="2"/>
        <w:rPr>
          <w:color w:val="auto"/>
        </w:rPr>
      </w:pPr>
    </w:p>
    <w:p w14:paraId="6D80E8B6">
      <w:pPr>
        <w:spacing w:before="240"/>
        <w:ind w:firstLine="643"/>
        <w:jc w:val="center"/>
        <w:rPr>
          <w:rFonts w:hint="eastAsia" w:eastAsia="宋体"/>
          <w:b/>
          <w:bCs/>
          <w:color w:val="auto"/>
          <w:sz w:val="32"/>
          <w:szCs w:val="32"/>
          <w:lang w:eastAsia="zh-CN"/>
        </w:rPr>
      </w:pPr>
      <w:r>
        <w:rPr>
          <w:rFonts w:hint="eastAsia"/>
          <w:b/>
          <w:bCs/>
          <w:color w:val="auto"/>
          <w:sz w:val="32"/>
          <w:szCs w:val="32"/>
          <w:lang w:eastAsia="zh-CN"/>
        </w:rPr>
        <w:t>江西洪城水业环保有限公司资溪县分公司</w:t>
      </w:r>
    </w:p>
    <w:p w14:paraId="00A50416">
      <w:pPr>
        <w:pStyle w:val="31"/>
        <w:ind w:firstLine="643"/>
        <w:jc w:val="center"/>
        <w:rPr>
          <w:color w:val="auto"/>
        </w:rPr>
      </w:pPr>
      <w:r>
        <w:rPr>
          <w:rFonts w:cs="Times New Roman"/>
          <w:b/>
          <w:bCs/>
          <w:color w:val="auto"/>
          <w:sz w:val="32"/>
          <w:szCs w:val="32"/>
        </w:rPr>
        <w:t>20</w:t>
      </w:r>
      <w:r>
        <w:rPr>
          <w:rFonts w:hint="eastAsia" w:cs="Times New Roman"/>
          <w:b/>
          <w:bCs/>
          <w:color w:val="auto"/>
          <w:sz w:val="32"/>
          <w:szCs w:val="32"/>
          <w:lang w:val="en-US" w:eastAsia="zh-CN"/>
        </w:rPr>
        <w:t>24</w:t>
      </w:r>
      <w:r>
        <w:rPr>
          <w:rFonts w:cs="Times New Roman"/>
          <w:b/>
          <w:bCs/>
          <w:color w:val="auto"/>
          <w:sz w:val="32"/>
          <w:szCs w:val="32"/>
        </w:rPr>
        <w:t>年</w:t>
      </w:r>
      <w:r>
        <w:rPr>
          <w:rFonts w:hint="eastAsia" w:cs="Times New Roman"/>
          <w:b/>
          <w:bCs/>
          <w:color w:val="auto"/>
          <w:sz w:val="32"/>
          <w:szCs w:val="32"/>
          <w:lang w:val="en-US" w:eastAsia="zh-CN"/>
        </w:rPr>
        <w:t>7</w:t>
      </w:r>
      <w:r>
        <w:rPr>
          <w:rFonts w:cs="Times New Roman"/>
          <w:b/>
          <w:bCs/>
          <w:color w:val="auto"/>
          <w:sz w:val="32"/>
          <w:szCs w:val="32"/>
        </w:rPr>
        <w:t>月</w:t>
      </w:r>
    </w:p>
    <w:p w14:paraId="1895B125">
      <w:pPr>
        <w:pStyle w:val="31"/>
        <w:ind w:firstLine="0" w:firstLineChars="0"/>
        <w:jc w:val="center"/>
        <w:rPr>
          <w:b/>
          <w:bCs/>
          <w:color w:val="auto"/>
          <w:sz w:val="36"/>
          <w:szCs w:val="36"/>
        </w:rPr>
      </w:pPr>
    </w:p>
    <w:p w14:paraId="171E2A6B">
      <w:pPr>
        <w:pStyle w:val="31"/>
        <w:ind w:firstLine="0" w:firstLineChars="0"/>
        <w:jc w:val="center"/>
        <w:rPr>
          <w:rFonts w:hint="eastAsia"/>
          <w:b/>
          <w:bCs/>
          <w:color w:val="auto"/>
          <w:sz w:val="36"/>
          <w:szCs w:val="36"/>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16086A29">
      <w:pPr>
        <w:pStyle w:val="31"/>
        <w:ind w:firstLine="0" w:firstLineChars="0"/>
        <w:jc w:val="center"/>
        <w:rPr>
          <w:b/>
          <w:bCs/>
          <w:color w:val="auto"/>
          <w:sz w:val="36"/>
          <w:szCs w:val="36"/>
        </w:rPr>
      </w:pPr>
      <w:r>
        <w:rPr>
          <w:rFonts w:hint="eastAsia"/>
          <w:b/>
          <w:bCs/>
          <w:color w:val="auto"/>
          <w:sz w:val="36"/>
          <w:szCs w:val="36"/>
        </w:rPr>
        <w:t>发布公告</w:t>
      </w:r>
    </w:p>
    <w:p w14:paraId="23C45485">
      <w:pPr>
        <w:pStyle w:val="31"/>
        <w:rPr>
          <w:color w:val="auto"/>
        </w:rPr>
      </w:pPr>
    </w:p>
    <w:p w14:paraId="4DFEEB95">
      <w:pPr>
        <w:pStyle w:val="31"/>
        <w:rPr>
          <w:color w:val="auto"/>
        </w:rPr>
      </w:pPr>
    </w:p>
    <w:p w14:paraId="554F2FDB">
      <w:pPr>
        <w:pStyle w:val="31"/>
        <w:ind w:firstLine="560"/>
        <w:rPr>
          <w:color w:val="auto"/>
          <w:sz w:val="28"/>
          <w:szCs w:val="28"/>
        </w:rPr>
      </w:pPr>
      <w:r>
        <w:rPr>
          <w:rFonts w:hint="eastAsia"/>
          <w:color w:val="auto"/>
          <w:sz w:val="28"/>
          <w:szCs w:val="28"/>
        </w:rPr>
        <w:t>为贯彻落实《中华人民共和国环境保护法》、《中华人民共和国水污染防治法》、《突发环境时间应急预案管理办法》等法律、法规有关规定，建立健全</w:t>
      </w:r>
      <w:r>
        <w:rPr>
          <w:rFonts w:hint="eastAsia"/>
          <w:color w:val="auto"/>
          <w:sz w:val="28"/>
          <w:szCs w:val="28"/>
          <w:lang w:eastAsia="zh-CN"/>
        </w:rPr>
        <w:t>江西洪城水业环保有限公司资溪县分公司</w:t>
      </w:r>
      <w:r>
        <w:rPr>
          <w:rFonts w:hint="eastAsia"/>
          <w:color w:val="auto"/>
          <w:sz w:val="28"/>
          <w:szCs w:val="28"/>
        </w:rPr>
        <w:t>突发环境事件应急体系，确保污水厂在发生突发环境事件时，各项应急工作能够快速启动，高效有序，避免和最大限度地减轻突发环境事件对环境造成的危害，结合污水厂实际情况，制定了《</w:t>
      </w:r>
      <w:r>
        <w:rPr>
          <w:rFonts w:hint="eastAsia"/>
          <w:color w:val="auto"/>
          <w:sz w:val="28"/>
          <w:szCs w:val="28"/>
          <w:lang w:eastAsia="zh-CN"/>
        </w:rPr>
        <w:t>江西洪城水业环保有限公司资溪县分公司</w:t>
      </w:r>
      <w:r>
        <w:rPr>
          <w:rFonts w:hint="eastAsia"/>
          <w:color w:val="auto"/>
          <w:sz w:val="28"/>
          <w:szCs w:val="28"/>
        </w:rPr>
        <w:t>突发环境事件应急预案》。</w:t>
      </w:r>
    </w:p>
    <w:p w14:paraId="4A2E90EC">
      <w:pPr>
        <w:pStyle w:val="31"/>
        <w:ind w:firstLine="560"/>
        <w:rPr>
          <w:color w:val="auto"/>
        </w:rPr>
      </w:pPr>
      <w:r>
        <w:rPr>
          <w:rFonts w:hint="eastAsia"/>
          <w:color w:val="auto"/>
          <w:sz w:val="28"/>
          <w:szCs w:val="28"/>
        </w:rPr>
        <w:t>《</w:t>
      </w:r>
      <w:r>
        <w:rPr>
          <w:rFonts w:hint="eastAsia"/>
          <w:color w:val="auto"/>
          <w:sz w:val="28"/>
          <w:szCs w:val="28"/>
          <w:lang w:eastAsia="zh-CN"/>
        </w:rPr>
        <w:t>江西洪城水业环保有限公司资溪县分公司</w:t>
      </w:r>
      <w:r>
        <w:rPr>
          <w:rFonts w:hint="eastAsia"/>
          <w:color w:val="auto"/>
          <w:sz w:val="28"/>
          <w:szCs w:val="28"/>
        </w:rPr>
        <w:t>突发环境事件应急预案》现批准发布，自发布之日起实施。</w:t>
      </w:r>
    </w:p>
    <w:p w14:paraId="7512E9E5">
      <w:pPr>
        <w:pStyle w:val="31"/>
        <w:rPr>
          <w:color w:val="auto"/>
        </w:rPr>
      </w:pPr>
    </w:p>
    <w:p w14:paraId="54935210">
      <w:pPr>
        <w:pStyle w:val="31"/>
        <w:rPr>
          <w:color w:val="auto"/>
        </w:rPr>
      </w:pPr>
    </w:p>
    <w:p w14:paraId="67597057">
      <w:pPr>
        <w:pStyle w:val="31"/>
        <w:rPr>
          <w:color w:val="auto"/>
        </w:rPr>
      </w:pPr>
    </w:p>
    <w:p w14:paraId="0E3C05CF">
      <w:pPr>
        <w:pStyle w:val="31"/>
        <w:jc w:val="right"/>
        <w:rPr>
          <w:rFonts w:hint="eastAsia"/>
          <w:color w:val="auto"/>
          <w:sz w:val="28"/>
          <w:szCs w:val="28"/>
          <w:lang w:eastAsia="zh-CN"/>
        </w:rPr>
      </w:pPr>
      <w:r>
        <w:rPr>
          <w:rFonts w:hint="eastAsia"/>
          <w:color w:val="auto"/>
          <w:sz w:val="28"/>
          <w:szCs w:val="28"/>
          <w:lang w:eastAsia="zh-CN"/>
        </w:rPr>
        <w:t>江西洪城水业环保有限公司资溪县分公司</w:t>
      </w:r>
    </w:p>
    <w:p w14:paraId="524D2523">
      <w:pPr>
        <w:pStyle w:val="31"/>
        <w:ind w:firstLine="5600" w:firstLineChars="2000"/>
        <w:rPr>
          <w:color w:val="auto"/>
          <w:sz w:val="28"/>
          <w:szCs w:val="28"/>
        </w:rPr>
      </w:pPr>
      <w:r>
        <w:rPr>
          <w:rFonts w:hint="eastAsia"/>
          <w:color w:val="auto"/>
          <w:sz w:val="28"/>
          <w:szCs w:val="28"/>
          <w:lang w:val="en-US" w:eastAsia="zh-CN"/>
        </w:rPr>
        <w:t>2024</w:t>
      </w:r>
      <w:r>
        <w:rPr>
          <w:rFonts w:hint="eastAsia"/>
          <w:color w:val="auto"/>
          <w:sz w:val="28"/>
          <w:szCs w:val="28"/>
        </w:rPr>
        <w:t xml:space="preserve">年 </w:t>
      </w:r>
      <w:r>
        <w:rPr>
          <w:rFonts w:hint="eastAsia"/>
          <w:color w:val="auto"/>
          <w:sz w:val="28"/>
          <w:szCs w:val="28"/>
          <w:lang w:val="en-US" w:eastAsia="zh-CN"/>
        </w:rPr>
        <w:t>7</w:t>
      </w:r>
      <w:r>
        <w:rPr>
          <w:rFonts w:hint="eastAsia"/>
          <w:color w:val="auto"/>
          <w:sz w:val="28"/>
          <w:szCs w:val="28"/>
        </w:rPr>
        <w:t xml:space="preserve"> 月 </w:t>
      </w:r>
      <w:r>
        <w:rPr>
          <w:rFonts w:hint="eastAsia"/>
          <w:color w:val="auto"/>
          <w:sz w:val="28"/>
          <w:szCs w:val="28"/>
          <w:lang w:val="en-US" w:eastAsia="zh-CN"/>
        </w:rPr>
        <w:t>25</w:t>
      </w:r>
      <w:r>
        <w:rPr>
          <w:rFonts w:hint="eastAsia"/>
          <w:color w:val="auto"/>
          <w:sz w:val="28"/>
          <w:szCs w:val="28"/>
        </w:rPr>
        <w:t xml:space="preserve"> 日</w:t>
      </w:r>
    </w:p>
    <w:p w14:paraId="35CEEA9B">
      <w:pPr>
        <w:topLinePunct/>
        <w:spacing w:line="500" w:lineRule="exact"/>
        <w:ind w:right="560"/>
        <w:jc w:val="right"/>
        <w:rPr>
          <w:rFonts w:hAnsi="宋体"/>
          <w:bCs/>
          <w:snapToGrid w:val="0"/>
          <w:color w:val="auto"/>
          <w:kern w:val="0"/>
          <w:szCs w:val="25"/>
        </w:rPr>
      </w:pPr>
    </w:p>
    <w:p w14:paraId="53F5A959">
      <w:pPr>
        <w:pageBreakBefore w:val="0"/>
        <w:widowControl w:val="0"/>
        <w:kinsoku/>
        <w:wordWrap/>
        <w:overflowPunct/>
        <w:topLinePunct w:val="0"/>
        <w:autoSpaceDE/>
        <w:autoSpaceDN/>
        <w:bidi w:val="0"/>
        <w:adjustRightInd/>
        <w:snapToGrid w:val="0"/>
        <w:ind w:left="0" w:leftChars="0" w:firstLine="0" w:firstLineChars="0"/>
        <w:jc w:val="center"/>
        <w:textAlignment w:val="auto"/>
        <w:outlineLvl w:val="9"/>
        <w:rPr>
          <w:rFonts w:hint="eastAsia" w:ascii="Times New Roman" w:hAnsi="Times New Roman" w:eastAsia="方正小标宋简体" w:cs="Times New Roman"/>
          <w:color w:val="auto"/>
          <w:sz w:val="44"/>
          <w:szCs w:val="44"/>
          <w:lang w:val="en-US" w:eastAsia="zh-CN"/>
        </w:rPr>
        <w:sectPr>
          <w:footerReference r:id="rId7" w:type="default"/>
          <w:pgSz w:w="11906" w:h="16838"/>
          <w:pgMar w:top="1440" w:right="1417" w:bottom="1440" w:left="1417"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5CAEE282">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outlineLvl w:val="9"/>
        <w:rPr>
          <w:rFonts w:hint="default" w:ascii="Times New Roman" w:hAnsi="Times New Roman" w:eastAsia="方正小标宋简体" w:cs="Times New Roman"/>
          <w:color w:val="auto"/>
          <w:sz w:val="44"/>
          <w:szCs w:val="44"/>
          <w:lang w:eastAsia="zh-CN"/>
        </w:rPr>
      </w:pPr>
      <w:r>
        <w:rPr>
          <w:rFonts w:hint="eastAsia" w:eastAsia="方正小标宋简体" w:cs="Times New Roman"/>
          <w:color w:val="auto"/>
          <w:sz w:val="44"/>
          <w:szCs w:val="44"/>
          <w:lang w:val="en-US" w:eastAsia="zh-CN"/>
        </w:rPr>
        <w:t>江西洪城水业环保有限公司资溪县分公司</w:t>
      </w:r>
    </w:p>
    <w:p w14:paraId="33E41765">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outlineLvl w:val="9"/>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rPr>
        <w:t>突发环境事件应急预案编制说明</w:t>
      </w:r>
    </w:p>
    <w:p w14:paraId="01484893">
      <w:pPr>
        <w:pStyle w:val="9"/>
        <w:keepNext w:val="0"/>
        <w:keepLines w:val="0"/>
        <w:pageBreakBefore w:val="0"/>
        <w:widowControl w:val="0"/>
        <w:kinsoku/>
        <w:wordWrap/>
        <w:overflowPunct/>
        <w:topLinePunct w:val="0"/>
        <w:bidi w:val="0"/>
        <w:adjustRightInd/>
        <w:spacing w:line="560" w:lineRule="exact"/>
        <w:ind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为规范突发环境事件事发后的应对工作，提高事件应对能力，避免或减轻突发环境事件影响，加强企业与政府应对工作衔接。根据相关法律法规以及技术规范的要求，结合本单位的实际运行情况，建立健全各项环保规章制度并融入到生产经营管理之中。公司历来重视环境突发事件应急队伍建设和应急工作机制的健全与完善，在20</w:t>
      </w:r>
      <w:r>
        <w:rPr>
          <w:rFonts w:hint="eastAsia" w:ascii="Times New Roman" w:hAnsi="Times New Roman" w:eastAsia="仿宋_GB2312" w:cs="Times New Roman"/>
          <w:color w:val="auto"/>
          <w:sz w:val="32"/>
          <w:szCs w:val="32"/>
          <w:lang w:val="en-US" w:eastAsia="zh-CN"/>
        </w:rPr>
        <w:t>21</w:t>
      </w:r>
      <w:r>
        <w:rPr>
          <w:rFonts w:hint="default" w:ascii="Times New Roman" w:hAnsi="Times New Roman" w:eastAsia="仿宋_GB2312" w:cs="Times New Roman"/>
          <w:color w:val="auto"/>
          <w:sz w:val="32"/>
          <w:szCs w:val="32"/>
        </w:rPr>
        <w:t>年编制、发布了《</w:t>
      </w:r>
      <w:r>
        <w:rPr>
          <w:rFonts w:hint="eastAsia" w:ascii="Times New Roman" w:hAnsi="Times New Roman" w:eastAsia="仿宋_GB2312" w:cs="Times New Roman"/>
          <w:color w:val="auto"/>
          <w:sz w:val="32"/>
          <w:szCs w:val="32"/>
          <w:lang w:val="en-US" w:eastAsia="zh-CN"/>
        </w:rPr>
        <w:t>江西洪城水业环保有限公司资溪县分公司</w:t>
      </w:r>
      <w:r>
        <w:rPr>
          <w:rFonts w:hint="default" w:ascii="Times New Roman" w:hAnsi="Times New Roman" w:eastAsia="仿宋_GB2312" w:cs="Times New Roman"/>
          <w:color w:val="auto"/>
          <w:sz w:val="32"/>
          <w:szCs w:val="32"/>
        </w:rPr>
        <w:t>突发环境事件应急预案》</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并在</w:t>
      </w:r>
      <w:r>
        <w:rPr>
          <w:rFonts w:hint="eastAsia" w:ascii="Times New Roman" w:hAnsi="Times New Roman" w:eastAsia="仿宋_GB2312" w:cs="Times New Roman"/>
          <w:color w:val="auto"/>
          <w:sz w:val="32"/>
          <w:szCs w:val="32"/>
          <w:lang w:eastAsia="zh-CN"/>
        </w:rPr>
        <w:t>抚州市资溪生态环境局</w:t>
      </w:r>
      <w:r>
        <w:rPr>
          <w:rFonts w:hint="default" w:ascii="Times New Roman" w:hAnsi="Times New Roman" w:eastAsia="仿宋_GB2312" w:cs="Times New Roman"/>
          <w:color w:val="auto"/>
          <w:sz w:val="32"/>
          <w:szCs w:val="32"/>
        </w:rPr>
        <w:t>进行备案。公司在此后的3年运行中不断演练、完善，有效预防了各类环境污染事故和安全生产事故，保障了公司的健康可持续发展。</w:t>
      </w:r>
    </w:p>
    <w:p w14:paraId="641F3B9C">
      <w:pPr>
        <w:pStyle w:val="9"/>
        <w:keepNext w:val="0"/>
        <w:keepLines w:val="0"/>
        <w:pageBreakBefore w:val="0"/>
        <w:widowControl w:val="0"/>
        <w:kinsoku/>
        <w:wordWrap/>
        <w:overflowPunct/>
        <w:topLinePunct w:val="0"/>
        <w:bidi w:val="0"/>
        <w:adjustRightInd/>
        <w:spacing w:line="560" w:lineRule="exact"/>
        <w:ind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根据《中华人民共和国突发事件应对法》、《突发环境事件应急预案管理办法》等法规要求，对20</w:t>
      </w:r>
      <w:r>
        <w:rPr>
          <w:rFonts w:hint="eastAsia" w:ascii="Times New Roman" w:hAnsi="Times New Roman" w:eastAsia="仿宋_GB2312" w:cs="Times New Roman"/>
          <w:color w:val="auto"/>
          <w:sz w:val="32"/>
          <w:szCs w:val="32"/>
          <w:lang w:val="en-US" w:eastAsia="zh-CN"/>
        </w:rPr>
        <w:t>21</w:t>
      </w:r>
      <w:r>
        <w:rPr>
          <w:rFonts w:hint="default" w:ascii="Times New Roman" w:hAnsi="Times New Roman" w:eastAsia="仿宋_GB2312" w:cs="Times New Roman"/>
          <w:color w:val="auto"/>
          <w:sz w:val="32"/>
          <w:szCs w:val="32"/>
        </w:rPr>
        <w:t>年</w:t>
      </w:r>
      <w:r>
        <w:rPr>
          <w:rFonts w:hint="eastAsia" w:ascii="Times New Roman" w:hAnsi="Times New Roman" w:eastAsia="仿宋_GB2312" w:cs="Times New Roman"/>
          <w:color w:val="auto"/>
          <w:sz w:val="32"/>
          <w:szCs w:val="32"/>
          <w:lang w:eastAsia="zh-CN"/>
        </w:rPr>
        <w:t>版本</w:t>
      </w:r>
      <w:r>
        <w:rPr>
          <w:rFonts w:hint="default" w:ascii="Times New Roman" w:hAnsi="Times New Roman" w:eastAsia="仿宋_GB2312" w:cs="Times New Roman"/>
          <w:color w:val="auto"/>
          <w:sz w:val="32"/>
          <w:szCs w:val="32"/>
        </w:rPr>
        <w:t>应急预案进行再次修编。首先成立了以</w:t>
      </w:r>
      <w:r>
        <w:rPr>
          <w:rFonts w:hint="eastAsia" w:ascii="Times New Roman" w:hAnsi="Times New Roman" w:eastAsia="仿宋_GB2312" w:cs="Times New Roman"/>
          <w:color w:val="auto"/>
          <w:sz w:val="32"/>
          <w:szCs w:val="32"/>
          <w:lang w:eastAsia="zh-CN"/>
        </w:rPr>
        <w:t>汪桂萍</w:t>
      </w:r>
      <w:r>
        <w:rPr>
          <w:rFonts w:hint="default" w:ascii="Times New Roman" w:hAnsi="Times New Roman" w:eastAsia="仿宋_GB2312" w:cs="Times New Roman"/>
          <w:color w:val="auto"/>
          <w:sz w:val="32"/>
          <w:szCs w:val="32"/>
        </w:rPr>
        <w:t>为组长的修编工作组，其次在认真研究根据环保和安全生产的新要求，对照原有预案进行全面梳理，查找</w:t>
      </w:r>
      <w:r>
        <w:rPr>
          <w:rFonts w:hint="eastAsia" w:ascii="Times New Roman" w:hAnsi="Times New Roman" w:eastAsia="仿宋_GB2312" w:cs="Times New Roman"/>
          <w:color w:val="auto"/>
          <w:sz w:val="32"/>
          <w:szCs w:val="32"/>
          <w:lang w:eastAsia="zh-CN"/>
        </w:rPr>
        <w:t>上一版</w:t>
      </w:r>
      <w:r>
        <w:rPr>
          <w:rFonts w:hint="default" w:ascii="Times New Roman" w:hAnsi="Times New Roman" w:eastAsia="仿宋_GB2312" w:cs="Times New Roman"/>
          <w:color w:val="auto"/>
          <w:sz w:val="32"/>
          <w:szCs w:val="32"/>
        </w:rPr>
        <w:t>应急预案的不适宜和不完善之处，再次开展本公司现状应急资源调查和环境风险评估，依据评估结果进行全面修订完善，形成了新版应急预案。编制</w:t>
      </w:r>
      <w:r>
        <w:rPr>
          <w:rFonts w:hint="eastAsia" w:ascii="Times New Roman" w:hAnsi="Times New Roman" w:eastAsia="仿宋_GB2312" w:cs="Times New Roman"/>
          <w:color w:val="auto"/>
          <w:sz w:val="32"/>
          <w:szCs w:val="32"/>
          <w:lang w:eastAsia="zh-CN"/>
        </w:rPr>
        <w:t>新</w:t>
      </w:r>
      <w:r>
        <w:rPr>
          <w:rFonts w:hint="default" w:ascii="Times New Roman" w:hAnsi="Times New Roman" w:eastAsia="仿宋_GB2312" w:cs="Times New Roman"/>
          <w:color w:val="auto"/>
          <w:sz w:val="32"/>
          <w:szCs w:val="32"/>
        </w:rPr>
        <w:t>版《</w:t>
      </w:r>
      <w:r>
        <w:rPr>
          <w:rFonts w:hint="eastAsia" w:ascii="Times New Roman" w:hAnsi="Times New Roman" w:eastAsia="仿宋_GB2312" w:cs="Times New Roman"/>
          <w:color w:val="auto"/>
          <w:sz w:val="32"/>
          <w:szCs w:val="32"/>
          <w:lang w:val="en-US" w:eastAsia="zh-CN"/>
        </w:rPr>
        <w:t>江西洪城水业环保有限公司资溪县分公司</w:t>
      </w:r>
      <w:r>
        <w:rPr>
          <w:rFonts w:hint="default" w:ascii="Times New Roman" w:hAnsi="Times New Roman" w:eastAsia="仿宋_GB2312" w:cs="Times New Roman"/>
          <w:color w:val="auto"/>
          <w:sz w:val="32"/>
          <w:szCs w:val="32"/>
        </w:rPr>
        <w:t>突发环境事件应急预案》</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预案编制完成后聘请省内环境应急专家进行评估，经评审合格并修改完成后，送</w:t>
      </w:r>
      <w:r>
        <w:rPr>
          <w:rFonts w:hint="eastAsia" w:ascii="Times New Roman" w:hAnsi="Times New Roman" w:eastAsia="仿宋_GB2312" w:cs="Times New Roman"/>
          <w:color w:val="auto"/>
          <w:sz w:val="32"/>
          <w:szCs w:val="32"/>
          <w:lang w:eastAsia="zh-CN"/>
        </w:rPr>
        <w:t>抚州市资溪生态环境局</w:t>
      </w:r>
      <w:r>
        <w:rPr>
          <w:rFonts w:hint="default" w:ascii="Times New Roman" w:hAnsi="Times New Roman" w:eastAsia="仿宋_GB2312" w:cs="Times New Roman"/>
          <w:color w:val="auto"/>
          <w:sz w:val="32"/>
          <w:szCs w:val="32"/>
        </w:rPr>
        <w:t>备案。</w:t>
      </w:r>
    </w:p>
    <w:p w14:paraId="1EB11594">
      <w:pPr>
        <w:pStyle w:val="9"/>
        <w:keepNext w:val="0"/>
        <w:keepLines w:val="0"/>
        <w:pageBreakBefore w:val="0"/>
        <w:widowControl w:val="0"/>
        <w:kinsoku/>
        <w:wordWrap/>
        <w:overflowPunct/>
        <w:topLinePunct w:val="0"/>
        <w:bidi w:val="0"/>
        <w:adjustRightInd/>
        <w:spacing w:line="560" w:lineRule="exact"/>
        <w:ind w:left="0" w:leftChars="0" w:firstLine="0" w:firstLineChars="0"/>
        <w:jc w:val="both"/>
        <w:textAlignment w:val="auto"/>
        <w:outlineLvl w:val="9"/>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一、应急预案编制过程</w:t>
      </w:r>
    </w:p>
    <w:p w14:paraId="3B34BFB2">
      <w:pPr>
        <w:pStyle w:val="9"/>
        <w:keepNext w:val="0"/>
        <w:keepLines w:val="0"/>
        <w:pageBreakBefore w:val="0"/>
        <w:widowControl w:val="0"/>
        <w:kinsoku/>
        <w:wordWrap/>
        <w:overflowPunct/>
        <w:topLinePunct w:val="0"/>
        <w:bidi w:val="0"/>
        <w:adjustRightInd/>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（1）根据《企业事业单位突发环境事件应急预案备案管理办法（试行）》的要求，公司成立了应急预案编制小组，由</w:t>
      </w:r>
      <w:r>
        <w:rPr>
          <w:rFonts w:hint="eastAsia" w:ascii="Times New Roman" w:hAnsi="Times New Roman" w:eastAsia="仿宋_GB2312" w:cs="Times New Roman"/>
          <w:color w:val="auto"/>
          <w:sz w:val="32"/>
          <w:szCs w:val="32"/>
          <w:lang w:val="en-US" w:eastAsia="zh-CN"/>
        </w:rPr>
        <w:t>企业法人</w:t>
      </w:r>
      <w:r>
        <w:rPr>
          <w:rFonts w:hint="default" w:ascii="Times New Roman" w:hAnsi="Times New Roman" w:eastAsia="仿宋_GB2312" w:cs="Times New Roman"/>
          <w:color w:val="auto"/>
          <w:sz w:val="32"/>
          <w:szCs w:val="32"/>
        </w:rPr>
        <w:t>为</w:t>
      </w:r>
      <w:r>
        <w:rPr>
          <w:rFonts w:hint="default" w:ascii="Times New Roman" w:hAnsi="Times New Roman" w:eastAsia="仿宋_GB2312" w:cs="Times New Roman"/>
          <w:color w:val="auto"/>
          <w:sz w:val="32"/>
          <w:szCs w:val="32"/>
          <w:lang w:val="en-US"/>
        </w:rPr>
        <w:t>组长</w:t>
      </w:r>
      <w:r>
        <w:rPr>
          <w:rFonts w:hint="default" w:ascii="Times New Roman" w:hAnsi="Times New Roman" w:eastAsia="仿宋_GB2312" w:cs="Times New Roman"/>
          <w:color w:val="auto"/>
          <w:sz w:val="32"/>
          <w:szCs w:val="32"/>
        </w:rPr>
        <w:t>并担任突发环境事件应急总指挥；</w:t>
      </w:r>
      <w:r>
        <w:rPr>
          <w:rFonts w:hint="default" w:ascii="Times New Roman" w:hAnsi="Times New Roman" w:eastAsia="仿宋_GB2312" w:cs="Times New Roman"/>
          <w:color w:val="auto"/>
          <w:spacing w:val="-6"/>
          <w:sz w:val="32"/>
          <w:szCs w:val="32"/>
        </w:rPr>
        <w:t>组织车间相关人员，并</w:t>
      </w:r>
      <w:r>
        <w:rPr>
          <w:rFonts w:hint="default" w:ascii="Times New Roman" w:hAnsi="Times New Roman" w:eastAsia="仿宋_GB2312" w:cs="Times New Roman"/>
          <w:color w:val="auto"/>
          <w:spacing w:val="-6"/>
          <w:sz w:val="32"/>
          <w:szCs w:val="32"/>
          <w:lang w:val="en-US"/>
        </w:rPr>
        <w:t>委托</w:t>
      </w:r>
      <w:r>
        <w:rPr>
          <w:rFonts w:hint="default" w:ascii="Times New Roman" w:hAnsi="Times New Roman" w:eastAsia="仿宋_GB2312" w:cs="Times New Roman"/>
          <w:color w:val="auto"/>
          <w:spacing w:val="-6"/>
          <w:sz w:val="32"/>
          <w:szCs w:val="32"/>
        </w:rPr>
        <w:t>相关技术人员组成编制小组。</w:t>
      </w:r>
    </w:p>
    <w:p w14:paraId="58295748">
      <w:pPr>
        <w:pStyle w:val="9"/>
        <w:keepNext w:val="0"/>
        <w:keepLines w:val="0"/>
        <w:pageBreakBefore w:val="0"/>
        <w:widowControl w:val="0"/>
        <w:kinsoku/>
        <w:wordWrap/>
        <w:overflowPunct/>
        <w:topLinePunct w:val="0"/>
        <w:bidi w:val="0"/>
        <w:adjustRightInd/>
        <w:spacing w:line="560" w:lineRule="exact"/>
        <w:ind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（2）编制小组对公司及其周边进行全面调查，仔细排查和分析评估危险源；掌握厂区附近企业、居民区等环境敏感点具体位置等；对环境敏感目标防范环境风险的防控措施与管理制度进行全面分析与评估，</w:t>
      </w:r>
      <w:r>
        <w:rPr>
          <w:rFonts w:hint="default" w:ascii="Times New Roman" w:hAnsi="Times New Roman" w:eastAsia="仿宋_GB2312" w:cs="Times New Roman"/>
          <w:color w:val="auto"/>
          <w:sz w:val="32"/>
          <w:szCs w:val="32"/>
          <w:lang w:val="en-US"/>
        </w:rPr>
        <w:t>并编制了《</w:t>
      </w:r>
      <w:r>
        <w:rPr>
          <w:rFonts w:hint="eastAsia" w:ascii="Times New Roman" w:hAnsi="Times New Roman" w:eastAsia="仿宋_GB2312" w:cs="Times New Roman"/>
          <w:color w:val="auto"/>
          <w:sz w:val="32"/>
          <w:szCs w:val="32"/>
          <w:lang w:val="en-US" w:eastAsia="zh-CN"/>
        </w:rPr>
        <w:t>江西洪城水业环保有限公司资溪县分公司</w:t>
      </w:r>
      <w:r>
        <w:rPr>
          <w:rFonts w:hint="default" w:ascii="Times New Roman" w:hAnsi="Times New Roman" w:eastAsia="仿宋_GB2312" w:cs="Times New Roman"/>
          <w:color w:val="auto"/>
          <w:sz w:val="32"/>
          <w:szCs w:val="32"/>
          <w:lang w:val="en-US"/>
        </w:rPr>
        <w:t>环境风险评估报告》</w:t>
      </w:r>
      <w:r>
        <w:rPr>
          <w:rFonts w:hint="default" w:ascii="Times New Roman" w:hAnsi="Times New Roman" w:eastAsia="仿宋_GB2312" w:cs="Times New Roman"/>
          <w:color w:val="auto"/>
          <w:sz w:val="32"/>
          <w:szCs w:val="32"/>
        </w:rPr>
        <w:t>。对应急资源进行调查，内容包括第一时间可调用的环境应急队伍、装备、物资、场所等应急资源状况和可请求援助应急资源状况，</w:t>
      </w:r>
      <w:r>
        <w:rPr>
          <w:rFonts w:hint="default" w:ascii="Times New Roman" w:hAnsi="Times New Roman" w:eastAsia="仿宋_GB2312" w:cs="Times New Roman"/>
          <w:color w:val="auto"/>
          <w:sz w:val="32"/>
          <w:szCs w:val="32"/>
          <w:lang w:val="en-US"/>
        </w:rPr>
        <w:t>并编制了《</w:t>
      </w:r>
      <w:r>
        <w:rPr>
          <w:rFonts w:hint="eastAsia" w:ascii="Times New Roman" w:hAnsi="Times New Roman" w:eastAsia="仿宋_GB2312" w:cs="Times New Roman"/>
          <w:color w:val="auto"/>
          <w:sz w:val="32"/>
          <w:szCs w:val="32"/>
          <w:lang w:val="en-US" w:eastAsia="zh-CN"/>
        </w:rPr>
        <w:t>江西洪城水业环保有限公司资溪县分公司</w:t>
      </w:r>
      <w:r>
        <w:rPr>
          <w:rFonts w:hint="default" w:ascii="Times New Roman" w:hAnsi="Times New Roman" w:eastAsia="仿宋_GB2312" w:cs="Times New Roman"/>
          <w:color w:val="auto"/>
          <w:sz w:val="32"/>
          <w:szCs w:val="32"/>
          <w:lang w:val="en-US"/>
        </w:rPr>
        <w:t>环境应急资源调查报告》</w:t>
      </w:r>
      <w:r>
        <w:rPr>
          <w:rFonts w:hint="default" w:ascii="Times New Roman" w:hAnsi="Times New Roman" w:eastAsia="仿宋_GB2312" w:cs="Times New Roman"/>
          <w:color w:val="auto"/>
          <w:sz w:val="32"/>
          <w:szCs w:val="32"/>
        </w:rPr>
        <w:t>。</w:t>
      </w:r>
    </w:p>
    <w:p w14:paraId="08D58088">
      <w:pPr>
        <w:pStyle w:val="9"/>
        <w:keepNext w:val="0"/>
        <w:keepLines w:val="0"/>
        <w:pageBreakBefore w:val="0"/>
        <w:widowControl w:val="0"/>
        <w:kinsoku/>
        <w:wordWrap/>
        <w:overflowPunct/>
        <w:topLinePunct w:val="0"/>
        <w:bidi w:val="0"/>
        <w:adjustRightInd/>
        <w:spacing w:line="560" w:lineRule="exact"/>
        <w:ind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加强与周围群众的沟通：充分考虑项目可能产生的环境影响，尽可能消除引发不稳定因素的问题，在考虑地区发展的特点、群众素质的基础上，兼顾各方利益群体的不同需求，在项目实施的各个阶段加强与周围群众的沟通。</w:t>
      </w:r>
    </w:p>
    <w:p w14:paraId="06CB2BE1">
      <w:pPr>
        <w:pStyle w:val="9"/>
        <w:keepNext w:val="0"/>
        <w:keepLines w:val="0"/>
        <w:pageBreakBefore w:val="0"/>
        <w:widowControl w:val="0"/>
        <w:kinsoku/>
        <w:wordWrap/>
        <w:overflowPunct/>
        <w:topLinePunct w:val="0"/>
        <w:bidi w:val="0"/>
        <w:adjustRightInd/>
        <w:spacing w:line="560" w:lineRule="exact"/>
        <w:ind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（4）202</w:t>
      </w:r>
      <w:r>
        <w:rPr>
          <w:rFonts w:hint="eastAsia"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rPr>
        <w:t>年</w:t>
      </w:r>
      <w:r>
        <w:rPr>
          <w:rFonts w:hint="eastAsia"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rPr>
        <w:t>月，编制小组组织了各方代表对预案内容</w:t>
      </w:r>
      <w:r>
        <w:rPr>
          <w:rFonts w:hint="default" w:ascii="Times New Roman" w:hAnsi="Times New Roman" w:eastAsia="仿宋_GB2312" w:cs="Times New Roman"/>
          <w:color w:val="auto"/>
          <w:spacing w:val="-20"/>
          <w:sz w:val="32"/>
          <w:szCs w:val="32"/>
        </w:rPr>
        <w:t>进行推演，在过程中不断发现问题，并提出了措施和解决方案。</w:t>
      </w:r>
    </w:p>
    <w:p w14:paraId="194A65A7">
      <w:pPr>
        <w:pStyle w:val="9"/>
        <w:keepNext w:val="0"/>
        <w:keepLines w:val="0"/>
        <w:pageBreakBefore w:val="0"/>
        <w:widowControl w:val="0"/>
        <w:kinsoku/>
        <w:wordWrap/>
        <w:overflowPunct/>
        <w:topLinePunct w:val="0"/>
        <w:bidi w:val="0"/>
        <w:adjustRightInd/>
        <w:spacing w:line="560" w:lineRule="exact"/>
        <w:ind w:left="0" w:leftChars="0" w:firstLine="0" w:firstLineChars="0"/>
        <w:jc w:val="both"/>
        <w:textAlignment w:val="auto"/>
        <w:outlineLvl w:val="9"/>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二、重点内容说明</w:t>
      </w:r>
    </w:p>
    <w:p w14:paraId="21A8FCA1">
      <w:pPr>
        <w:pStyle w:val="9"/>
        <w:keepNext w:val="0"/>
        <w:keepLines w:val="0"/>
        <w:pageBreakBefore w:val="0"/>
        <w:widowControl w:val="0"/>
        <w:kinsoku/>
        <w:wordWrap/>
        <w:overflowPunct/>
        <w:topLinePunct w:val="0"/>
        <w:bidi w:val="0"/>
        <w:adjustRightInd/>
        <w:spacing w:line="560" w:lineRule="exact"/>
        <w:ind w:firstLine="600" w:firstLineChars="200"/>
        <w:textAlignment w:val="auto"/>
        <w:outlineLvl w:val="9"/>
        <w:rPr>
          <w:rFonts w:hint="default" w:ascii="Times New Roman" w:hAnsi="Times New Roman" w:eastAsia="仿宋_GB2312" w:cs="Times New Roman"/>
          <w:color w:val="auto"/>
          <w:sz w:val="30"/>
          <w:szCs w:val="30"/>
        </w:rPr>
      </w:pPr>
      <w:r>
        <w:rPr>
          <w:rFonts w:hint="eastAsia" w:ascii="Times New Roman" w:hAnsi="Times New Roman" w:eastAsia="仿宋_GB2312" w:cs="Times New Roman"/>
          <w:color w:val="auto"/>
          <w:sz w:val="30"/>
          <w:szCs w:val="30"/>
          <w:lang w:val="en-US" w:eastAsia="zh-CN"/>
        </w:rPr>
        <w:t>1</w:t>
      </w:r>
      <w:r>
        <w:rPr>
          <w:rFonts w:hint="default" w:ascii="Times New Roman" w:hAnsi="Times New Roman" w:eastAsia="仿宋_GB2312" w:cs="Times New Roman"/>
          <w:color w:val="auto"/>
          <w:sz w:val="30"/>
          <w:szCs w:val="30"/>
        </w:rPr>
        <w:t xml:space="preserve"> 、演练暴露问题及解决措施</w:t>
      </w:r>
    </w:p>
    <w:p w14:paraId="277F48C4">
      <w:pPr>
        <w:pStyle w:val="9"/>
        <w:keepNext w:val="0"/>
        <w:keepLines w:val="0"/>
        <w:pageBreakBefore w:val="0"/>
        <w:widowControl w:val="0"/>
        <w:kinsoku/>
        <w:wordWrap/>
        <w:overflowPunct/>
        <w:topLinePunct w:val="0"/>
        <w:bidi w:val="0"/>
        <w:adjustRightInd/>
        <w:spacing w:line="560" w:lineRule="exact"/>
        <w:ind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在企业以往演练过程中，存在以下问题：</w:t>
      </w:r>
    </w:p>
    <w:p w14:paraId="692B5831">
      <w:pPr>
        <w:pStyle w:val="9"/>
        <w:keepNext w:val="0"/>
        <w:keepLines w:val="0"/>
        <w:pageBreakBefore w:val="0"/>
        <w:widowControl w:val="0"/>
        <w:kinsoku/>
        <w:wordWrap/>
        <w:overflowPunct/>
        <w:topLinePunct w:val="0"/>
        <w:bidi w:val="0"/>
        <w:adjustRightInd/>
        <w:spacing w:line="560" w:lineRule="exact"/>
        <w:ind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1）特殊风险的管理、标准操作程序方面较差。</w:t>
      </w:r>
    </w:p>
    <w:p w14:paraId="2FE94CBB">
      <w:pPr>
        <w:pStyle w:val="9"/>
        <w:keepNext w:val="0"/>
        <w:keepLines w:val="0"/>
        <w:pageBreakBefore w:val="0"/>
        <w:widowControl w:val="0"/>
        <w:kinsoku/>
        <w:wordWrap/>
        <w:overflowPunct/>
        <w:topLinePunct w:val="0"/>
        <w:bidi w:val="0"/>
        <w:adjustRightInd/>
        <w:spacing w:line="560" w:lineRule="exact"/>
        <w:ind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2）演练过程很大程度上以宣传性、演示性为主，只“演”不“练” ，没有真正发挥锻炼队伍、磨合机制、教育员工的作用。</w:t>
      </w:r>
    </w:p>
    <w:p w14:paraId="5F40C00F">
      <w:pPr>
        <w:pStyle w:val="9"/>
        <w:keepNext w:val="0"/>
        <w:keepLines w:val="0"/>
        <w:pageBreakBefore w:val="0"/>
        <w:widowControl w:val="0"/>
        <w:kinsoku/>
        <w:wordWrap/>
        <w:overflowPunct/>
        <w:topLinePunct w:val="0"/>
        <w:bidi w:val="0"/>
        <w:adjustRightInd/>
        <w:spacing w:line="560" w:lineRule="exact"/>
        <w:ind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3）演练过程人员不严肃、服装不整齐、松散不紧张，处理事故较慢、汇报不及时、交接过程不明确，领导也没有具体指挥，只是听汇报，演练人员对处理事故的步骤不清楚，程序较乱。</w:t>
      </w:r>
    </w:p>
    <w:p w14:paraId="70747900">
      <w:pPr>
        <w:pStyle w:val="9"/>
        <w:keepNext w:val="0"/>
        <w:keepLines w:val="0"/>
        <w:pageBreakBefore w:val="0"/>
        <w:widowControl w:val="0"/>
        <w:kinsoku/>
        <w:wordWrap/>
        <w:overflowPunct/>
        <w:topLinePunct w:val="0"/>
        <w:bidi w:val="0"/>
        <w:adjustRightInd/>
        <w:spacing w:line="560" w:lineRule="exact"/>
        <w:ind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4）演练过程有的人员对风向发生变化或者出现其他意外情况，不能及时判断，对存在的风险估计不足，有个别人员对处理事故的步骤不清楚，对防护器材的使用不够熟练。</w:t>
      </w:r>
    </w:p>
    <w:p w14:paraId="7D5D3912">
      <w:pPr>
        <w:pStyle w:val="9"/>
        <w:keepNext w:val="0"/>
        <w:keepLines w:val="0"/>
        <w:pageBreakBefore w:val="0"/>
        <w:widowControl w:val="0"/>
        <w:kinsoku/>
        <w:wordWrap/>
        <w:overflowPunct/>
        <w:topLinePunct w:val="0"/>
        <w:bidi w:val="0"/>
        <w:adjustRightInd/>
        <w:spacing w:line="560" w:lineRule="exact"/>
        <w:ind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解决措施：</w:t>
      </w:r>
    </w:p>
    <w:p w14:paraId="1D5B5A2A">
      <w:pPr>
        <w:pStyle w:val="9"/>
        <w:keepNext w:val="0"/>
        <w:keepLines w:val="0"/>
        <w:pageBreakBefore w:val="0"/>
        <w:widowControl w:val="0"/>
        <w:kinsoku/>
        <w:wordWrap/>
        <w:overflowPunct/>
        <w:topLinePunct w:val="0"/>
        <w:bidi w:val="0"/>
        <w:adjustRightInd/>
        <w:spacing w:line="560" w:lineRule="exact"/>
        <w:ind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①针对特殊风险进行多次演练，并及时总结不足，在下次演练过程多加注意。</w:t>
      </w:r>
    </w:p>
    <w:p w14:paraId="4B018A7F">
      <w:pPr>
        <w:pStyle w:val="9"/>
        <w:keepNext w:val="0"/>
        <w:keepLines w:val="0"/>
        <w:pageBreakBefore w:val="0"/>
        <w:widowControl w:val="0"/>
        <w:kinsoku/>
        <w:wordWrap/>
        <w:overflowPunct/>
        <w:topLinePunct w:val="0"/>
        <w:bidi w:val="0"/>
        <w:adjustRightInd/>
        <w:spacing w:line="560" w:lineRule="exact"/>
        <w:ind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②演练以“练”为主，总指挥在指挥过程中注意观察员工操作，在演练结束后对员工进行惩奖制，以提高员工积极性，同时总指挥也应该以身作则，带动员工。</w:t>
      </w:r>
    </w:p>
    <w:p w14:paraId="6EDBC28F">
      <w:pPr>
        <w:pStyle w:val="9"/>
        <w:keepNext w:val="0"/>
        <w:keepLines w:val="0"/>
        <w:pageBreakBefore w:val="0"/>
        <w:widowControl w:val="0"/>
        <w:kinsoku/>
        <w:wordWrap/>
        <w:overflowPunct/>
        <w:topLinePunct w:val="0"/>
        <w:bidi w:val="0"/>
        <w:adjustRightInd/>
        <w:spacing w:line="560" w:lineRule="exact"/>
        <w:ind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在演练前对员工进行全面的充足的培训，告知员工面对演练过程发生意外情 况的紧急处理方法，并可在演练之前进行专门的防护器材使用培训，保证员工在演练过程正确规范使用防护器材。</w:t>
      </w:r>
    </w:p>
    <w:p w14:paraId="7CBBFC01">
      <w:pPr>
        <w:pStyle w:val="9"/>
        <w:keepNext w:val="0"/>
        <w:keepLines w:val="0"/>
        <w:pageBreakBefore w:val="0"/>
        <w:widowControl w:val="0"/>
        <w:kinsoku/>
        <w:wordWrap/>
        <w:overflowPunct/>
        <w:topLinePunct w:val="0"/>
        <w:bidi w:val="0"/>
        <w:adjustRightInd/>
        <w:spacing w:line="560" w:lineRule="exact"/>
        <w:ind w:firstLine="640" w:firstLineChars="200"/>
        <w:textAlignment w:val="auto"/>
        <w:outlineLvl w:val="9"/>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 xml:space="preserve"> 、环境风险等级</w:t>
      </w:r>
    </w:p>
    <w:p w14:paraId="45EFBD8F">
      <w:pPr>
        <w:pStyle w:val="9"/>
        <w:keepNext w:val="0"/>
        <w:keepLines w:val="0"/>
        <w:pageBreakBefore w:val="0"/>
        <w:widowControl w:val="0"/>
        <w:kinsoku/>
        <w:wordWrap/>
        <w:overflowPunct/>
        <w:topLinePunct w:val="0"/>
        <w:bidi w:val="0"/>
        <w:adjustRightInd/>
        <w:spacing w:line="560" w:lineRule="exact"/>
        <w:ind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由《风险评估报告》可知，厂区的风险等级表示为“一般[一般-大气（Q0）+一般-水（Q0）]”</w:t>
      </w:r>
      <w:r>
        <w:rPr>
          <w:rFonts w:hint="default" w:ascii="Times New Roman" w:hAnsi="Times New Roman" w:eastAsia="仿宋_GB2312" w:cs="Times New Roman"/>
          <w:color w:val="auto"/>
          <w:spacing w:val="-6"/>
          <w:sz w:val="32"/>
          <w:szCs w:val="32"/>
        </w:rPr>
        <w:t>。</w:t>
      </w:r>
    </w:p>
    <w:p w14:paraId="26180D4A">
      <w:pPr>
        <w:pStyle w:val="9"/>
        <w:keepNext w:val="0"/>
        <w:keepLines w:val="0"/>
        <w:pageBreakBefore w:val="0"/>
        <w:widowControl w:val="0"/>
        <w:kinsoku/>
        <w:wordWrap/>
        <w:overflowPunct/>
        <w:topLinePunct w:val="0"/>
        <w:bidi w:val="0"/>
        <w:adjustRightInd/>
        <w:spacing w:line="560" w:lineRule="exact"/>
        <w:ind w:left="0" w:leftChars="0" w:firstLine="0" w:firstLineChars="0"/>
        <w:jc w:val="both"/>
        <w:textAlignment w:val="auto"/>
        <w:outlineLvl w:val="9"/>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三、建议清单</w:t>
      </w:r>
    </w:p>
    <w:p w14:paraId="77580C40">
      <w:pPr>
        <w:pStyle w:val="9"/>
        <w:keepNext w:val="0"/>
        <w:keepLines w:val="0"/>
        <w:pageBreakBefore w:val="0"/>
        <w:widowControl w:val="0"/>
        <w:kinsoku/>
        <w:wordWrap/>
        <w:overflowPunct/>
        <w:topLinePunct w:val="0"/>
        <w:bidi w:val="0"/>
        <w:adjustRightInd/>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小组在各项调查后组织了厂内员工、</w:t>
      </w:r>
      <w:r>
        <w:rPr>
          <w:rFonts w:hint="default" w:ascii="Times New Roman" w:hAnsi="Times New Roman" w:eastAsia="仿宋_GB2312" w:cs="Times New Roman"/>
          <w:color w:val="auto"/>
          <w:sz w:val="32"/>
          <w:szCs w:val="32"/>
          <w:lang w:val="en-US"/>
        </w:rPr>
        <w:t>及相关</w:t>
      </w:r>
      <w:r>
        <w:rPr>
          <w:rFonts w:hint="default" w:ascii="Times New Roman" w:hAnsi="Times New Roman" w:eastAsia="仿宋_GB2312" w:cs="Times New Roman"/>
          <w:color w:val="auto"/>
          <w:sz w:val="32"/>
          <w:szCs w:val="32"/>
        </w:rPr>
        <w:t>单位工作人员进行座谈并之后进行桌面演练，在突发环境应急预案中提出了相关的意见建议，并进行采纳。意见如下:</w:t>
      </w:r>
    </w:p>
    <w:tbl>
      <w:tblPr>
        <w:tblStyle w:val="23"/>
        <w:tblW w:w="852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40"/>
        <w:gridCol w:w="4081"/>
      </w:tblGrid>
      <w:tr w14:paraId="61284C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440" w:type="dxa"/>
            <w:vAlign w:val="center"/>
          </w:tcPr>
          <w:p w14:paraId="4AC293FF">
            <w:pPr>
              <w:pStyle w:val="41"/>
              <w:keepNext w:val="0"/>
              <w:keepLines w:val="0"/>
              <w:pageBreakBefore w:val="0"/>
              <w:widowControl w:val="0"/>
              <w:kinsoku/>
              <w:wordWrap/>
              <w:overflowPunct/>
              <w:topLinePunct w:val="0"/>
              <w:bidi w:val="0"/>
              <w:adjustRightInd/>
              <w:snapToGrid w:val="0"/>
              <w:spacing w:line="240" w:lineRule="auto"/>
              <w:ind w:left="0"/>
              <w:jc w:val="both"/>
              <w:textAlignment w:val="auto"/>
              <w:outlineLvl w:val="9"/>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8"/>
                <w:szCs w:val="28"/>
              </w:rPr>
              <w:t>建议清单</w:t>
            </w:r>
          </w:p>
        </w:tc>
        <w:tc>
          <w:tcPr>
            <w:tcW w:w="4081" w:type="dxa"/>
            <w:vAlign w:val="center"/>
          </w:tcPr>
          <w:p w14:paraId="50CDE9E6">
            <w:pPr>
              <w:pStyle w:val="41"/>
              <w:keepNext w:val="0"/>
              <w:keepLines w:val="0"/>
              <w:pageBreakBefore w:val="0"/>
              <w:widowControl w:val="0"/>
              <w:kinsoku/>
              <w:wordWrap/>
              <w:overflowPunct/>
              <w:topLinePunct w:val="0"/>
              <w:bidi w:val="0"/>
              <w:adjustRightInd/>
              <w:snapToGrid w:val="0"/>
              <w:spacing w:line="240" w:lineRule="auto"/>
              <w:ind w:left="0"/>
              <w:jc w:val="both"/>
              <w:textAlignment w:val="auto"/>
              <w:outlineLvl w:val="9"/>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8"/>
                <w:szCs w:val="28"/>
              </w:rPr>
              <w:t>解决措施</w:t>
            </w:r>
          </w:p>
        </w:tc>
      </w:tr>
      <w:tr w14:paraId="30EE8F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440" w:type="dxa"/>
            <w:vAlign w:val="center"/>
          </w:tcPr>
          <w:p w14:paraId="79F09E7E">
            <w:pPr>
              <w:pStyle w:val="9"/>
              <w:keepNext w:val="0"/>
              <w:keepLines w:val="0"/>
              <w:pageBreakBefore w:val="0"/>
              <w:widowControl w:val="0"/>
              <w:kinsoku/>
              <w:wordWrap/>
              <w:overflowPunct/>
              <w:topLinePunct w:val="0"/>
              <w:autoSpaceDE w:val="0"/>
              <w:autoSpaceDN w:val="0"/>
              <w:bidi w:val="0"/>
              <w:adjustRightInd/>
              <w:snapToGrid w:val="0"/>
              <w:spacing w:line="240" w:lineRule="auto"/>
              <w:ind w:left="0" w:firstLine="560" w:firstLineChars="200"/>
              <w:jc w:val="both"/>
              <w:textAlignment w:val="auto"/>
              <w:outlineLvl w:val="9"/>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公司未按标准配备必要的环境应急物资和装备</w:t>
            </w:r>
          </w:p>
        </w:tc>
        <w:tc>
          <w:tcPr>
            <w:tcW w:w="4081" w:type="dxa"/>
            <w:vAlign w:val="center"/>
          </w:tcPr>
          <w:p w14:paraId="2DDA9616">
            <w:pPr>
              <w:pStyle w:val="9"/>
              <w:keepNext w:val="0"/>
              <w:keepLines w:val="0"/>
              <w:pageBreakBefore w:val="0"/>
              <w:widowControl w:val="0"/>
              <w:kinsoku/>
              <w:wordWrap/>
              <w:overflowPunct/>
              <w:topLinePunct w:val="0"/>
              <w:autoSpaceDE w:val="0"/>
              <w:autoSpaceDN w:val="0"/>
              <w:bidi w:val="0"/>
              <w:adjustRightInd/>
              <w:snapToGrid w:val="0"/>
              <w:spacing w:line="240" w:lineRule="auto"/>
              <w:ind w:left="0" w:firstLine="560" w:firstLineChars="200"/>
              <w:jc w:val="both"/>
              <w:textAlignment w:val="auto"/>
              <w:outlineLvl w:val="9"/>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公司按标准配备必要的环境应急物资和装备</w:t>
            </w:r>
          </w:p>
        </w:tc>
      </w:tr>
      <w:tr w14:paraId="2F952A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440" w:type="dxa"/>
            <w:vAlign w:val="center"/>
          </w:tcPr>
          <w:p w14:paraId="5FDA1509">
            <w:pPr>
              <w:pStyle w:val="9"/>
              <w:keepNext w:val="0"/>
              <w:keepLines w:val="0"/>
              <w:pageBreakBefore w:val="0"/>
              <w:widowControl w:val="0"/>
              <w:kinsoku/>
              <w:wordWrap/>
              <w:overflowPunct/>
              <w:topLinePunct w:val="0"/>
              <w:autoSpaceDE w:val="0"/>
              <w:autoSpaceDN w:val="0"/>
              <w:bidi w:val="0"/>
              <w:adjustRightInd/>
              <w:snapToGrid w:val="0"/>
              <w:spacing w:line="240" w:lineRule="auto"/>
              <w:ind w:left="0" w:firstLine="560" w:firstLineChars="200"/>
              <w:jc w:val="both"/>
              <w:textAlignment w:val="auto"/>
              <w:outlineLvl w:val="9"/>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公司未与有关部门签订应急救援协议或互救协议</w:t>
            </w:r>
          </w:p>
        </w:tc>
        <w:tc>
          <w:tcPr>
            <w:tcW w:w="4081" w:type="dxa"/>
            <w:vAlign w:val="center"/>
          </w:tcPr>
          <w:p w14:paraId="59BD0743">
            <w:pPr>
              <w:pStyle w:val="9"/>
              <w:keepNext w:val="0"/>
              <w:keepLines w:val="0"/>
              <w:pageBreakBefore w:val="0"/>
              <w:widowControl w:val="0"/>
              <w:kinsoku/>
              <w:wordWrap/>
              <w:overflowPunct/>
              <w:topLinePunct w:val="0"/>
              <w:autoSpaceDE w:val="0"/>
              <w:autoSpaceDN w:val="0"/>
              <w:bidi w:val="0"/>
              <w:adjustRightInd/>
              <w:snapToGrid w:val="0"/>
              <w:spacing w:line="240" w:lineRule="auto"/>
              <w:ind w:left="0" w:firstLine="560" w:firstLineChars="200"/>
              <w:jc w:val="both"/>
              <w:textAlignment w:val="auto"/>
              <w:outlineLvl w:val="9"/>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公司与有关部门签订应急救援协议或互救协议</w:t>
            </w:r>
          </w:p>
        </w:tc>
      </w:tr>
      <w:tr w14:paraId="0EB1D4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440" w:type="dxa"/>
            <w:vAlign w:val="center"/>
          </w:tcPr>
          <w:p w14:paraId="59692A0C">
            <w:pPr>
              <w:pStyle w:val="9"/>
              <w:keepNext w:val="0"/>
              <w:keepLines w:val="0"/>
              <w:pageBreakBefore w:val="0"/>
              <w:widowControl w:val="0"/>
              <w:kinsoku/>
              <w:wordWrap/>
              <w:overflowPunct/>
              <w:topLinePunct w:val="0"/>
              <w:autoSpaceDE w:val="0"/>
              <w:autoSpaceDN w:val="0"/>
              <w:bidi w:val="0"/>
              <w:adjustRightInd/>
              <w:snapToGrid w:val="0"/>
              <w:spacing w:line="240" w:lineRule="auto"/>
              <w:ind w:left="0" w:firstLine="560" w:firstLineChars="200"/>
              <w:jc w:val="both"/>
              <w:textAlignment w:val="auto"/>
              <w:outlineLvl w:val="9"/>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缺少</w:t>
            </w:r>
            <w:r>
              <w:rPr>
                <w:rFonts w:hint="default" w:ascii="Times New Roman" w:hAnsi="Times New Roman" w:eastAsia="仿宋_GB2312" w:cs="Times New Roman"/>
                <w:color w:val="auto"/>
                <w:sz w:val="28"/>
                <w:szCs w:val="28"/>
              </w:rPr>
              <w:t>员工的教育与培训、应急演练等</w:t>
            </w:r>
          </w:p>
        </w:tc>
        <w:tc>
          <w:tcPr>
            <w:tcW w:w="4081" w:type="dxa"/>
            <w:vAlign w:val="center"/>
          </w:tcPr>
          <w:p w14:paraId="02D4E184">
            <w:pPr>
              <w:pStyle w:val="9"/>
              <w:keepNext w:val="0"/>
              <w:keepLines w:val="0"/>
              <w:pageBreakBefore w:val="0"/>
              <w:widowControl w:val="0"/>
              <w:kinsoku/>
              <w:wordWrap/>
              <w:overflowPunct/>
              <w:topLinePunct w:val="0"/>
              <w:autoSpaceDE w:val="0"/>
              <w:autoSpaceDN w:val="0"/>
              <w:bidi w:val="0"/>
              <w:adjustRightInd/>
              <w:snapToGrid w:val="0"/>
              <w:spacing w:line="240" w:lineRule="auto"/>
              <w:ind w:left="0" w:firstLine="560" w:firstLineChars="200"/>
              <w:jc w:val="both"/>
              <w:textAlignment w:val="auto"/>
              <w:outlineLvl w:val="9"/>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加强</w:t>
            </w:r>
            <w:r>
              <w:rPr>
                <w:rFonts w:hint="default" w:ascii="Times New Roman" w:hAnsi="Times New Roman" w:eastAsia="仿宋_GB2312" w:cs="Times New Roman"/>
                <w:color w:val="auto"/>
                <w:sz w:val="28"/>
                <w:szCs w:val="28"/>
              </w:rPr>
              <w:t>员工的教育与培训、应急演练等</w:t>
            </w:r>
          </w:p>
        </w:tc>
      </w:tr>
    </w:tbl>
    <w:p w14:paraId="49B2AF41">
      <w:pPr>
        <w:pStyle w:val="9"/>
        <w:keepNext w:val="0"/>
        <w:keepLines w:val="0"/>
        <w:pageBreakBefore w:val="0"/>
        <w:widowControl w:val="0"/>
        <w:kinsoku/>
        <w:wordWrap/>
        <w:overflowPunct/>
        <w:topLinePunct w:val="0"/>
        <w:bidi w:val="0"/>
        <w:adjustRightInd/>
        <w:spacing w:line="560" w:lineRule="exact"/>
        <w:ind w:left="0" w:leftChars="0" w:firstLine="0" w:firstLineChars="0"/>
        <w:jc w:val="both"/>
        <w:textAlignment w:val="auto"/>
        <w:outlineLvl w:val="9"/>
        <w:rPr>
          <w:rFonts w:hint="default" w:ascii="Times New Roman" w:hAnsi="Times New Roman" w:eastAsia="仿宋_GB2312" w:cs="Times New Roman"/>
          <w:b/>
          <w:bCs/>
          <w:color w:val="auto"/>
          <w:sz w:val="32"/>
          <w:szCs w:val="32"/>
        </w:rPr>
      </w:pPr>
      <w:r>
        <w:rPr>
          <w:rFonts w:hint="eastAsia" w:ascii="Times New Roman" w:hAnsi="Times New Roman" w:eastAsia="仿宋_GB2312" w:cs="Times New Roman"/>
          <w:b/>
          <w:bCs/>
          <w:color w:val="auto"/>
          <w:sz w:val="32"/>
          <w:szCs w:val="32"/>
          <w:lang w:val="en-US" w:eastAsia="zh-CN"/>
        </w:rPr>
        <w:t>四</w:t>
      </w:r>
      <w:r>
        <w:rPr>
          <w:rFonts w:hint="default" w:ascii="Times New Roman" w:hAnsi="Times New Roman" w:eastAsia="仿宋_GB2312" w:cs="Times New Roman"/>
          <w:b/>
          <w:bCs/>
          <w:color w:val="auto"/>
          <w:sz w:val="32"/>
          <w:szCs w:val="32"/>
        </w:rPr>
        <w:t>、应急预案评审情况</w:t>
      </w:r>
    </w:p>
    <w:p w14:paraId="6878BAAC">
      <w:pPr>
        <w:pStyle w:val="9"/>
        <w:keepNext w:val="0"/>
        <w:keepLines w:val="0"/>
        <w:pageBreakBefore w:val="0"/>
        <w:widowControl w:val="0"/>
        <w:kinsoku/>
        <w:wordWrap/>
        <w:overflowPunct/>
        <w:topLinePunct w:val="0"/>
        <w:bidi w:val="0"/>
        <w:adjustRightInd/>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预案编制完成后，</w:t>
      </w:r>
      <w:r>
        <w:rPr>
          <w:rFonts w:hint="eastAsia"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rPr>
        <w:t>月</w:t>
      </w:r>
      <w:r>
        <w:rPr>
          <w:rFonts w:hint="eastAsia" w:ascii="Times New Roman" w:hAnsi="Times New Roman" w:eastAsia="仿宋_GB2312" w:cs="Times New Roman"/>
          <w:color w:val="auto"/>
          <w:sz w:val="32"/>
          <w:szCs w:val="32"/>
          <w:lang w:val="en-US" w:eastAsia="zh-CN"/>
        </w:rPr>
        <w:t>10</w:t>
      </w:r>
      <w:r>
        <w:rPr>
          <w:rFonts w:hint="default" w:ascii="Times New Roman" w:hAnsi="Times New Roman" w:eastAsia="仿宋_GB2312" w:cs="Times New Roman"/>
          <w:color w:val="auto"/>
          <w:sz w:val="32"/>
          <w:szCs w:val="32"/>
        </w:rPr>
        <w:t>日由</w:t>
      </w:r>
      <w:r>
        <w:rPr>
          <w:rFonts w:hint="eastAsia" w:ascii="Times New Roman" w:hAnsi="Times New Roman" w:eastAsia="仿宋_GB2312" w:cs="Times New Roman"/>
          <w:color w:val="auto"/>
          <w:sz w:val="32"/>
          <w:szCs w:val="32"/>
          <w:lang w:val="en-US" w:eastAsia="zh-CN"/>
        </w:rPr>
        <w:t>厂长</w:t>
      </w:r>
      <w:r>
        <w:rPr>
          <w:rFonts w:hint="default" w:ascii="Times New Roman" w:hAnsi="Times New Roman" w:eastAsia="仿宋_GB2312" w:cs="Times New Roman"/>
          <w:color w:val="auto"/>
          <w:sz w:val="32"/>
          <w:szCs w:val="32"/>
        </w:rPr>
        <w:t>组织公司有关部门人员对应急预案进行了企业内部评估，经内审组全体人员认真讨论，大家一致认为《预案》基本符合预案编制的要求，环境风险源识别较为全面，预案的预防措施及应急处置措施切实可行，信息报告与发布程序符合公司要求。可以</w:t>
      </w:r>
      <w:r>
        <w:rPr>
          <w:rFonts w:hint="default" w:ascii="Times New Roman" w:hAnsi="Times New Roman" w:eastAsia="仿宋_GB2312" w:cs="Times New Roman"/>
          <w:color w:val="auto"/>
          <w:sz w:val="32"/>
          <w:szCs w:val="32"/>
          <w:lang w:val="en-US"/>
        </w:rPr>
        <w:t>提交外部相关人员对</w:t>
      </w:r>
      <w:r>
        <w:rPr>
          <w:rFonts w:hint="default" w:ascii="Times New Roman" w:hAnsi="Times New Roman" w:eastAsia="仿宋_GB2312" w:cs="Times New Roman"/>
          <w:color w:val="auto"/>
          <w:sz w:val="32"/>
          <w:szCs w:val="32"/>
        </w:rPr>
        <w:t>公司预案进行外部评审。</w:t>
      </w:r>
    </w:p>
    <w:p w14:paraId="65F8D484">
      <w:pPr>
        <w:pStyle w:val="9"/>
        <w:keepNext w:val="0"/>
        <w:keepLines w:val="0"/>
        <w:pageBreakBefore w:val="0"/>
        <w:widowControl w:val="0"/>
        <w:kinsoku/>
        <w:wordWrap/>
        <w:overflowPunct/>
        <w:topLinePunct w:val="0"/>
        <w:bidi w:val="0"/>
        <w:adjustRightInd/>
        <w:spacing w:line="560" w:lineRule="exact"/>
        <w:ind w:firstLine="640" w:firstLineChars="200"/>
        <w:jc w:val="both"/>
        <w:textAlignment w:val="auto"/>
        <w:outlineLvl w:val="9"/>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rPr>
        <w:t>月</w:t>
      </w:r>
      <w:r>
        <w:rPr>
          <w:rFonts w:hint="eastAsia" w:ascii="Times New Roman" w:hAnsi="Times New Roman" w:eastAsia="仿宋_GB2312" w:cs="Times New Roman"/>
          <w:color w:val="auto"/>
          <w:sz w:val="32"/>
          <w:szCs w:val="32"/>
          <w:lang w:val="en-US" w:eastAsia="zh-CN"/>
        </w:rPr>
        <w:t>21</w:t>
      </w:r>
      <w:r>
        <w:rPr>
          <w:rFonts w:hint="default" w:ascii="Times New Roman" w:hAnsi="Times New Roman" w:eastAsia="仿宋_GB2312" w:cs="Times New Roman"/>
          <w:color w:val="auto"/>
          <w:sz w:val="32"/>
          <w:szCs w:val="32"/>
        </w:rPr>
        <w:t>号邀请三位专家对本报告技术内容进行评审</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rPr>
        <w:t>认为</w:t>
      </w:r>
      <w:r>
        <w:rPr>
          <w:rFonts w:hint="default" w:ascii="Times New Roman" w:hAnsi="Times New Roman" w:eastAsia="仿宋_GB2312" w:cs="Times New Roman"/>
          <w:color w:val="auto"/>
          <w:sz w:val="32"/>
          <w:szCs w:val="32"/>
        </w:rPr>
        <w:t>本《应急预案》编制目的明确，编制依据较充分，预案内容符合国家相关法律、法规、规章、标准以及有关部门规范性文件要求；能结合公司实际情况对风险源进行辨识与风险分析，提出的预防措施、应急响应程序和应急保障措施基本可行。</w:t>
      </w:r>
    </w:p>
    <w:p w14:paraId="2D2F3C95">
      <w:pPr>
        <w:pStyle w:val="9"/>
        <w:keepNext w:val="0"/>
        <w:keepLines w:val="0"/>
        <w:pageBreakBefore w:val="0"/>
        <w:widowControl w:val="0"/>
        <w:kinsoku/>
        <w:wordWrap/>
        <w:overflowPunct/>
        <w:topLinePunct w:val="0"/>
        <w:bidi w:val="0"/>
        <w:adjustRightInd/>
        <w:spacing w:line="560" w:lineRule="exact"/>
        <w:textAlignment w:val="auto"/>
        <w:outlineLvl w:val="9"/>
        <w:rPr>
          <w:rFonts w:hint="default" w:ascii="Times New Roman" w:hAnsi="Times New Roman" w:eastAsia="仿宋_GB2312" w:cs="Times New Roman"/>
          <w:color w:val="auto"/>
          <w:sz w:val="32"/>
          <w:szCs w:val="32"/>
        </w:rPr>
      </w:pPr>
    </w:p>
    <w:p w14:paraId="13242259">
      <w:pPr>
        <w:pStyle w:val="31"/>
        <w:keepNext w:val="0"/>
        <w:keepLines w:val="0"/>
        <w:pageBreakBefore w:val="0"/>
        <w:widowControl w:val="0"/>
        <w:numPr>
          <w:ilvl w:val="0"/>
          <w:numId w:val="0"/>
        </w:numPr>
        <w:kinsoku/>
        <w:wordWrap/>
        <w:overflowPunct/>
        <w:topLinePunct w:val="0"/>
        <w:bidi w:val="0"/>
        <w:adjustRightInd/>
        <w:spacing w:line="360" w:lineRule="auto"/>
        <w:ind w:firstLine="640" w:firstLineChars="200"/>
        <w:jc w:val="right"/>
        <w:textAlignment w:val="auto"/>
        <w:outlineLvl w:val="9"/>
        <w:rPr>
          <w:rFonts w:hint="eastAsia" w:ascii="Times New Roman" w:hAnsi="Times New Roman" w:eastAsia="仿宋_GB2312" w:cs="Times New Roman"/>
          <w:color w:val="auto"/>
          <w:sz w:val="32"/>
          <w:szCs w:val="32"/>
          <w:lang w:val="en-US" w:eastAsia="zh-CN"/>
        </w:rPr>
      </w:pPr>
      <w:r>
        <w:rPr>
          <w:rFonts w:hint="eastAsia" w:eastAsia="仿宋_GB2312" w:cs="Times New Roman"/>
          <w:color w:val="auto"/>
          <w:sz w:val="32"/>
          <w:szCs w:val="32"/>
          <w:lang w:val="en-US" w:eastAsia="zh-CN"/>
        </w:rPr>
        <w:t>江西洪城水业环保有限公司资溪县分公司</w:t>
      </w:r>
    </w:p>
    <w:p w14:paraId="65DE8B66">
      <w:pPr>
        <w:pStyle w:val="31"/>
        <w:keepNext w:val="0"/>
        <w:keepLines w:val="0"/>
        <w:pageBreakBefore w:val="0"/>
        <w:widowControl w:val="0"/>
        <w:numPr>
          <w:ilvl w:val="0"/>
          <w:numId w:val="0"/>
        </w:numPr>
        <w:kinsoku/>
        <w:wordWrap/>
        <w:overflowPunct/>
        <w:topLinePunct w:val="0"/>
        <w:bidi w:val="0"/>
        <w:adjustRightInd/>
        <w:spacing w:line="360" w:lineRule="auto"/>
        <w:ind w:firstLine="640" w:firstLineChars="200"/>
        <w:jc w:val="right"/>
        <w:textAlignment w:val="auto"/>
        <w:outlineLvl w:val="9"/>
        <w:rPr>
          <w:rFonts w:hint="eastAsia" w:ascii="宋体" w:hAnsi="宋体" w:eastAsia="宋体" w:cs="宋体"/>
          <w:color w:val="auto"/>
          <w:sz w:val="24"/>
          <w:szCs w:val="24"/>
        </w:rPr>
      </w:pPr>
      <w:r>
        <w:rPr>
          <w:rFonts w:hint="default" w:ascii="Times New Roman" w:hAnsi="Times New Roman" w:eastAsia="仿宋_GB2312" w:cs="Times New Roman"/>
          <w:color w:val="auto"/>
          <w:sz w:val="32"/>
          <w:szCs w:val="32"/>
          <w:lang w:val="en-US"/>
        </w:rPr>
        <w:t>202</w:t>
      </w:r>
      <w:r>
        <w:rPr>
          <w:rFonts w:hint="eastAsia"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lang w:val="en-US"/>
        </w:rPr>
        <w:t>年</w:t>
      </w:r>
      <w:r>
        <w:rPr>
          <w:rFonts w:hint="eastAsia" w:eastAsia="仿宋_GB2312" w:cs="Times New Roman"/>
          <w:color w:val="auto"/>
          <w:sz w:val="32"/>
          <w:szCs w:val="32"/>
          <w:lang w:val="en-US" w:eastAsia="zh-CN"/>
        </w:rPr>
        <w:t>7</w:t>
      </w:r>
      <w:r>
        <w:rPr>
          <w:rFonts w:hint="default" w:ascii="Times New Roman" w:hAnsi="Times New Roman" w:eastAsia="仿宋_GB2312" w:cs="Times New Roman"/>
          <w:color w:val="auto"/>
          <w:sz w:val="32"/>
          <w:szCs w:val="32"/>
          <w:lang w:val="en-US"/>
        </w:rPr>
        <w:t>月</w:t>
      </w:r>
      <w:r>
        <w:rPr>
          <w:rFonts w:hint="eastAsia" w:eastAsia="仿宋_GB2312" w:cs="Times New Roman"/>
          <w:color w:val="auto"/>
          <w:sz w:val="32"/>
          <w:szCs w:val="32"/>
          <w:lang w:val="en-US" w:eastAsia="zh-CN"/>
        </w:rPr>
        <w:t>24</w:t>
      </w:r>
      <w:r>
        <w:rPr>
          <w:rFonts w:hint="default" w:ascii="Times New Roman" w:hAnsi="Times New Roman" w:eastAsia="仿宋_GB2312" w:cs="Times New Roman"/>
          <w:color w:val="auto"/>
          <w:sz w:val="32"/>
          <w:szCs w:val="32"/>
          <w:lang w:val="en-US"/>
        </w:rPr>
        <w:t>日</w:t>
      </w:r>
    </w:p>
    <w:p w14:paraId="5CB62888">
      <w:pPr>
        <w:pStyle w:val="31"/>
        <w:ind w:firstLine="0" w:firstLineChars="0"/>
        <w:rPr>
          <w:b/>
          <w:bCs/>
          <w:color w:val="auto"/>
          <w:sz w:val="24"/>
          <w:szCs w:val="24"/>
        </w:rPr>
      </w:pPr>
    </w:p>
    <w:p w14:paraId="682BF022">
      <w:pPr>
        <w:pStyle w:val="31"/>
        <w:ind w:firstLine="0" w:firstLineChars="0"/>
        <w:rPr>
          <w:b/>
          <w:bCs/>
          <w:color w:val="auto"/>
          <w:sz w:val="36"/>
          <w:szCs w:val="36"/>
        </w:rPr>
      </w:pPr>
    </w:p>
    <w:p w14:paraId="6D4A657F">
      <w:pPr>
        <w:pStyle w:val="31"/>
        <w:rPr>
          <w:color w:val="auto"/>
        </w:rPr>
      </w:pPr>
    </w:p>
    <w:p w14:paraId="14F08403">
      <w:pPr>
        <w:pStyle w:val="31"/>
        <w:rPr>
          <w:color w:val="auto"/>
        </w:rPr>
      </w:pPr>
    </w:p>
    <w:p w14:paraId="4C8F2873">
      <w:pPr>
        <w:pStyle w:val="31"/>
        <w:rPr>
          <w:color w:val="auto"/>
        </w:rPr>
      </w:pPr>
    </w:p>
    <w:p w14:paraId="6F4514EB">
      <w:pPr>
        <w:pStyle w:val="31"/>
        <w:rPr>
          <w:color w:val="auto"/>
        </w:rPr>
      </w:pPr>
    </w:p>
    <w:p w14:paraId="08342014">
      <w:pPr>
        <w:pStyle w:val="31"/>
        <w:rPr>
          <w:color w:val="auto"/>
        </w:rPr>
      </w:pPr>
    </w:p>
    <w:p w14:paraId="20637789">
      <w:pPr>
        <w:pStyle w:val="31"/>
        <w:rPr>
          <w:color w:val="auto"/>
        </w:rPr>
      </w:pPr>
    </w:p>
    <w:p w14:paraId="70377647">
      <w:pPr>
        <w:pStyle w:val="31"/>
        <w:rPr>
          <w:color w:val="auto"/>
        </w:rPr>
        <w:sectPr>
          <w:footerReference r:id="rId8" w:type="default"/>
          <w:pgSz w:w="11906" w:h="16838"/>
          <w:pgMar w:top="1440" w:right="1417" w:bottom="1440" w:left="1417"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7F95B3D1">
      <w:pPr>
        <w:pStyle w:val="31"/>
        <w:rPr>
          <w:color w:val="auto"/>
        </w:rPr>
      </w:pPr>
    </w:p>
    <w:p w14:paraId="1AEF00D6">
      <w:pPr>
        <w:pStyle w:val="31"/>
        <w:rPr>
          <w:color w:val="auto"/>
        </w:rPr>
      </w:pPr>
    </w:p>
    <w:p w14:paraId="0F4F283E">
      <w:pPr>
        <w:pStyle w:val="31"/>
        <w:rPr>
          <w:color w:val="auto"/>
        </w:rPr>
      </w:pPr>
    </w:p>
    <w:p w14:paraId="67EC52BB">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b/>
          <w:bCs/>
          <w:color w:val="auto"/>
          <w:sz w:val="48"/>
          <w:szCs w:val="48"/>
          <w:lang w:eastAsia="zh-CN"/>
        </w:rPr>
      </w:pPr>
      <w:r>
        <w:rPr>
          <w:rFonts w:hint="eastAsia"/>
          <w:b/>
          <w:bCs/>
          <w:color w:val="auto"/>
          <w:sz w:val="48"/>
          <w:szCs w:val="48"/>
          <w:lang w:eastAsia="zh-CN"/>
        </w:rPr>
        <w:t>江西洪城水业环保有限公司资溪县分公司</w:t>
      </w:r>
    </w:p>
    <w:p w14:paraId="73B4E8E6">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ascii="华文中宋" w:hAnsi="华文中宋" w:eastAsia="华文中宋"/>
          <w:color w:val="auto"/>
          <w:spacing w:val="20"/>
          <w:sz w:val="48"/>
          <w:szCs w:val="48"/>
        </w:rPr>
      </w:pPr>
      <w:r>
        <w:rPr>
          <w:rFonts w:hint="eastAsia" w:ascii="宋体" w:hAnsi="宋体" w:cs="宋体"/>
          <w:b/>
          <w:bCs/>
          <w:color w:val="auto"/>
          <w:spacing w:val="20"/>
          <w:sz w:val="48"/>
          <w:szCs w:val="48"/>
        </w:rPr>
        <w:t>突发环境事件应急预案</w:t>
      </w:r>
    </w:p>
    <w:p w14:paraId="0EA26458">
      <w:pPr>
        <w:pStyle w:val="31"/>
        <w:rPr>
          <w:color w:val="auto"/>
        </w:rPr>
      </w:pPr>
    </w:p>
    <w:p w14:paraId="3642FCF9">
      <w:pPr>
        <w:pStyle w:val="31"/>
        <w:rPr>
          <w:color w:val="auto"/>
        </w:rPr>
      </w:pPr>
    </w:p>
    <w:p w14:paraId="5C643AE2">
      <w:pPr>
        <w:pStyle w:val="31"/>
        <w:rPr>
          <w:color w:val="auto"/>
        </w:rPr>
      </w:pPr>
    </w:p>
    <w:p w14:paraId="6C119E2E">
      <w:pPr>
        <w:pStyle w:val="31"/>
        <w:rPr>
          <w:color w:val="auto"/>
        </w:rPr>
      </w:pPr>
    </w:p>
    <w:p w14:paraId="193E3B3D">
      <w:pPr>
        <w:pStyle w:val="31"/>
        <w:rPr>
          <w:color w:val="auto"/>
        </w:rPr>
      </w:pPr>
    </w:p>
    <w:p w14:paraId="23B2DD92">
      <w:pPr>
        <w:pStyle w:val="31"/>
        <w:rPr>
          <w:color w:val="auto"/>
        </w:rPr>
      </w:pPr>
    </w:p>
    <w:p w14:paraId="4E9D4FC4">
      <w:pPr>
        <w:pStyle w:val="31"/>
        <w:rPr>
          <w:color w:val="auto"/>
        </w:rPr>
      </w:pPr>
    </w:p>
    <w:p w14:paraId="027E9AED">
      <w:pPr>
        <w:pStyle w:val="31"/>
        <w:rPr>
          <w:color w:val="auto"/>
        </w:rPr>
      </w:pPr>
    </w:p>
    <w:p w14:paraId="735D37F8">
      <w:pPr>
        <w:pStyle w:val="31"/>
        <w:rPr>
          <w:color w:val="auto"/>
        </w:rPr>
      </w:pPr>
    </w:p>
    <w:p w14:paraId="3005C9F3">
      <w:pPr>
        <w:pStyle w:val="31"/>
        <w:rPr>
          <w:color w:val="auto"/>
        </w:rPr>
      </w:pPr>
    </w:p>
    <w:p w14:paraId="69440F9F">
      <w:pPr>
        <w:pStyle w:val="31"/>
        <w:rPr>
          <w:color w:val="auto"/>
        </w:rPr>
      </w:pPr>
    </w:p>
    <w:p w14:paraId="55D7F8D7">
      <w:pPr>
        <w:pStyle w:val="31"/>
        <w:rPr>
          <w:color w:val="auto"/>
        </w:rPr>
      </w:pPr>
    </w:p>
    <w:p w14:paraId="2785C940">
      <w:pPr>
        <w:pStyle w:val="31"/>
        <w:ind w:left="0" w:leftChars="0" w:firstLine="0" w:firstLineChars="0"/>
        <w:rPr>
          <w:color w:val="auto"/>
        </w:rPr>
      </w:pPr>
    </w:p>
    <w:p w14:paraId="6F29EDF9">
      <w:pPr>
        <w:pStyle w:val="31"/>
        <w:ind w:left="0" w:leftChars="0" w:firstLine="0" w:firstLineChars="0"/>
        <w:rPr>
          <w:color w:val="auto"/>
        </w:rPr>
      </w:pPr>
    </w:p>
    <w:p w14:paraId="64D1EA8B">
      <w:pPr>
        <w:pStyle w:val="31"/>
        <w:ind w:left="0" w:leftChars="0" w:firstLine="0" w:firstLineChars="0"/>
        <w:rPr>
          <w:color w:val="auto"/>
        </w:rPr>
      </w:pPr>
    </w:p>
    <w:p w14:paraId="5A5F7250">
      <w:pPr>
        <w:spacing w:before="240"/>
        <w:ind w:firstLine="643"/>
        <w:jc w:val="center"/>
        <w:rPr>
          <w:rFonts w:hint="eastAsia" w:eastAsia="宋体"/>
          <w:b/>
          <w:bCs/>
          <w:color w:val="auto"/>
          <w:sz w:val="32"/>
          <w:szCs w:val="32"/>
          <w:lang w:eastAsia="zh-CN"/>
        </w:rPr>
      </w:pPr>
      <w:r>
        <w:rPr>
          <w:rFonts w:hint="eastAsia"/>
          <w:b/>
          <w:bCs/>
          <w:color w:val="auto"/>
          <w:sz w:val="32"/>
          <w:szCs w:val="32"/>
          <w:lang w:eastAsia="zh-CN"/>
        </w:rPr>
        <w:t>江西洪城水业环保有限公司资溪县分公司</w:t>
      </w:r>
    </w:p>
    <w:p w14:paraId="0D1B9226">
      <w:pPr>
        <w:pStyle w:val="31"/>
        <w:keepNext w:val="0"/>
        <w:keepLines w:val="0"/>
        <w:pageBreakBefore w:val="0"/>
        <w:widowControl w:val="0"/>
        <w:kinsoku/>
        <w:wordWrap/>
        <w:overflowPunct/>
        <w:topLinePunct w:val="0"/>
        <w:autoSpaceDE/>
        <w:autoSpaceDN/>
        <w:bidi w:val="0"/>
        <w:adjustRightInd/>
        <w:ind w:firstLine="643"/>
        <w:jc w:val="center"/>
        <w:textAlignment w:val="auto"/>
        <w:outlineLvl w:val="9"/>
        <w:rPr>
          <w:color w:val="auto"/>
        </w:rPr>
      </w:pPr>
      <w:r>
        <w:rPr>
          <w:rFonts w:cs="Times New Roman"/>
          <w:b/>
          <w:bCs/>
          <w:color w:val="auto"/>
          <w:sz w:val="32"/>
          <w:szCs w:val="32"/>
        </w:rPr>
        <w:t>20</w:t>
      </w:r>
      <w:r>
        <w:rPr>
          <w:rFonts w:hint="eastAsia" w:cs="Times New Roman"/>
          <w:b/>
          <w:bCs/>
          <w:color w:val="auto"/>
          <w:sz w:val="32"/>
          <w:szCs w:val="32"/>
          <w:lang w:val="en-US" w:eastAsia="zh-CN"/>
        </w:rPr>
        <w:t>24</w:t>
      </w:r>
      <w:r>
        <w:rPr>
          <w:rFonts w:cs="Times New Roman"/>
          <w:b/>
          <w:bCs/>
          <w:color w:val="auto"/>
          <w:sz w:val="32"/>
          <w:szCs w:val="32"/>
        </w:rPr>
        <w:t>年</w:t>
      </w:r>
      <w:r>
        <w:rPr>
          <w:rFonts w:hint="eastAsia" w:cs="Times New Roman"/>
          <w:b/>
          <w:bCs/>
          <w:color w:val="auto"/>
          <w:sz w:val="32"/>
          <w:szCs w:val="32"/>
          <w:lang w:val="en-US" w:eastAsia="zh-CN"/>
        </w:rPr>
        <w:t>7</w:t>
      </w:r>
      <w:r>
        <w:rPr>
          <w:rFonts w:cs="Times New Roman"/>
          <w:b/>
          <w:bCs/>
          <w:color w:val="auto"/>
          <w:sz w:val="32"/>
          <w:szCs w:val="32"/>
        </w:rPr>
        <w:t>月</w:t>
      </w:r>
    </w:p>
    <w:p w14:paraId="2688F638">
      <w:pPr>
        <w:pStyle w:val="31"/>
        <w:rPr>
          <w:rFonts w:hint="eastAsia" w:eastAsia="宋体"/>
          <w:color w:val="auto"/>
          <w:lang w:eastAsia="zh-CN"/>
        </w:rPr>
      </w:pPr>
    </w:p>
    <w:p w14:paraId="4E0355EB">
      <w:pPr>
        <w:pStyle w:val="31"/>
        <w:rPr>
          <w:rFonts w:hint="eastAsia" w:eastAsia="宋体"/>
          <w:color w:val="auto"/>
          <w:lang w:eastAsia="zh-CN"/>
        </w:rPr>
      </w:pPr>
    </w:p>
    <w:p w14:paraId="23F3BDA2">
      <w:pPr>
        <w:pStyle w:val="31"/>
        <w:rPr>
          <w:rFonts w:hint="eastAsia" w:eastAsia="宋体"/>
          <w:color w:val="auto"/>
          <w:lang w:eastAsia="zh-CN"/>
        </w:rPr>
      </w:pPr>
    </w:p>
    <w:p w14:paraId="16FB4CC8">
      <w:pPr>
        <w:pStyle w:val="31"/>
        <w:rPr>
          <w:rFonts w:hint="eastAsia" w:eastAsia="宋体"/>
          <w:color w:val="auto"/>
          <w:lang w:eastAsia="zh-CN"/>
        </w:rPr>
      </w:pPr>
    </w:p>
    <w:p w14:paraId="5C07A2D1">
      <w:pPr>
        <w:pStyle w:val="31"/>
        <w:ind w:firstLine="0" w:firstLineChars="0"/>
        <w:jc w:val="center"/>
        <w:rPr>
          <w:b/>
          <w:bCs/>
          <w:color w:val="auto"/>
          <w:sz w:val="36"/>
          <w:szCs w:val="36"/>
        </w:rPr>
      </w:pPr>
      <w:r>
        <w:rPr>
          <w:rFonts w:hint="eastAsia"/>
          <w:b/>
          <w:bCs/>
          <w:color w:val="auto"/>
          <w:sz w:val="36"/>
          <w:szCs w:val="36"/>
        </w:rPr>
        <w:t>前言</w:t>
      </w:r>
    </w:p>
    <w:p w14:paraId="6F9C094A">
      <w:pPr>
        <w:pStyle w:val="31"/>
        <w:rPr>
          <w:color w:val="auto"/>
        </w:rPr>
      </w:pPr>
    </w:p>
    <w:p w14:paraId="0A45F066">
      <w:pPr>
        <w:pStyle w:val="31"/>
        <w:rPr>
          <w:color w:val="auto"/>
        </w:rPr>
      </w:pPr>
      <w:r>
        <w:rPr>
          <w:rFonts w:hint="eastAsia"/>
          <w:color w:val="auto"/>
        </w:rPr>
        <w:t>突发环境事件是指由于污染物排放或自然灾害、生产安全事故等因素，导致污染物或放射性物质等有毒有害物质进入水体、土壤等环境介质，突然造成或可能造成环境质量下降，危及公众身体健康和财产安全，或造成生态环境破坏，或造成重大社会影响，需要采取紧急措施予以应对的事件。突发环境事件具有发生突然、扩散迅速、危害范围广的特点，污染物没有固定的排放方式和排放途径，事件对环境可能造成严重污染和破坏，给人民的生命和财产造成重大损失。</w:t>
      </w:r>
    </w:p>
    <w:p w14:paraId="03E9CA24">
      <w:pPr>
        <w:pStyle w:val="31"/>
        <w:rPr>
          <w:color w:val="auto"/>
        </w:rPr>
      </w:pPr>
      <w:r>
        <w:rPr>
          <w:rFonts w:hint="eastAsia"/>
          <w:color w:val="auto"/>
        </w:rPr>
        <w:t>为有效防范突发环境事件的发生，及时、合理处置可能发生或突然发生的各类突发环境事件，保障人民群众身体健康及正常生产、生活，依据《中华人民共和国环境保护法》、《中华人民共和国突发事件应对法》等法律要求和环境保护部门的有关规定，</w:t>
      </w:r>
      <w:r>
        <w:rPr>
          <w:rFonts w:hint="eastAsia"/>
          <w:color w:val="auto"/>
          <w:lang w:eastAsia="zh-CN"/>
        </w:rPr>
        <w:t>江西洪城水业环保有限公司资溪县分公司</w:t>
      </w:r>
      <w:r>
        <w:rPr>
          <w:rFonts w:hint="eastAsia"/>
          <w:color w:val="auto"/>
        </w:rPr>
        <w:t>根据</w:t>
      </w:r>
      <w:r>
        <w:rPr>
          <w:rFonts w:hint="eastAsia"/>
          <w:color w:val="auto"/>
          <w:lang w:eastAsia="zh-CN"/>
        </w:rPr>
        <w:t>资溪县生活污水处理厂</w:t>
      </w:r>
      <w:r>
        <w:rPr>
          <w:rFonts w:hint="eastAsia"/>
          <w:color w:val="auto"/>
        </w:rPr>
        <w:t>生产运行情况，制定了《</w:t>
      </w:r>
      <w:r>
        <w:rPr>
          <w:rFonts w:hint="eastAsia"/>
          <w:color w:val="auto"/>
          <w:lang w:eastAsia="zh-CN"/>
        </w:rPr>
        <w:t>江西洪城水业环保有限公司资溪县分公司</w:t>
      </w:r>
      <w:r>
        <w:rPr>
          <w:rFonts w:hint="eastAsia"/>
          <w:color w:val="auto"/>
        </w:rPr>
        <w:t>突发环境事件应急预案》。预案主要包括环境风险源识别与风险评估、突发环境事件应急组织体系与职责、应急能力建设、预警与信息报送、应急响应和措施、后期处置、保障措施等内容。重点加强对</w:t>
      </w:r>
      <w:r>
        <w:rPr>
          <w:rFonts w:hint="eastAsia"/>
          <w:color w:val="auto"/>
          <w:lang w:eastAsia="zh-CN"/>
        </w:rPr>
        <w:t>资溪县生活污水处理厂</w:t>
      </w:r>
      <w:r>
        <w:rPr>
          <w:rFonts w:hint="eastAsia"/>
          <w:color w:val="auto"/>
        </w:rPr>
        <w:t>生产过程中各个环节的日常管理和环境安全防范工作，严防各种突发环境事件的发生，规范和强化应对突发环境事件的应急处置工作，以预防发生为重点，逐步完善处置突发环境事件的预警、处置及善后工作机制，建立防范有力、指挥有序、快速高效和统一协调的突发环境事件应急处置体系，以增强</w:t>
      </w:r>
      <w:r>
        <w:rPr>
          <w:rFonts w:hint="eastAsia"/>
          <w:color w:val="auto"/>
          <w:lang w:eastAsia="zh-CN"/>
        </w:rPr>
        <w:t>资溪县生活污水处理厂</w:t>
      </w:r>
      <w:r>
        <w:rPr>
          <w:rFonts w:hint="eastAsia"/>
          <w:color w:val="auto"/>
        </w:rPr>
        <w:t>应对突发环境事件的科学性、实效性和可操作性。</w:t>
      </w:r>
    </w:p>
    <w:p w14:paraId="2C49CEA8">
      <w:pPr>
        <w:pStyle w:val="31"/>
        <w:rPr>
          <w:color w:val="auto"/>
        </w:rPr>
      </w:pPr>
      <w:r>
        <w:rPr>
          <w:rFonts w:hint="eastAsia"/>
          <w:color w:val="auto"/>
        </w:rPr>
        <w:t>该预案由</w:t>
      </w:r>
      <w:r>
        <w:rPr>
          <w:rFonts w:hint="eastAsia"/>
          <w:color w:val="auto"/>
          <w:lang w:eastAsia="zh-CN"/>
        </w:rPr>
        <w:t>江西洪城水业环保有限公司资溪县分公司</w:t>
      </w:r>
      <w:r>
        <w:rPr>
          <w:rFonts w:hint="eastAsia"/>
          <w:color w:val="auto"/>
        </w:rPr>
        <w:t>制定，由</w:t>
      </w:r>
      <w:r>
        <w:rPr>
          <w:rFonts w:hint="eastAsia"/>
          <w:color w:val="auto"/>
          <w:lang w:eastAsia="zh-CN"/>
        </w:rPr>
        <w:t>江西洪城水业环保有限公司资溪县分公司</w:t>
      </w:r>
      <w:r>
        <w:rPr>
          <w:rFonts w:hint="eastAsia"/>
          <w:color w:val="auto"/>
        </w:rPr>
        <w:t>批准发布并实施。</w:t>
      </w:r>
    </w:p>
    <w:p w14:paraId="7754E25D">
      <w:pPr>
        <w:pStyle w:val="31"/>
        <w:rPr>
          <w:color w:val="auto"/>
        </w:rPr>
      </w:pPr>
    </w:p>
    <w:p w14:paraId="598CFEBC">
      <w:pPr>
        <w:pStyle w:val="31"/>
        <w:rPr>
          <w:color w:val="auto"/>
        </w:rPr>
      </w:pPr>
    </w:p>
    <w:p w14:paraId="02FFD894">
      <w:pPr>
        <w:pStyle w:val="31"/>
        <w:rPr>
          <w:color w:val="auto"/>
        </w:rPr>
        <w:sectPr>
          <w:footerReference r:id="rId9" w:type="default"/>
          <w:pgSz w:w="11906" w:h="16838"/>
          <w:pgMar w:top="1440" w:right="1417" w:bottom="1440" w:left="1417"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731A668C">
      <w:pPr>
        <w:pStyle w:val="31"/>
        <w:ind w:firstLine="0" w:firstLineChars="0"/>
        <w:jc w:val="center"/>
        <w:rPr>
          <w:b/>
          <w:bCs/>
          <w:color w:val="auto"/>
          <w:sz w:val="36"/>
          <w:szCs w:val="36"/>
        </w:rPr>
      </w:pPr>
      <w:r>
        <w:rPr>
          <w:rFonts w:hint="eastAsia"/>
          <w:b/>
          <w:bCs/>
          <w:color w:val="auto"/>
          <w:sz w:val="36"/>
          <w:szCs w:val="36"/>
        </w:rPr>
        <w:t>目  录</w:t>
      </w:r>
    </w:p>
    <w:p w14:paraId="3C254906">
      <w:pPr>
        <w:pStyle w:val="15"/>
        <w:tabs>
          <w:tab w:val="right" w:leader="dot" w:pos="8306"/>
        </w:tabs>
        <w:rPr>
          <w:color w:val="auto"/>
          <w:sz w:val="24"/>
          <w:szCs w:val="24"/>
        </w:rPr>
      </w:pPr>
      <w:r>
        <w:rPr>
          <w:color w:val="auto"/>
          <w:sz w:val="24"/>
          <w:szCs w:val="24"/>
        </w:rPr>
        <w:fldChar w:fldCharType="begin"/>
      </w:r>
      <w:r>
        <w:rPr>
          <w:color w:val="auto"/>
          <w:sz w:val="24"/>
          <w:szCs w:val="24"/>
        </w:rPr>
        <w:instrText xml:space="preserve">TOC \o "1-2" \h \u </w:instrText>
      </w:r>
      <w:r>
        <w:rPr>
          <w:color w:val="auto"/>
          <w:sz w:val="24"/>
          <w:szCs w:val="24"/>
        </w:rPr>
        <w:fldChar w:fldCharType="separate"/>
      </w:r>
      <w:r>
        <w:rPr>
          <w:color w:val="auto"/>
          <w:sz w:val="24"/>
          <w:szCs w:val="24"/>
        </w:rPr>
        <w:fldChar w:fldCharType="begin"/>
      </w:r>
      <w:r>
        <w:rPr>
          <w:color w:val="auto"/>
          <w:sz w:val="24"/>
          <w:szCs w:val="24"/>
        </w:rPr>
        <w:instrText xml:space="preserve"> HYPERLINK \l _Toc16793 </w:instrText>
      </w:r>
      <w:r>
        <w:rPr>
          <w:color w:val="auto"/>
          <w:sz w:val="24"/>
          <w:szCs w:val="24"/>
        </w:rPr>
        <w:fldChar w:fldCharType="separate"/>
      </w:r>
      <w:r>
        <w:rPr>
          <w:rFonts w:hint="eastAsia"/>
          <w:color w:val="auto"/>
          <w:sz w:val="24"/>
          <w:szCs w:val="24"/>
        </w:rPr>
        <w:t>1总则</w:t>
      </w:r>
      <w:r>
        <w:rPr>
          <w:color w:val="auto"/>
          <w:sz w:val="24"/>
          <w:szCs w:val="24"/>
        </w:rPr>
        <w:tab/>
      </w:r>
      <w:r>
        <w:rPr>
          <w:color w:val="auto"/>
          <w:sz w:val="24"/>
          <w:szCs w:val="24"/>
        </w:rPr>
        <w:fldChar w:fldCharType="begin"/>
      </w:r>
      <w:r>
        <w:rPr>
          <w:color w:val="auto"/>
          <w:sz w:val="24"/>
          <w:szCs w:val="24"/>
        </w:rPr>
        <w:instrText xml:space="preserve"> PAGEREF _Toc16793 \h </w:instrText>
      </w:r>
      <w:r>
        <w:rPr>
          <w:color w:val="auto"/>
          <w:sz w:val="24"/>
          <w:szCs w:val="24"/>
        </w:rPr>
        <w:fldChar w:fldCharType="separate"/>
      </w:r>
      <w:r>
        <w:rPr>
          <w:color w:val="auto"/>
          <w:sz w:val="24"/>
          <w:szCs w:val="24"/>
        </w:rPr>
        <w:t>1</w:t>
      </w:r>
      <w:r>
        <w:rPr>
          <w:color w:val="auto"/>
          <w:sz w:val="24"/>
          <w:szCs w:val="24"/>
        </w:rPr>
        <w:fldChar w:fldCharType="end"/>
      </w:r>
      <w:r>
        <w:rPr>
          <w:color w:val="auto"/>
          <w:sz w:val="24"/>
          <w:szCs w:val="24"/>
        </w:rPr>
        <w:fldChar w:fldCharType="end"/>
      </w:r>
    </w:p>
    <w:p w14:paraId="58F175CF">
      <w:pPr>
        <w:pStyle w:val="19"/>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_Toc27117 </w:instrText>
      </w:r>
      <w:r>
        <w:rPr>
          <w:color w:val="auto"/>
          <w:sz w:val="24"/>
          <w:szCs w:val="24"/>
        </w:rPr>
        <w:fldChar w:fldCharType="separate"/>
      </w:r>
      <w:r>
        <w:rPr>
          <w:rFonts w:hint="eastAsia"/>
          <w:color w:val="auto"/>
          <w:sz w:val="24"/>
          <w:szCs w:val="24"/>
        </w:rPr>
        <w:t>1.1编制目的</w:t>
      </w:r>
      <w:r>
        <w:rPr>
          <w:color w:val="auto"/>
          <w:sz w:val="24"/>
          <w:szCs w:val="24"/>
        </w:rPr>
        <w:tab/>
      </w:r>
      <w:r>
        <w:rPr>
          <w:color w:val="auto"/>
          <w:sz w:val="24"/>
          <w:szCs w:val="24"/>
        </w:rPr>
        <w:fldChar w:fldCharType="begin"/>
      </w:r>
      <w:r>
        <w:rPr>
          <w:color w:val="auto"/>
          <w:sz w:val="24"/>
          <w:szCs w:val="24"/>
        </w:rPr>
        <w:instrText xml:space="preserve"> PAGEREF _Toc27117 \h </w:instrText>
      </w:r>
      <w:r>
        <w:rPr>
          <w:color w:val="auto"/>
          <w:sz w:val="24"/>
          <w:szCs w:val="24"/>
        </w:rPr>
        <w:fldChar w:fldCharType="separate"/>
      </w:r>
      <w:r>
        <w:rPr>
          <w:color w:val="auto"/>
          <w:sz w:val="24"/>
          <w:szCs w:val="24"/>
        </w:rPr>
        <w:t>1</w:t>
      </w:r>
      <w:r>
        <w:rPr>
          <w:color w:val="auto"/>
          <w:sz w:val="24"/>
          <w:szCs w:val="24"/>
        </w:rPr>
        <w:fldChar w:fldCharType="end"/>
      </w:r>
      <w:r>
        <w:rPr>
          <w:color w:val="auto"/>
          <w:sz w:val="24"/>
          <w:szCs w:val="24"/>
        </w:rPr>
        <w:fldChar w:fldCharType="end"/>
      </w:r>
    </w:p>
    <w:p w14:paraId="4BF86BF6">
      <w:pPr>
        <w:pStyle w:val="19"/>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_Toc20856 </w:instrText>
      </w:r>
      <w:r>
        <w:rPr>
          <w:color w:val="auto"/>
          <w:sz w:val="24"/>
          <w:szCs w:val="24"/>
        </w:rPr>
        <w:fldChar w:fldCharType="separate"/>
      </w:r>
      <w:r>
        <w:rPr>
          <w:rFonts w:hint="eastAsia"/>
          <w:color w:val="auto"/>
          <w:sz w:val="24"/>
          <w:szCs w:val="24"/>
        </w:rPr>
        <w:t>1.2编制依据</w:t>
      </w:r>
      <w:r>
        <w:rPr>
          <w:color w:val="auto"/>
          <w:sz w:val="24"/>
          <w:szCs w:val="24"/>
        </w:rPr>
        <w:tab/>
      </w:r>
      <w:r>
        <w:rPr>
          <w:color w:val="auto"/>
          <w:sz w:val="24"/>
          <w:szCs w:val="24"/>
        </w:rPr>
        <w:fldChar w:fldCharType="begin"/>
      </w:r>
      <w:r>
        <w:rPr>
          <w:color w:val="auto"/>
          <w:sz w:val="24"/>
          <w:szCs w:val="24"/>
        </w:rPr>
        <w:instrText xml:space="preserve"> PAGEREF _Toc20856 \h </w:instrText>
      </w:r>
      <w:r>
        <w:rPr>
          <w:color w:val="auto"/>
          <w:sz w:val="24"/>
          <w:szCs w:val="24"/>
        </w:rPr>
        <w:fldChar w:fldCharType="separate"/>
      </w:r>
      <w:r>
        <w:rPr>
          <w:color w:val="auto"/>
          <w:sz w:val="24"/>
          <w:szCs w:val="24"/>
        </w:rPr>
        <w:t>1</w:t>
      </w:r>
      <w:r>
        <w:rPr>
          <w:color w:val="auto"/>
          <w:sz w:val="24"/>
          <w:szCs w:val="24"/>
        </w:rPr>
        <w:fldChar w:fldCharType="end"/>
      </w:r>
      <w:r>
        <w:rPr>
          <w:color w:val="auto"/>
          <w:sz w:val="24"/>
          <w:szCs w:val="24"/>
        </w:rPr>
        <w:fldChar w:fldCharType="end"/>
      </w:r>
    </w:p>
    <w:p w14:paraId="31E62A23">
      <w:pPr>
        <w:pStyle w:val="19"/>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_Toc29171 </w:instrText>
      </w:r>
      <w:r>
        <w:rPr>
          <w:color w:val="auto"/>
          <w:sz w:val="24"/>
          <w:szCs w:val="24"/>
        </w:rPr>
        <w:fldChar w:fldCharType="separate"/>
      </w:r>
      <w:r>
        <w:rPr>
          <w:rFonts w:hint="eastAsia"/>
          <w:color w:val="auto"/>
          <w:sz w:val="24"/>
          <w:szCs w:val="24"/>
        </w:rPr>
        <w:t>1.3适用范围</w:t>
      </w:r>
      <w:r>
        <w:rPr>
          <w:color w:val="auto"/>
          <w:sz w:val="24"/>
          <w:szCs w:val="24"/>
        </w:rPr>
        <w:tab/>
      </w:r>
      <w:r>
        <w:rPr>
          <w:color w:val="auto"/>
          <w:sz w:val="24"/>
          <w:szCs w:val="24"/>
        </w:rPr>
        <w:fldChar w:fldCharType="begin"/>
      </w:r>
      <w:r>
        <w:rPr>
          <w:color w:val="auto"/>
          <w:sz w:val="24"/>
          <w:szCs w:val="24"/>
        </w:rPr>
        <w:instrText xml:space="preserve"> PAGEREF _Toc29171 \h </w:instrText>
      </w:r>
      <w:r>
        <w:rPr>
          <w:color w:val="auto"/>
          <w:sz w:val="24"/>
          <w:szCs w:val="24"/>
        </w:rPr>
        <w:fldChar w:fldCharType="separate"/>
      </w:r>
      <w:r>
        <w:rPr>
          <w:color w:val="auto"/>
          <w:sz w:val="24"/>
          <w:szCs w:val="24"/>
        </w:rPr>
        <w:t>2</w:t>
      </w:r>
      <w:r>
        <w:rPr>
          <w:color w:val="auto"/>
          <w:sz w:val="24"/>
          <w:szCs w:val="24"/>
        </w:rPr>
        <w:fldChar w:fldCharType="end"/>
      </w:r>
      <w:r>
        <w:rPr>
          <w:color w:val="auto"/>
          <w:sz w:val="24"/>
          <w:szCs w:val="24"/>
        </w:rPr>
        <w:fldChar w:fldCharType="end"/>
      </w:r>
    </w:p>
    <w:p w14:paraId="452125E1">
      <w:pPr>
        <w:pStyle w:val="19"/>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_Toc24860 </w:instrText>
      </w:r>
      <w:r>
        <w:rPr>
          <w:color w:val="auto"/>
          <w:sz w:val="24"/>
          <w:szCs w:val="24"/>
        </w:rPr>
        <w:fldChar w:fldCharType="separate"/>
      </w:r>
      <w:r>
        <w:rPr>
          <w:rFonts w:hint="eastAsia"/>
          <w:color w:val="auto"/>
          <w:sz w:val="24"/>
          <w:szCs w:val="24"/>
        </w:rPr>
        <w:t>1.4各级应急预案衔接</w:t>
      </w:r>
      <w:r>
        <w:rPr>
          <w:color w:val="auto"/>
          <w:sz w:val="24"/>
          <w:szCs w:val="24"/>
        </w:rPr>
        <w:tab/>
      </w:r>
      <w:r>
        <w:rPr>
          <w:color w:val="auto"/>
          <w:sz w:val="24"/>
          <w:szCs w:val="24"/>
        </w:rPr>
        <w:fldChar w:fldCharType="begin"/>
      </w:r>
      <w:r>
        <w:rPr>
          <w:color w:val="auto"/>
          <w:sz w:val="24"/>
          <w:szCs w:val="24"/>
        </w:rPr>
        <w:instrText xml:space="preserve"> PAGEREF _Toc24860 \h </w:instrText>
      </w:r>
      <w:r>
        <w:rPr>
          <w:color w:val="auto"/>
          <w:sz w:val="24"/>
          <w:szCs w:val="24"/>
        </w:rPr>
        <w:fldChar w:fldCharType="separate"/>
      </w:r>
      <w:r>
        <w:rPr>
          <w:color w:val="auto"/>
          <w:sz w:val="24"/>
          <w:szCs w:val="24"/>
        </w:rPr>
        <w:t>2</w:t>
      </w:r>
      <w:r>
        <w:rPr>
          <w:color w:val="auto"/>
          <w:sz w:val="24"/>
          <w:szCs w:val="24"/>
        </w:rPr>
        <w:fldChar w:fldCharType="end"/>
      </w:r>
      <w:r>
        <w:rPr>
          <w:color w:val="auto"/>
          <w:sz w:val="24"/>
          <w:szCs w:val="24"/>
        </w:rPr>
        <w:fldChar w:fldCharType="end"/>
      </w:r>
    </w:p>
    <w:p w14:paraId="7C65EC19">
      <w:pPr>
        <w:pStyle w:val="19"/>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_Toc24579 </w:instrText>
      </w:r>
      <w:r>
        <w:rPr>
          <w:color w:val="auto"/>
          <w:sz w:val="24"/>
          <w:szCs w:val="24"/>
        </w:rPr>
        <w:fldChar w:fldCharType="separate"/>
      </w:r>
      <w:r>
        <w:rPr>
          <w:rFonts w:hint="eastAsia"/>
          <w:color w:val="auto"/>
          <w:sz w:val="24"/>
          <w:szCs w:val="24"/>
        </w:rPr>
        <w:t>1.5工作原则</w:t>
      </w:r>
      <w:r>
        <w:rPr>
          <w:color w:val="auto"/>
          <w:sz w:val="24"/>
          <w:szCs w:val="24"/>
        </w:rPr>
        <w:tab/>
      </w:r>
      <w:r>
        <w:rPr>
          <w:color w:val="auto"/>
          <w:sz w:val="24"/>
          <w:szCs w:val="24"/>
        </w:rPr>
        <w:fldChar w:fldCharType="begin"/>
      </w:r>
      <w:r>
        <w:rPr>
          <w:color w:val="auto"/>
          <w:sz w:val="24"/>
          <w:szCs w:val="24"/>
        </w:rPr>
        <w:instrText xml:space="preserve"> PAGEREF _Toc24579 \h </w:instrText>
      </w:r>
      <w:r>
        <w:rPr>
          <w:color w:val="auto"/>
          <w:sz w:val="24"/>
          <w:szCs w:val="24"/>
        </w:rPr>
        <w:fldChar w:fldCharType="separate"/>
      </w:r>
      <w:r>
        <w:rPr>
          <w:color w:val="auto"/>
          <w:sz w:val="24"/>
          <w:szCs w:val="24"/>
        </w:rPr>
        <w:t>2</w:t>
      </w:r>
      <w:r>
        <w:rPr>
          <w:color w:val="auto"/>
          <w:sz w:val="24"/>
          <w:szCs w:val="24"/>
        </w:rPr>
        <w:fldChar w:fldCharType="end"/>
      </w:r>
      <w:r>
        <w:rPr>
          <w:color w:val="auto"/>
          <w:sz w:val="24"/>
          <w:szCs w:val="24"/>
        </w:rPr>
        <w:fldChar w:fldCharType="end"/>
      </w:r>
    </w:p>
    <w:p w14:paraId="2ED3A7BB">
      <w:pPr>
        <w:pStyle w:val="15"/>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_Toc918 </w:instrText>
      </w:r>
      <w:r>
        <w:rPr>
          <w:color w:val="auto"/>
          <w:sz w:val="24"/>
          <w:szCs w:val="24"/>
        </w:rPr>
        <w:fldChar w:fldCharType="separate"/>
      </w:r>
      <w:r>
        <w:rPr>
          <w:rFonts w:hint="eastAsia"/>
          <w:color w:val="auto"/>
          <w:sz w:val="24"/>
          <w:szCs w:val="24"/>
        </w:rPr>
        <w:t>2资料准备与环境风险识别</w:t>
      </w:r>
      <w:r>
        <w:rPr>
          <w:color w:val="auto"/>
          <w:sz w:val="24"/>
          <w:szCs w:val="24"/>
        </w:rPr>
        <w:tab/>
      </w:r>
      <w:r>
        <w:rPr>
          <w:color w:val="auto"/>
          <w:sz w:val="24"/>
          <w:szCs w:val="24"/>
        </w:rPr>
        <w:fldChar w:fldCharType="begin"/>
      </w:r>
      <w:r>
        <w:rPr>
          <w:color w:val="auto"/>
          <w:sz w:val="24"/>
          <w:szCs w:val="24"/>
        </w:rPr>
        <w:instrText xml:space="preserve"> PAGEREF _Toc918 \h </w:instrText>
      </w:r>
      <w:r>
        <w:rPr>
          <w:color w:val="auto"/>
          <w:sz w:val="24"/>
          <w:szCs w:val="24"/>
        </w:rPr>
        <w:fldChar w:fldCharType="separate"/>
      </w:r>
      <w:r>
        <w:rPr>
          <w:color w:val="auto"/>
          <w:sz w:val="24"/>
          <w:szCs w:val="24"/>
        </w:rPr>
        <w:t>3</w:t>
      </w:r>
      <w:r>
        <w:rPr>
          <w:color w:val="auto"/>
          <w:sz w:val="24"/>
          <w:szCs w:val="24"/>
        </w:rPr>
        <w:fldChar w:fldCharType="end"/>
      </w:r>
      <w:r>
        <w:rPr>
          <w:color w:val="auto"/>
          <w:sz w:val="24"/>
          <w:szCs w:val="24"/>
        </w:rPr>
        <w:fldChar w:fldCharType="end"/>
      </w:r>
    </w:p>
    <w:p w14:paraId="3AF6901F">
      <w:pPr>
        <w:pStyle w:val="19"/>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_Toc26550 </w:instrText>
      </w:r>
      <w:r>
        <w:rPr>
          <w:color w:val="auto"/>
          <w:sz w:val="24"/>
          <w:szCs w:val="24"/>
        </w:rPr>
        <w:fldChar w:fldCharType="separate"/>
      </w:r>
      <w:r>
        <w:rPr>
          <w:rFonts w:hint="eastAsia"/>
          <w:color w:val="auto"/>
          <w:sz w:val="24"/>
          <w:szCs w:val="24"/>
        </w:rPr>
        <w:t>2.1单位的基本情况</w:t>
      </w:r>
      <w:r>
        <w:rPr>
          <w:color w:val="auto"/>
          <w:sz w:val="24"/>
          <w:szCs w:val="24"/>
        </w:rPr>
        <w:tab/>
      </w:r>
      <w:r>
        <w:rPr>
          <w:color w:val="auto"/>
          <w:sz w:val="24"/>
          <w:szCs w:val="24"/>
        </w:rPr>
        <w:fldChar w:fldCharType="begin"/>
      </w:r>
      <w:r>
        <w:rPr>
          <w:color w:val="auto"/>
          <w:sz w:val="24"/>
          <w:szCs w:val="24"/>
        </w:rPr>
        <w:instrText xml:space="preserve"> PAGEREF _Toc26550 \h </w:instrText>
      </w:r>
      <w:r>
        <w:rPr>
          <w:color w:val="auto"/>
          <w:sz w:val="24"/>
          <w:szCs w:val="24"/>
        </w:rPr>
        <w:fldChar w:fldCharType="separate"/>
      </w:r>
      <w:r>
        <w:rPr>
          <w:color w:val="auto"/>
          <w:sz w:val="24"/>
          <w:szCs w:val="24"/>
        </w:rPr>
        <w:t>3</w:t>
      </w:r>
      <w:r>
        <w:rPr>
          <w:color w:val="auto"/>
          <w:sz w:val="24"/>
          <w:szCs w:val="24"/>
        </w:rPr>
        <w:fldChar w:fldCharType="end"/>
      </w:r>
      <w:r>
        <w:rPr>
          <w:color w:val="auto"/>
          <w:sz w:val="24"/>
          <w:szCs w:val="24"/>
        </w:rPr>
        <w:fldChar w:fldCharType="end"/>
      </w:r>
    </w:p>
    <w:p w14:paraId="2708FE51">
      <w:pPr>
        <w:pStyle w:val="19"/>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_Toc32703 </w:instrText>
      </w:r>
      <w:r>
        <w:rPr>
          <w:color w:val="auto"/>
          <w:sz w:val="24"/>
          <w:szCs w:val="24"/>
        </w:rPr>
        <w:fldChar w:fldCharType="separate"/>
      </w:r>
      <w:r>
        <w:rPr>
          <w:rFonts w:hint="eastAsia"/>
          <w:color w:val="auto"/>
          <w:sz w:val="24"/>
          <w:szCs w:val="24"/>
        </w:rPr>
        <w:t>2.2生产的基本情况</w:t>
      </w:r>
      <w:r>
        <w:rPr>
          <w:color w:val="auto"/>
          <w:sz w:val="24"/>
          <w:szCs w:val="24"/>
        </w:rPr>
        <w:tab/>
      </w:r>
      <w:r>
        <w:rPr>
          <w:color w:val="auto"/>
          <w:sz w:val="24"/>
          <w:szCs w:val="24"/>
        </w:rPr>
        <w:fldChar w:fldCharType="begin"/>
      </w:r>
      <w:r>
        <w:rPr>
          <w:color w:val="auto"/>
          <w:sz w:val="24"/>
          <w:szCs w:val="24"/>
        </w:rPr>
        <w:instrText xml:space="preserve"> PAGEREF _Toc32703 \h </w:instrText>
      </w:r>
      <w:r>
        <w:rPr>
          <w:color w:val="auto"/>
          <w:sz w:val="24"/>
          <w:szCs w:val="24"/>
        </w:rPr>
        <w:fldChar w:fldCharType="separate"/>
      </w:r>
      <w:r>
        <w:rPr>
          <w:color w:val="auto"/>
          <w:sz w:val="24"/>
          <w:szCs w:val="24"/>
        </w:rPr>
        <w:t>4</w:t>
      </w:r>
      <w:r>
        <w:rPr>
          <w:color w:val="auto"/>
          <w:sz w:val="24"/>
          <w:szCs w:val="24"/>
        </w:rPr>
        <w:fldChar w:fldCharType="end"/>
      </w:r>
      <w:r>
        <w:rPr>
          <w:color w:val="auto"/>
          <w:sz w:val="24"/>
          <w:szCs w:val="24"/>
        </w:rPr>
        <w:fldChar w:fldCharType="end"/>
      </w:r>
    </w:p>
    <w:p w14:paraId="3B124BD9">
      <w:pPr>
        <w:pStyle w:val="19"/>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_Toc6039 </w:instrText>
      </w:r>
      <w:r>
        <w:rPr>
          <w:color w:val="auto"/>
          <w:sz w:val="24"/>
          <w:szCs w:val="24"/>
        </w:rPr>
        <w:fldChar w:fldCharType="separate"/>
      </w:r>
      <w:r>
        <w:rPr>
          <w:rFonts w:hint="eastAsia"/>
          <w:color w:val="auto"/>
          <w:sz w:val="24"/>
          <w:szCs w:val="24"/>
        </w:rPr>
        <w:t>2.3危险化学品的基本情况</w:t>
      </w:r>
      <w:r>
        <w:rPr>
          <w:color w:val="auto"/>
          <w:sz w:val="24"/>
          <w:szCs w:val="24"/>
        </w:rPr>
        <w:tab/>
      </w:r>
      <w:r>
        <w:rPr>
          <w:color w:val="auto"/>
          <w:sz w:val="24"/>
          <w:szCs w:val="24"/>
        </w:rPr>
        <w:fldChar w:fldCharType="begin"/>
      </w:r>
      <w:r>
        <w:rPr>
          <w:color w:val="auto"/>
          <w:sz w:val="24"/>
          <w:szCs w:val="24"/>
        </w:rPr>
        <w:instrText xml:space="preserve"> PAGEREF _Toc6039 \h </w:instrText>
      </w:r>
      <w:r>
        <w:rPr>
          <w:color w:val="auto"/>
          <w:sz w:val="24"/>
          <w:szCs w:val="24"/>
        </w:rPr>
        <w:fldChar w:fldCharType="separate"/>
      </w:r>
      <w:r>
        <w:rPr>
          <w:color w:val="auto"/>
          <w:sz w:val="24"/>
          <w:szCs w:val="24"/>
        </w:rPr>
        <w:t>6</w:t>
      </w:r>
      <w:r>
        <w:rPr>
          <w:color w:val="auto"/>
          <w:sz w:val="24"/>
          <w:szCs w:val="24"/>
        </w:rPr>
        <w:fldChar w:fldCharType="end"/>
      </w:r>
      <w:r>
        <w:rPr>
          <w:color w:val="auto"/>
          <w:sz w:val="24"/>
          <w:szCs w:val="24"/>
        </w:rPr>
        <w:fldChar w:fldCharType="end"/>
      </w:r>
    </w:p>
    <w:p w14:paraId="51439B71">
      <w:pPr>
        <w:pStyle w:val="19"/>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_Toc26790 </w:instrText>
      </w:r>
      <w:r>
        <w:rPr>
          <w:color w:val="auto"/>
          <w:sz w:val="24"/>
          <w:szCs w:val="24"/>
        </w:rPr>
        <w:fldChar w:fldCharType="separate"/>
      </w:r>
      <w:r>
        <w:rPr>
          <w:rFonts w:hint="eastAsia"/>
          <w:color w:val="auto"/>
          <w:sz w:val="24"/>
          <w:szCs w:val="24"/>
        </w:rPr>
        <w:t>2.4周边环境状况及环境保护目标情况</w:t>
      </w:r>
      <w:r>
        <w:rPr>
          <w:color w:val="auto"/>
          <w:sz w:val="24"/>
          <w:szCs w:val="24"/>
        </w:rPr>
        <w:tab/>
      </w:r>
      <w:r>
        <w:rPr>
          <w:color w:val="auto"/>
          <w:sz w:val="24"/>
          <w:szCs w:val="24"/>
        </w:rPr>
        <w:fldChar w:fldCharType="begin"/>
      </w:r>
      <w:r>
        <w:rPr>
          <w:color w:val="auto"/>
          <w:sz w:val="24"/>
          <w:szCs w:val="24"/>
        </w:rPr>
        <w:instrText xml:space="preserve"> PAGEREF _Toc26790 \h </w:instrText>
      </w:r>
      <w:r>
        <w:rPr>
          <w:color w:val="auto"/>
          <w:sz w:val="24"/>
          <w:szCs w:val="24"/>
        </w:rPr>
        <w:fldChar w:fldCharType="separate"/>
      </w:r>
      <w:r>
        <w:rPr>
          <w:color w:val="auto"/>
          <w:sz w:val="24"/>
          <w:szCs w:val="24"/>
        </w:rPr>
        <w:t>7</w:t>
      </w:r>
      <w:r>
        <w:rPr>
          <w:color w:val="auto"/>
          <w:sz w:val="24"/>
          <w:szCs w:val="24"/>
        </w:rPr>
        <w:fldChar w:fldCharType="end"/>
      </w:r>
      <w:r>
        <w:rPr>
          <w:color w:val="auto"/>
          <w:sz w:val="24"/>
          <w:szCs w:val="24"/>
        </w:rPr>
        <w:fldChar w:fldCharType="end"/>
      </w:r>
    </w:p>
    <w:p w14:paraId="5D89145E">
      <w:pPr>
        <w:pStyle w:val="19"/>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_Toc16998 </w:instrText>
      </w:r>
      <w:r>
        <w:rPr>
          <w:color w:val="auto"/>
          <w:sz w:val="24"/>
          <w:szCs w:val="24"/>
        </w:rPr>
        <w:fldChar w:fldCharType="separate"/>
      </w:r>
      <w:r>
        <w:rPr>
          <w:rFonts w:hint="eastAsia" w:ascii="Times New Roman" w:hAnsi="Times New Roman" w:eastAsia="宋体"/>
          <w:color w:val="auto"/>
          <w:sz w:val="24"/>
          <w:szCs w:val="24"/>
          <w:lang w:val="en-US" w:eastAsia="zh-CN"/>
        </w:rPr>
        <w:t>2.5</w:t>
      </w:r>
      <w:r>
        <w:rPr>
          <w:rFonts w:hint="default" w:ascii="Times New Roman" w:hAnsi="Times New Roman" w:eastAsia="宋体"/>
          <w:color w:val="auto"/>
          <w:sz w:val="24"/>
          <w:szCs w:val="24"/>
          <w:lang w:val="en-US" w:eastAsia="zh-CN"/>
        </w:rPr>
        <w:t>环境风险源识别</w:t>
      </w:r>
      <w:r>
        <w:rPr>
          <w:color w:val="auto"/>
          <w:sz w:val="24"/>
          <w:szCs w:val="24"/>
        </w:rPr>
        <w:tab/>
      </w:r>
      <w:r>
        <w:rPr>
          <w:color w:val="auto"/>
          <w:sz w:val="24"/>
          <w:szCs w:val="24"/>
        </w:rPr>
        <w:fldChar w:fldCharType="begin"/>
      </w:r>
      <w:r>
        <w:rPr>
          <w:color w:val="auto"/>
          <w:sz w:val="24"/>
          <w:szCs w:val="24"/>
        </w:rPr>
        <w:instrText xml:space="preserve"> PAGEREF _Toc16998 \h </w:instrText>
      </w:r>
      <w:r>
        <w:rPr>
          <w:color w:val="auto"/>
          <w:sz w:val="24"/>
          <w:szCs w:val="24"/>
        </w:rPr>
        <w:fldChar w:fldCharType="separate"/>
      </w:r>
      <w:r>
        <w:rPr>
          <w:color w:val="auto"/>
          <w:sz w:val="24"/>
          <w:szCs w:val="24"/>
        </w:rPr>
        <w:t>8</w:t>
      </w:r>
      <w:r>
        <w:rPr>
          <w:color w:val="auto"/>
          <w:sz w:val="24"/>
          <w:szCs w:val="24"/>
        </w:rPr>
        <w:fldChar w:fldCharType="end"/>
      </w:r>
      <w:r>
        <w:rPr>
          <w:color w:val="auto"/>
          <w:sz w:val="24"/>
          <w:szCs w:val="24"/>
        </w:rPr>
        <w:fldChar w:fldCharType="end"/>
      </w:r>
    </w:p>
    <w:p w14:paraId="7A62C95B">
      <w:pPr>
        <w:pStyle w:val="19"/>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_Toc19020 </w:instrText>
      </w:r>
      <w:r>
        <w:rPr>
          <w:color w:val="auto"/>
          <w:sz w:val="24"/>
          <w:szCs w:val="24"/>
        </w:rPr>
        <w:fldChar w:fldCharType="separate"/>
      </w:r>
      <w:r>
        <w:rPr>
          <w:rFonts w:hint="eastAsia" w:ascii="Times New Roman" w:hAnsi="Times New Roman" w:eastAsia="宋体" w:cs="Times New Roman"/>
          <w:color w:val="auto"/>
          <w:sz w:val="24"/>
          <w:szCs w:val="24"/>
          <w:lang w:val="en-US" w:eastAsia="zh-CN"/>
        </w:rPr>
        <w:t>2.6</w:t>
      </w:r>
      <w:r>
        <w:rPr>
          <w:rFonts w:hint="default" w:ascii="Times New Roman" w:hAnsi="Times New Roman" w:eastAsia="宋体" w:cs="Times New Roman"/>
          <w:color w:val="auto"/>
          <w:sz w:val="24"/>
          <w:szCs w:val="24"/>
        </w:rPr>
        <w:t>涉及环境风险物质</w:t>
      </w:r>
      <w:r>
        <w:rPr>
          <w:rFonts w:hint="default" w:ascii="Times New Roman" w:hAnsi="Times New Roman" w:eastAsia="宋体" w:cs="Times New Roman"/>
          <w:color w:val="auto"/>
          <w:sz w:val="24"/>
          <w:szCs w:val="24"/>
          <w:lang w:eastAsia="zh-CN"/>
        </w:rPr>
        <w:t>识别</w:t>
      </w:r>
      <w:r>
        <w:rPr>
          <w:color w:val="auto"/>
          <w:sz w:val="24"/>
          <w:szCs w:val="24"/>
        </w:rPr>
        <w:tab/>
      </w:r>
      <w:r>
        <w:rPr>
          <w:color w:val="auto"/>
          <w:sz w:val="24"/>
          <w:szCs w:val="24"/>
        </w:rPr>
        <w:fldChar w:fldCharType="begin"/>
      </w:r>
      <w:r>
        <w:rPr>
          <w:color w:val="auto"/>
          <w:sz w:val="24"/>
          <w:szCs w:val="24"/>
        </w:rPr>
        <w:instrText xml:space="preserve"> PAGEREF _Toc19020 \h </w:instrText>
      </w:r>
      <w:r>
        <w:rPr>
          <w:color w:val="auto"/>
          <w:sz w:val="24"/>
          <w:szCs w:val="24"/>
        </w:rPr>
        <w:fldChar w:fldCharType="separate"/>
      </w:r>
      <w:r>
        <w:rPr>
          <w:color w:val="auto"/>
          <w:sz w:val="24"/>
          <w:szCs w:val="24"/>
        </w:rPr>
        <w:t>8</w:t>
      </w:r>
      <w:r>
        <w:rPr>
          <w:color w:val="auto"/>
          <w:sz w:val="24"/>
          <w:szCs w:val="24"/>
        </w:rPr>
        <w:fldChar w:fldCharType="end"/>
      </w:r>
      <w:r>
        <w:rPr>
          <w:color w:val="auto"/>
          <w:sz w:val="24"/>
          <w:szCs w:val="24"/>
        </w:rPr>
        <w:fldChar w:fldCharType="end"/>
      </w:r>
    </w:p>
    <w:p w14:paraId="45CD0FA0">
      <w:pPr>
        <w:pStyle w:val="19"/>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_Toc16217 </w:instrText>
      </w:r>
      <w:r>
        <w:rPr>
          <w:color w:val="auto"/>
          <w:sz w:val="24"/>
          <w:szCs w:val="24"/>
        </w:rPr>
        <w:fldChar w:fldCharType="separate"/>
      </w:r>
      <w:r>
        <w:rPr>
          <w:rFonts w:hint="eastAsia" w:ascii="Times New Roman" w:hAnsi="Times New Roman" w:eastAsia="宋体" w:cs="Times New Roman"/>
          <w:color w:val="auto"/>
          <w:sz w:val="24"/>
          <w:szCs w:val="24"/>
          <w:lang w:val="en-US" w:eastAsia="zh-CN"/>
        </w:rPr>
        <w:t>2.7</w:t>
      </w:r>
      <w:r>
        <w:rPr>
          <w:rFonts w:hint="default" w:ascii="Times New Roman" w:hAnsi="Times New Roman" w:eastAsia="宋体" w:cs="Times New Roman"/>
          <w:color w:val="auto"/>
          <w:sz w:val="24"/>
          <w:szCs w:val="24"/>
        </w:rPr>
        <w:t>.重大危险源辨识</w:t>
      </w:r>
      <w:r>
        <w:rPr>
          <w:color w:val="auto"/>
          <w:sz w:val="24"/>
          <w:szCs w:val="24"/>
        </w:rPr>
        <w:tab/>
      </w:r>
      <w:r>
        <w:rPr>
          <w:color w:val="auto"/>
          <w:sz w:val="24"/>
          <w:szCs w:val="24"/>
        </w:rPr>
        <w:fldChar w:fldCharType="begin"/>
      </w:r>
      <w:r>
        <w:rPr>
          <w:color w:val="auto"/>
          <w:sz w:val="24"/>
          <w:szCs w:val="24"/>
        </w:rPr>
        <w:instrText xml:space="preserve"> PAGEREF _Toc16217 \h </w:instrText>
      </w:r>
      <w:r>
        <w:rPr>
          <w:color w:val="auto"/>
          <w:sz w:val="24"/>
          <w:szCs w:val="24"/>
        </w:rPr>
        <w:fldChar w:fldCharType="separate"/>
      </w:r>
      <w:r>
        <w:rPr>
          <w:color w:val="auto"/>
          <w:sz w:val="24"/>
          <w:szCs w:val="24"/>
        </w:rPr>
        <w:t>9</w:t>
      </w:r>
      <w:r>
        <w:rPr>
          <w:color w:val="auto"/>
          <w:sz w:val="24"/>
          <w:szCs w:val="24"/>
        </w:rPr>
        <w:fldChar w:fldCharType="end"/>
      </w:r>
      <w:r>
        <w:rPr>
          <w:color w:val="auto"/>
          <w:sz w:val="24"/>
          <w:szCs w:val="24"/>
        </w:rPr>
        <w:fldChar w:fldCharType="end"/>
      </w:r>
    </w:p>
    <w:p w14:paraId="3ADF7FB6">
      <w:pPr>
        <w:pStyle w:val="15"/>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_Toc5475 </w:instrText>
      </w:r>
      <w:r>
        <w:rPr>
          <w:color w:val="auto"/>
          <w:sz w:val="24"/>
          <w:szCs w:val="24"/>
        </w:rPr>
        <w:fldChar w:fldCharType="separate"/>
      </w:r>
      <w:r>
        <w:rPr>
          <w:rFonts w:hint="eastAsia"/>
          <w:color w:val="auto"/>
          <w:sz w:val="24"/>
          <w:szCs w:val="24"/>
          <w:lang w:val="en-US" w:eastAsia="zh-CN"/>
        </w:rPr>
        <w:t>3</w:t>
      </w:r>
      <w:r>
        <w:rPr>
          <w:rFonts w:hint="eastAsia"/>
          <w:color w:val="auto"/>
          <w:sz w:val="24"/>
          <w:szCs w:val="24"/>
        </w:rPr>
        <w:t>应急组织体系与职责</w:t>
      </w:r>
      <w:r>
        <w:rPr>
          <w:color w:val="auto"/>
          <w:sz w:val="24"/>
          <w:szCs w:val="24"/>
        </w:rPr>
        <w:tab/>
      </w:r>
      <w:r>
        <w:rPr>
          <w:color w:val="auto"/>
          <w:sz w:val="24"/>
          <w:szCs w:val="24"/>
        </w:rPr>
        <w:fldChar w:fldCharType="begin"/>
      </w:r>
      <w:r>
        <w:rPr>
          <w:color w:val="auto"/>
          <w:sz w:val="24"/>
          <w:szCs w:val="24"/>
        </w:rPr>
        <w:instrText xml:space="preserve"> PAGEREF _Toc5475 \h </w:instrText>
      </w:r>
      <w:r>
        <w:rPr>
          <w:color w:val="auto"/>
          <w:sz w:val="24"/>
          <w:szCs w:val="24"/>
        </w:rPr>
        <w:fldChar w:fldCharType="separate"/>
      </w:r>
      <w:r>
        <w:rPr>
          <w:color w:val="auto"/>
          <w:sz w:val="24"/>
          <w:szCs w:val="24"/>
        </w:rPr>
        <w:t>10</w:t>
      </w:r>
      <w:r>
        <w:rPr>
          <w:color w:val="auto"/>
          <w:sz w:val="24"/>
          <w:szCs w:val="24"/>
        </w:rPr>
        <w:fldChar w:fldCharType="end"/>
      </w:r>
      <w:r>
        <w:rPr>
          <w:color w:val="auto"/>
          <w:sz w:val="24"/>
          <w:szCs w:val="24"/>
        </w:rPr>
        <w:fldChar w:fldCharType="end"/>
      </w:r>
    </w:p>
    <w:p w14:paraId="127B94A3">
      <w:pPr>
        <w:pStyle w:val="19"/>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_Toc8548 </w:instrText>
      </w:r>
      <w:r>
        <w:rPr>
          <w:color w:val="auto"/>
          <w:sz w:val="24"/>
          <w:szCs w:val="24"/>
        </w:rPr>
        <w:fldChar w:fldCharType="separate"/>
      </w:r>
      <w:r>
        <w:rPr>
          <w:rFonts w:hint="eastAsia"/>
          <w:color w:val="auto"/>
          <w:sz w:val="24"/>
          <w:szCs w:val="24"/>
          <w:lang w:val="en-US" w:eastAsia="zh-CN"/>
        </w:rPr>
        <w:t>3</w:t>
      </w:r>
      <w:r>
        <w:rPr>
          <w:rFonts w:hint="eastAsia"/>
          <w:color w:val="auto"/>
          <w:sz w:val="24"/>
          <w:szCs w:val="24"/>
        </w:rPr>
        <w:t>.1指挥机构的组成</w:t>
      </w:r>
      <w:r>
        <w:rPr>
          <w:color w:val="auto"/>
          <w:sz w:val="24"/>
          <w:szCs w:val="24"/>
        </w:rPr>
        <w:tab/>
      </w:r>
      <w:r>
        <w:rPr>
          <w:color w:val="auto"/>
          <w:sz w:val="24"/>
          <w:szCs w:val="24"/>
        </w:rPr>
        <w:fldChar w:fldCharType="begin"/>
      </w:r>
      <w:r>
        <w:rPr>
          <w:color w:val="auto"/>
          <w:sz w:val="24"/>
          <w:szCs w:val="24"/>
        </w:rPr>
        <w:instrText xml:space="preserve"> PAGEREF _Toc8548 \h </w:instrText>
      </w:r>
      <w:r>
        <w:rPr>
          <w:color w:val="auto"/>
          <w:sz w:val="24"/>
          <w:szCs w:val="24"/>
        </w:rPr>
        <w:fldChar w:fldCharType="separate"/>
      </w:r>
      <w:r>
        <w:rPr>
          <w:color w:val="auto"/>
          <w:sz w:val="24"/>
          <w:szCs w:val="24"/>
        </w:rPr>
        <w:t>10</w:t>
      </w:r>
      <w:r>
        <w:rPr>
          <w:color w:val="auto"/>
          <w:sz w:val="24"/>
          <w:szCs w:val="24"/>
        </w:rPr>
        <w:fldChar w:fldCharType="end"/>
      </w:r>
      <w:r>
        <w:rPr>
          <w:color w:val="auto"/>
          <w:sz w:val="24"/>
          <w:szCs w:val="24"/>
        </w:rPr>
        <w:fldChar w:fldCharType="end"/>
      </w:r>
    </w:p>
    <w:p w14:paraId="6AB06190">
      <w:pPr>
        <w:pStyle w:val="19"/>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_Toc2543 </w:instrText>
      </w:r>
      <w:r>
        <w:rPr>
          <w:color w:val="auto"/>
          <w:sz w:val="24"/>
          <w:szCs w:val="24"/>
        </w:rPr>
        <w:fldChar w:fldCharType="separate"/>
      </w:r>
      <w:r>
        <w:rPr>
          <w:rFonts w:hint="eastAsia"/>
          <w:color w:val="auto"/>
          <w:sz w:val="24"/>
          <w:szCs w:val="24"/>
          <w:lang w:eastAsia="zh-CN"/>
        </w:rPr>
        <w:t>3.</w:t>
      </w:r>
      <w:r>
        <w:rPr>
          <w:rFonts w:hint="eastAsia"/>
          <w:color w:val="auto"/>
          <w:sz w:val="24"/>
          <w:szCs w:val="24"/>
        </w:rPr>
        <w:t>2指挥机构的主要职责</w:t>
      </w:r>
      <w:r>
        <w:rPr>
          <w:color w:val="auto"/>
          <w:sz w:val="24"/>
          <w:szCs w:val="24"/>
        </w:rPr>
        <w:tab/>
      </w:r>
      <w:r>
        <w:rPr>
          <w:color w:val="auto"/>
          <w:sz w:val="24"/>
          <w:szCs w:val="24"/>
        </w:rPr>
        <w:fldChar w:fldCharType="begin"/>
      </w:r>
      <w:r>
        <w:rPr>
          <w:color w:val="auto"/>
          <w:sz w:val="24"/>
          <w:szCs w:val="24"/>
        </w:rPr>
        <w:instrText xml:space="preserve"> PAGEREF _Toc2543 \h </w:instrText>
      </w:r>
      <w:r>
        <w:rPr>
          <w:color w:val="auto"/>
          <w:sz w:val="24"/>
          <w:szCs w:val="24"/>
        </w:rPr>
        <w:fldChar w:fldCharType="separate"/>
      </w:r>
      <w:r>
        <w:rPr>
          <w:color w:val="auto"/>
          <w:sz w:val="24"/>
          <w:szCs w:val="24"/>
        </w:rPr>
        <w:t>11</w:t>
      </w:r>
      <w:r>
        <w:rPr>
          <w:color w:val="auto"/>
          <w:sz w:val="24"/>
          <w:szCs w:val="24"/>
        </w:rPr>
        <w:fldChar w:fldCharType="end"/>
      </w:r>
      <w:r>
        <w:rPr>
          <w:color w:val="auto"/>
          <w:sz w:val="24"/>
          <w:szCs w:val="24"/>
        </w:rPr>
        <w:fldChar w:fldCharType="end"/>
      </w:r>
    </w:p>
    <w:p w14:paraId="09649114">
      <w:pPr>
        <w:pStyle w:val="19"/>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_Toc17880 </w:instrText>
      </w:r>
      <w:r>
        <w:rPr>
          <w:color w:val="auto"/>
          <w:sz w:val="24"/>
          <w:szCs w:val="24"/>
        </w:rPr>
        <w:fldChar w:fldCharType="separate"/>
      </w:r>
      <w:r>
        <w:rPr>
          <w:rFonts w:hint="default" w:ascii="Times New Roman" w:hAnsi="Times New Roman" w:eastAsia="宋体"/>
          <w:color w:val="auto"/>
          <w:sz w:val="24"/>
          <w:szCs w:val="24"/>
          <w:lang w:val="en-US" w:eastAsia="zh-CN"/>
        </w:rPr>
        <w:t>3.</w:t>
      </w:r>
      <w:r>
        <w:rPr>
          <w:rFonts w:hint="eastAsia" w:ascii="Times New Roman" w:hAnsi="Times New Roman" w:eastAsia="宋体"/>
          <w:color w:val="auto"/>
          <w:sz w:val="24"/>
          <w:szCs w:val="24"/>
          <w:lang w:val="en-US" w:eastAsia="zh-CN"/>
        </w:rPr>
        <w:t>3</w:t>
      </w:r>
      <w:r>
        <w:rPr>
          <w:rFonts w:hint="default" w:ascii="Times New Roman" w:hAnsi="Times New Roman" w:eastAsia="宋体"/>
          <w:color w:val="auto"/>
          <w:sz w:val="24"/>
          <w:szCs w:val="24"/>
          <w:lang w:val="en-US" w:eastAsia="zh-CN"/>
        </w:rPr>
        <w:t>环境风险排查隐患措施</w:t>
      </w:r>
      <w:r>
        <w:rPr>
          <w:color w:val="auto"/>
          <w:sz w:val="24"/>
          <w:szCs w:val="24"/>
        </w:rPr>
        <w:tab/>
      </w:r>
      <w:r>
        <w:rPr>
          <w:color w:val="auto"/>
          <w:sz w:val="24"/>
          <w:szCs w:val="24"/>
        </w:rPr>
        <w:fldChar w:fldCharType="begin"/>
      </w:r>
      <w:r>
        <w:rPr>
          <w:color w:val="auto"/>
          <w:sz w:val="24"/>
          <w:szCs w:val="24"/>
        </w:rPr>
        <w:instrText xml:space="preserve"> PAGEREF _Toc17880 \h </w:instrText>
      </w:r>
      <w:r>
        <w:rPr>
          <w:color w:val="auto"/>
          <w:sz w:val="24"/>
          <w:szCs w:val="24"/>
        </w:rPr>
        <w:fldChar w:fldCharType="separate"/>
      </w:r>
      <w:r>
        <w:rPr>
          <w:color w:val="auto"/>
          <w:sz w:val="24"/>
          <w:szCs w:val="24"/>
        </w:rPr>
        <w:t>16</w:t>
      </w:r>
      <w:r>
        <w:rPr>
          <w:color w:val="auto"/>
          <w:sz w:val="24"/>
          <w:szCs w:val="24"/>
        </w:rPr>
        <w:fldChar w:fldCharType="end"/>
      </w:r>
      <w:r>
        <w:rPr>
          <w:color w:val="auto"/>
          <w:sz w:val="24"/>
          <w:szCs w:val="24"/>
        </w:rPr>
        <w:fldChar w:fldCharType="end"/>
      </w:r>
    </w:p>
    <w:p w14:paraId="344D7E7C">
      <w:pPr>
        <w:pStyle w:val="15"/>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_Toc8179 </w:instrText>
      </w:r>
      <w:r>
        <w:rPr>
          <w:color w:val="auto"/>
          <w:sz w:val="24"/>
          <w:szCs w:val="24"/>
        </w:rPr>
        <w:fldChar w:fldCharType="separate"/>
      </w:r>
      <w:r>
        <w:rPr>
          <w:rFonts w:hint="eastAsia"/>
          <w:color w:val="auto"/>
          <w:sz w:val="24"/>
          <w:szCs w:val="24"/>
          <w:lang w:val="en-US" w:eastAsia="zh-CN"/>
        </w:rPr>
        <w:t>4</w:t>
      </w:r>
      <w:r>
        <w:rPr>
          <w:rFonts w:hint="eastAsia"/>
          <w:color w:val="auto"/>
          <w:sz w:val="24"/>
          <w:szCs w:val="24"/>
        </w:rPr>
        <w:t>应急能力建设</w:t>
      </w:r>
      <w:r>
        <w:rPr>
          <w:color w:val="auto"/>
          <w:sz w:val="24"/>
          <w:szCs w:val="24"/>
        </w:rPr>
        <w:tab/>
      </w:r>
      <w:r>
        <w:rPr>
          <w:color w:val="auto"/>
          <w:sz w:val="24"/>
          <w:szCs w:val="24"/>
        </w:rPr>
        <w:fldChar w:fldCharType="begin"/>
      </w:r>
      <w:r>
        <w:rPr>
          <w:color w:val="auto"/>
          <w:sz w:val="24"/>
          <w:szCs w:val="24"/>
        </w:rPr>
        <w:instrText xml:space="preserve"> PAGEREF _Toc8179 \h </w:instrText>
      </w:r>
      <w:r>
        <w:rPr>
          <w:color w:val="auto"/>
          <w:sz w:val="24"/>
          <w:szCs w:val="24"/>
        </w:rPr>
        <w:fldChar w:fldCharType="separate"/>
      </w:r>
      <w:r>
        <w:rPr>
          <w:color w:val="auto"/>
          <w:sz w:val="24"/>
          <w:szCs w:val="24"/>
        </w:rPr>
        <w:t>19</w:t>
      </w:r>
      <w:r>
        <w:rPr>
          <w:color w:val="auto"/>
          <w:sz w:val="24"/>
          <w:szCs w:val="24"/>
        </w:rPr>
        <w:fldChar w:fldCharType="end"/>
      </w:r>
      <w:r>
        <w:rPr>
          <w:color w:val="auto"/>
          <w:sz w:val="24"/>
          <w:szCs w:val="24"/>
        </w:rPr>
        <w:fldChar w:fldCharType="end"/>
      </w:r>
    </w:p>
    <w:p w14:paraId="02206A4A">
      <w:pPr>
        <w:pStyle w:val="19"/>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_Toc23761 </w:instrText>
      </w:r>
      <w:r>
        <w:rPr>
          <w:color w:val="auto"/>
          <w:sz w:val="24"/>
          <w:szCs w:val="24"/>
        </w:rPr>
        <w:fldChar w:fldCharType="separate"/>
      </w:r>
      <w:r>
        <w:rPr>
          <w:rFonts w:hint="eastAsia"/>
          <w:color w:val="auto"/>
          <w:sz w:val="24"/>
          <w:szCs w:val="24"/>
          <w:lang w:eastAsia="zh-CN"/>
        </w:rPr>
        <w:t>4.</w:t>
      </w:r>
      <w:r>
        <w:rPr>
          <w:rFonts w:hint="eastAsia"/>
          <w:color w:val="auto"/>
          <w:sz w:val="24"/>
          <w:szCs w:val="24"/>
        </w:rPr>
        <w:t>1应急处置队伍</w:t>
      </w:r>
      <w:r>
        <w:rPr>
          <w:color w:val="auto"/>
          <w:sz w:val="24"/>
          <w:szCs w:val="24"/>
        </w:rPr>
        <w:tab/>
      </w:r>
      <w:r>
        <w:rPr>
          <w:color w:val="auto"/>
          <w:sz w:val="24"/>
          <w:szCs w:val="24"/>
        </w:rPr>
        <w:fldChar w:fldCharType="begin"/>
      </w:r>
      <w:r>
        <w:rPr>
          <w:color w:val="auto"/>
          <w:sz w:val="24"/>
          <w:szCs w:val="24"/>
        </w:rPr>
        <w:instrText xml:space="preserve"> PAGEREF _Toc23761 \h </w:instrText>
      </w:r>
      <w:r>
        <w:rPr>
          <w:color w:val="auto"/>
          <w:sz w:val="24"/>
          <w:szCs w:val="24"/>
        </w:rPr>
        <w:fldChar w:fldCharType="separate"/>
      </w:r>
      <w:r>
        <w:rPr>
          <w:color w:val="auto"/>
          <w:sz w:val="24"/>
          <w:szCs w:val="24"/>
        </w:rPr>
        <w:t>19</w:t>
      </w:r>
      <w:r>
        <w:rPr>
          <w:color w:val="auto"/>
          <w:sz w:val="24"/>
          <w:szCs w:val="24"/>
        </w:rPr>
        <w:fldChar w:fldCharType="end"/>
      </w:r>
      <w:r>
        <w:rPr>
          <w:color w:val="auto"/>
          <w:sz w:val="24"/>
          <w:szCs w:val="24"/>
        </w:rPr>
        <w:fldChar w:fldCharType="end"/>
      </w:r>
    </w:p>
    <w:p w14:paraId="0FD6BEFD">
      <w:pPr>
        <w:pStyle w:val="19"/>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_Toc9879 </w:instrText>
      </w:r>
      <w:r>
        <w:rPr>
          <w:color w:val="auto"/>
          <w:sz w:val="24"/>
          <w:szCs w:val="24"/>
        </w:rPr>
        <w:fldChar w:fldCharType="separate"/>
      </w:r>
      <w:r>
        <w:rPr>
          <w:rFonts w:hint="eastAsia"/>
          <w:color w:val="auto"/>
          <w:sz w:val="24"/>
          <w:szCs w:val="24"/>
          <w:lang w:eastAsia="zh-CN"/>
        </w:rPr>
        <w:t>4.</w:t>
      </w:r>
      <w:r>
        <w:rPr>
          <w:rFonts w:hint="eastAsia"/>
          <w:color w:val="auto"/>
          <w:sz w:val="24"/>
          <w:szCs w:val="24"/>
        </w:rPr>
        <w:t>2应急设施和物资</w:t>
      </w:r>
      <w:r>
        <w:rPr>
          <w:color w:val="auto"/>
          <w:sz w:val="24"/>
          <w:szCs w:val="24"/>
        </w:rPr>
        <w:tab/>
      </w:r>
      <w:r>
        <w:rPr>
          <w:color w:val="auto"/>
          <w:sz w:val="24"/>
          <w:szCs w:val="24"/>
        </w:rPr>
        <w:fldChar w:fldCharType="begin"/>
      </w:r>
      <w:r>
        <w:rPr>
          <w:color w:val="auto"/>
          <w:sz w:val="24"/>
          <w:szCs w:val="24"/>
        </w:rPr>
        <w:instrText xml:space="preserve"> PAGEREF _Toc9879 \h </w:instrText>
      </w:r>
      <w:r>
        <w:rPr>
          <w:color w:val="auto"/>
          <w:sz w:val="24"/>
          <w:szCs w:val="24"/>
        </w:rPr>
        <w:fldChar w:fldCharType="separate"/>
      </w:r>
      <w:r>
        <w:rPr>
          <w:color w:val="auto"/>
          <w:sz w:val="24"/>
          <w:szCs w:val="24"/>
        </w:rPr>
        <w:t>19</w:t>
      </w:r>
      <w:r>
        <w:rPr>
          <w:color w:val="auto"/>
          <w:sz w:val="24"/>
          <w:szCs w:val="24"/>
        </w:rPr>
        <w:fldChar w:fldCharType="end"/>
      </w:r>
      <w:r>
        <w:rPr>
          <w:color w:val="auto"/>
          <w:sz w:val="24"/>
          <w:szCs w:val="24"/>
        </w:rPr>
        <w:fldChar w:fldCharType="end"/>
      </w:r>
    </w:p>
    <w:p w14:paraId="0539DE7F">
      <w:pPr>
        <w:pStyle w:val="15"/>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_Toc25170 </w:instrText>
      </w:r>
      <w:r>
        <w:rPr>
          <w:color w:val="auto"/>
          <w:sz w:val="24"/>
          <w:szCs w:val="24"/>
        </w:rPr>
        <w:fldChar w:fldCharType="separate"/>
      </w:r>
      <w:r>
        <w:rPr>
          <w:rFonts w:hint="eastAsia"/>
          <w:color w:val="auto"/>
          <w:sz w:val="24"/>
          <w:szCs w:val="24"/>
          <w:lang w:val="en-US" w:eastAsia="zh-CN"/>
        </w:rPr>
        <w:t>5</w:t>
      </w:r>
      <w:r>
        <w:rPr>
          <w:rFonts w:hint="eastAsia"/>
          <w:color w:val="auto"/>
          <w:sz w:val="24"/>
          <w:szCs w:val="24"/>
        </w:rPr>
        <w:t>预警与信息报送</w:t>
      </w:r>
      <w:r>
        <w:rPr>
          <w:color w:val="auto"/>
          <w:sz w:val="24"/>
          <w:szCs w:val="24"/>
        </w:rPr>
        <w:tab/>
      </w:r>
      <w:r>
        <w:rPr>
          <w:color w:val="auto"/>
          <w:sz w:val="24"/>
          <w:szCs w:val="24"/>
        </w:rPr>
        <w:fldChar w:fldCharType="begin"/>
      </w:r>
      <w:r>
        <w:rPr>
          <w:color w:val="auto"/>
          <w:sz w:val="24"/>
          <w:szCs w:val="24"/>
        </w:rPr>
        <w:instrText xml:space="preserve"> PAGEREF _Toc25170 \h </w:instrText>
      </w:r>
      <w:r>
        <w:rPr>
          <w:color w:val="auto"/>
          <w:sz w:val="24"/>
          <w:szCs w:val="24"/>
        </w:rPr>
        <w:fldChar w:fldCharType="separate"/>
      </w:r>
      <w:r>
        <w:rPr>
          <w:color w:val="auto"/>
          <w:sz w:val="24"/>
          <w:szCs w:val="24"/>
        </w:rPr>
        <w:t>21</w:t>
      </w:r>
      <w:r>
        <w:rPr>
          <w:color w:val="auto"/>
          <w:sz w:val="24"/>
          <w:szCs w:val="24"/>
        </w:rPr>
        <w:fldChar w:fldCharType="end"/>
      </w:r>
      <w:r>
        <w:rPr>
          <w:color w:val="auto"/>
          <w:sz w:val="24"/>
          <w:szCs w:val="24"/>
        </w:rPr>
        <w:fldChar w:fldCharType="end"/>
      </w:r>
    </w:p>
    <w:p w14:paraId="6466F57D">
      <w:pPr>
        <w:pStyle w:val="19"/>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_Toc21865 </w:instrText>
      </w:r>
      <w:r>
        <w:rPr>
          <w:color w:val="auto"/>
          <w:sz w:val="24"/>
          <w:szCs w:val="24"/>
        </w:rPr>
        <w:fldChar w:fldCharType="separate"/>
      </w:r>
      <w:r>
        <w:rPr>
          <w:rFonts w:hint="eastAsia"/>
          <w:color w:val="auto"/>
          <w:sz w:val="24"/>
          <w:szCs w:val="24"/>
          <w:lang w:eastAsia="zh-CN"/>
        </w:rPr>
        <w:t>5.</w:t>
      </w:r>
      <w:r>
        <w:rPr>
          <w:rFonts w:hint="eastAsia"/>
          <w:color w:val="auto"/>
          <w:sz w:val="24"/>
          <w:szCs w:val="24"/>
        </w:rPr>
        <w:t>1报警、通讯联络方式</w:t>
      </w:r>
      <w:r>
        <w:rPr>
          <w:color w:val="auto"/>
          <w:sz w:val="24"/>
          <w:szCs w:val="24"/>
        </w:rPr>
        <w:tab/>
      </w:r>
      <w:r>
        <w:rPr>
          <w:color w:val="auto"/>
          <w:sz w:val="24"/>
          <w:szCs w:val="24"/>
        </w:rPr>
        <w:fldChar w:fldCharType="begin"/>
      </w:r>
      <w:r>
        <w:rPr>
          <w:color w:val="auto"/>
          <w:sz w:val="24"/>
          <w:szCs w:val="24"/>
        </w:rPr>
        <w:instrText xml:space="preserve"> PAGEREF _Toc21865 \h </w:instrText>
      </w:r>
      <w:r>
        <w:rPr>
          <w:color w:val="auto"/>
          <w:sz w:val="24"/>
          <w:szCs w:val="24"/>
        </w:rPr>
        <w:fldChar w:fldCharType="separate"/>
      </w:r>
      <w:r>
        <w:rPr>
          <w:color w:val="auto"/>
          <w:sz w:val="24"/>
          <w:szCs w:val="24"/>
        </w:rPr>
        <w:t>21</w:t>
      </w:r>
      <w:r>
        <w:rPr>
          <w:color w:val="auto"/>
          <w:sz w:val="24"/>
          <w:szCs w:val="24"/>
        </w:rPr>
        <w:fldChar w:fldCharType="end"/>
      </w:r>
      <w:r>
        <w:rPr>
          <w:color w:val="auto"/>
          <w:sz w:val="24"/>
          <w:szCs w:val="24"/>
        </w:rPr>
        <w:fldChar w:fldCharType="end"/>
      </w:r>
    </w:p>
    <w:p w14:paraId="3CDF6076">
      <w:pPr>
        <w:pStyle w:val="19"/>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_Toc29950 </w:instrText>
      </w:r>
      <w:r>
        <w:rPr>
          <w:color w:val="auto"/>
          <w:sz w:val="24"/>
          <w:szCs w:val="24"/>
        </w:rPr>
        <w:fldChar w:fldCharType="separate"/>
      </w:r>
      <w:r>
        <w:rPr>
          <w:rFonts w:hint="eastAsia"/>
          <w:color w:val="auto"/>
          <w:sz w:val="24"/>
          <w:szCs w:val="24"/>
          <w:lang w:eastAsia="zh-CN"/>
        </w:rPr>
        <w:t>5.</w:t>
      </w:r>
      <w:r>
        <w:rPr>
          <w:rFonts w:hint="eastAsia"/>
          <w:color w:val="auto"/>
          <w:sz w:val="24"/>
          <w:szCs w:val="24"/>
        </w:rPr>
        <w:t>2信息报告与处置</w:t>
      </w:r>
      <w:r>
        <w:rPr>
          <w:color w:val="auto"/>
          <w:sz w:val="24"/>
          <w:szCs w:val="24"/>
        </w:rPr>
        <w:tab/>
      </w:r>
      <w:r>
        <w:rPr>
          <w:color w:val="auto"/>
          <w:sz w:val="24"/>
          <w:szCs w:val="24"/>
        </w:rPr>
        <w:fldChar w:fldCharType="begin"/>
      </w:r>
      <w:r>
        <w:rPr>
          <w:color w:val="auto"/>
          <w:sz w:val="24"/>
          <w:szCs w:val="24"/>
        </w:rPr>
        <w:instrText xml:space="preserve"> PAGEREF _Toc29950 \h </w:instrText>
      </w:r>
      <w:r>
        <w:rPr>
          <w:color w:val="auto"/>
          <w:sz w:val="24"/>
          <w:szCs w:val="24"/>
        </w:rPr>
        <w:fldChar w:fldCharType="separate"/>
      </w:r>
      <w:r>
        <w:rPr>
          <w:color w:val="auto"/>
          <w:sz w:val="24"/>
          <w:szCs w:val="24"/>
        </w:rPr>
        <w:t>21</w:t>
      </w:r>
      <w:r>
        <w:rPr>
          <w:color w:val="auto"/>
          <w:sz w:val="24"/>
          <w:szCs w:val="24"/>
        </w:rPr>
        <w:fldChar w:fldCharType="end"/>
      </w:r>
      <w:r>
        <w:rPr>
          <w:color w:val="auto"/>
          <w:sz w:val="24"/>
          <w:szCs w:val="24"/>
        </w:rPr>
        <w:fldChar w:fldCharType="end"/>
      </w:r>
    </w:p>
    <w:p w14:paraId="568927FA">
      <w:pPr>
        <w:pStyle w:val="15"/>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_Toc10399 </w:instrText>
      </w:r>
      <w:r>
        <w:rPr>
          <w:color w:val="auto"/>
          <w:sz w:val="24"/>
          <w:szCs w:val="24"/>
        </w:rPr>
        <w:fldChar w:fldCharType="separate"/>
      </w:r>
      <w:r>
        <w:rPr>
          <w:rFonts w:hint="eastAsia"/>
          <w:color w:val="auto"/>
          <w:sz w:val="24"/>
          <w:szCs w:val="24"/>
          <w:lang w:val="en-US" w:eastAsia="zh-CN"/>
        </w:rPr>
        <w:t>6</w:t>
      </w:r>
      <w:r>
        <w:rPr>
          <w:rFonts w:hint="eastAsia"/>
          <w:color w:val="auto"/>
          <w:sz w:val="24"/>
          <w:szCs w:val="24"/>
        </w:rPr>
        <w:t>应急响应和措施</w:t>
      </w:r>
      <w:r>
        <w:rPr>
          <w:color w:val="auto"/>
          <w:sz w:val="24"/>
          <w:szCs w:val="24"/>
        </w:rPr>
        <w:tab/>
      </w:r>
      <w:r>
        <w:rPr>
          <w:color w:val="auto"/>
          <w:sz w:val="24"/>
          <w:szCs w:val="24"/>
        </w:rPr>
        <w:fldChar w:fldCharType="begin"/>
      </w:r>
      <w:r>
        <w:rPr>
          <w:color w:val="auto"/>
          <w:sz w:val="24"/>
          <w:szCs w:val="24"/>
        </w:rPr>
        <w:instrText xml:space="preserve"> PAGEREF _Toc10399 \h </w:instrText>
      </w:r>
      <w:r>
        <w:rPr>
          <w:color w:val="auto"/>
          <w:sz w:val="24"/>
          <w:szCs w:val="24"/>
        </w:rPr>
        <w:fldChar w:fldCharType="separate"/>
      </w:r>
      <w:r>
        <w:rPr>
          <w:color w:val="auto"/>
          <w:sz w:val="24"/>
          <w:szCs w:val="24"/>
        </w:rPr>
        <w:t>23</w:t>
      </w:r>
      <w:r>
        <w:rPr>
          <w:color w:val="auto"/>
          <w:sz w:val="24"/>
          <w:szCs w:val="24"/>
        </w:rPr>
        <w:fldChar w:fldCharType="end"/>
      </w:r>
      <w:r>
        <w:rPr>
          <w:color w:val="auto"/>
          <w:sz w:val="24"/>
          <w:szCs w:val="24"/>
        </w:rPr>
        <w:fldChar w:fldCharType="end"/>
      </w:r>
    </w:p>
    <w:p w14:paraId="56A589A1">
      <w:pPr>
        <w:pStyle w:val="19"/>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_Toc8138 </w:instrText>
      </w:r>
      <w:r>
        <w:rPr>
          <w:color w:val="auto"/>
          <w:sz w:val="24"/>
          <w:szCs w:val="24"/>
        </w:rPr>
        <w:fldChar w:fldCharType="separate"/>
      </w:r>
      <w:r>
        <w:rPr>
          <w:rFonts w:hint="eastAsia"/>
          <w:color w:val="auto"/>
          <w:sz w:val="24"/>
          <w:szCs w:val="24"/>
          <w:lang w:eastAsia="zh-CN"/>
        </w:rPr>
        <w:t>6.</w:t>
      </w:r>
      <w:r>
        <w:rPr>
          <w:rFonts w:hint="eastAsia"/>
          <w:color w:val="auto"/>
          <w:sz w:val="24"/>
          <w:szCs w:val="24"/>
        </w:rPr>
        <w:t>1分级响应机制</w:t>
      </w:r>
      <w:r>
        <w:rPr>
          <w:color w:val="auto"/>
          <w:sz w:val="24"/>
          <w:szCs w:val="24"/>
        </w:rPr>
        <w:tab/>
      </w:r>
      <w:r>
        <w:rPr>
          <w:color w:val="auto"/>
          <w:sz w:val="24"/>
          <w:szCs w:val="24"/>
        </w:rPr>
        <w:fldChar w:fldCharType="begin"/>
      </w:r>
      <w:r>
        <w:rPr>
          <w:color w:val="auto"/>
          <w:sz w:val="24"/>
          <w:szCs w:val="24"/>
        </w:rPr>
        <w:instrText xml:space="preserve"> PAGEREF _Toc8138 \h </w:instrText>
      </w:r>
      <w:r>
        <w:rPr>
          <w:color w:val="auto"/>
          <w:sz w:val="24"/>
          <w:szCs w:val="24"/>
        </w:rPr>
        <w:fldChar w:fldCharType="separate"/>
      </w:r>
      <w:r>
        <w:rPr>
          <w:color w:val="auto"/>
          <w:sz w:val="24"/>
          <w:szCs w:val="24"/>
        </w:rPr>
        <w:t>23</w:t>
      </w:r>
      <w:r>
        <w:rPr>
          <w:color w:val="auto"/>
          <w:sz w:val="24"/>
          <w:szCs w:val="24"/>
        </w:rPr>
        <w:fldChar w:fldCharType="end"/>
      </w:r>
      <w:r>
        <w:rPr>
          <w:color w:val="auto"/>
          <w:sz w:val="24"/>
          <w:szCs w:val="24"/>
        </w:rPr>
        <w:fldChar w:fldCharType="end"/>
      </w:r>
    </w:p>
    <w:p w14:paraId="150F2CAC">
      <w:pPr>
        <w:pStyle w:val="19"/>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_Toc26766 </w:instrText>
      </w:r>
      <w:r>
        <w:rPr>
          <w:color w:val="auto"/>
          <w:sz w:val="24"/>
          <w:szCs w:val="24"/>
        </w:rPr>
        <w:fldChar w:fldCharType="separate"/>
      </w:r>
      <w:r>
        <w:rPr>
          <w:rFonts w:hint="eastAsia"/>
          <w:color w:val="auto"/>
          <w:sz w:val="24"/>
          <w:szCs w:val="24"/>
          <w:lang w:eastAsia="zh-CN"/>
        </w:rPr>
        <w:t>6.</w:t>
      </w:r>
      <w:r>
        <w:rPr>
          <w:rFonts w:hint="eastAsia"/>
          <w:color w:val="auto"/>
          <w:sz w:val="24"/>
          <w:szCs w:val="24"/>
        </w:rPr>
        <w:t>2现场应急措施</w:t>
      </w:r>
      <w:r>
        <w:rPr>
          <w:color w:val="auto"/>
          <w:sz w:val="24"/>
          <w:szCs w:val="24"/>
        </w:rPr>
        <w:tab/>
      </w:r>
      <w:r>
        <w:rPr>
          <w:color w:val="auto"/>
          <w:sz w:val="24"/>
          <w:szCs w:val="24"/>
        </w:rPr>
        <w:fldChar w:fldCharType="begin"/>
      </w:r>
      <w:r>
        <w:rPr>
          <w:color w:val="auto"/>
          <w:sz w:val="24"/>
          <w:szCs w:val="24"/>
        </w:rPr>
        <w:instrText xml:space="preserve"> PAGEREF _Toc26766 \h </w:instrText>
      </w:r>
      <w:r>
        <w:rPr>
          <w:color w:val="auto"/>
          <w:sz w:val="24"/>
          <w:szCs w:val="24"/>
        </w:rPr>
        <w:fldChar w:fldCharType="separate"/>
      </w:r>
      <w:r>
        <w:rPr>
          <w:color w:val="auto"/>
          <w:sz w:val="24"/>
          <w:szCs w:val="24"/>
        </w:rPr>
        <w:t>25</w:t>
      </w:r>
      <w:r>
        <w:rPr>
          <w:color w:val="auto"/>
          <w:sz w:val="24"/>
          <w:szCs w:val="24"/>
        </w:rPr>
        <w:fldChar w:fldCharType="end"/>
      </w:r>
      <w:r>
        <w:rPr>
          <w:color w:val="auto"/>
          <w:sz w:val="24"/>
          <w:szCs w:val="24"/>
        </w:rPr>
        <w:fldChar w:fldCharType="end"/>
      </w:r>
    </w:p>
    <w:p w14:paraId="7A75835D">
      <w:pPr>
        <w:pStyle w:val="19"/>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_Toc5668 </w:instrText>
      </w:r>
      <w:r>
        <w:rPr>
          <w:color w:val="auto"/>
          <w:sz w:val="24"/>
          <w:szCs w:val="24"/>
        </w:rPr>
        <w:fldChar w:fldCharType="separate"/>
      </w:r>
      <w:r>
        <w:rPr>
          <w:rFonts w:hint="eastAsia"/>
          <w:color w:val="auto"/>
          <w:sz w:val="24"/>
          <w:szCs w:val="24"/>
          <w:lang w:eastAsia="zh-CN"/>
        </w:rPr>
        <w:t>6.</w:t>
      </w:r>
      <w:r>
        <w:rPr>
          <w:rFonts w:hint="eastAsia"/>
          <w:color w:val="auto"/>
          <w:sz w:val="24"/>
          <w:szCs w:val="24"/>
        </w:rPr>
        <w:t>3企业外部救援</w:t>
      </w:r>
      <w:r>
        <w:rPr>
          <w:color w:val="auto"/>
          <w:sz w:val="24"/>
          <w:szCs w:val="24"/>
        </w:rPr>
        <w:tab/>
      </w:r>
      <w:r>
        <w:rPr>
          <w:color w:val="auto"/>
          <w:sz w:val="24"/>
          <w:szCs w:val="24"/>
        </w:rPr>
        <w:fldChar w:fldCharType="begin"/>
      </w:r>
      <w:r>
        <w:rPr>
          <w:color w:val="auto"/>
          <w:sz w:val="24"/>
          <w:szCs w:val="24"/>
        </w:rPr>
        <w:instrText xml:space="preserve"> PAGEREF _Toc5668 \h </w:instrText>
      </w:r>
      <w:r>
        <w:rPr>
          <w:color w:val="auto"/>
          <w:sz w:val="24"/>
          <w:szCs w:val="24"/>
        </w:rPr>
        <w:fldChar w:fldCharType="separate"/>
      </w:r>
      <w:r>
        <w:rPr>
          <w:color w:val="auto"/>
          <w:sz w:val="24"/>
          <w:szCs w:val="24"/>
        </w:rPr>
        <w:t>29</w:t>
      </w:r>
      <w:r>
        <w:rPr>
          <w:color w:val="auto"/>
          <w:sz w:val="24"/>
          <w:szCs w:val="24"/>
        </w:rPr>
        <w:fldChar w:fldCharType="end"/>
      </w:r>
      <w:r>
        <w:rPr>
          <w:color w:val="auto"/>
          <w:sz w:val="24"/>
          <w:szCs w:val="24"/>
        </w:rPr>
        <w:fldChar w:fldCharType="end"/>
      </w:r>
    </w:p>
    <w:p w14:paraId="5F94F5A6">
      <w:pPr>
        <w:pStyle w:val="19"/>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_Toc32174 </w:instrText>
      </w:r>
      <w:r>
        <w:rPr>
          <w:color w:val="auto"/>
          <w:sz w:val="24"/>
          <w:szCs w:val="24"/>
        </w:rPr>
        <w:fldChar w:fldCharType="separate"/>
      </w:r>
      <w:r>
        <w:rPr>
          <w:rFonts w:hint="eastAsia"/>
          <w:color w:val="auto"/>
          <w:sz w:val="24"/>
          <w:szCs w:val="24"/>
          <w:lang w:eastAsia="zh-CN"/>
        </w:rPr>
        <w:t>6.</w:t>
      </w:r>
      <w:r>
        <w:rPr>
          <w:rFonts w:hint="eastAsia"/>
          <w:color w:val="auto"/>
          <w:sz w:val="24"/>
          <w:szCs w:val="24"/>
        </w:rPr>
        <w:t>4人员紧急撤离和疏散</w:t>
      </w:r>
      <w:r>
        <w:rPr>
          <w:color w:val="auto"/>
          <w:sz w:val="24"/>
          <w:szCs w:val="24"/>
        </w:rPr>
        <w:tab/>
      </w:r>
      <w:r>
        <w:rPr>
          <w:color w:val="auto"/>
          <w:sz w:val="24"/>
          <w:szCs w:val="24"/>
        </w:rPr>
        <w:fldChar w:fldCharType="begin"/>
      </w:r>
      <w:r>
        <w:rPr>
          <w:color w:val="auto"/>
          <w:sz w:val="24"/>
          <w:szCs w:val="24"/>
        </w:rPr>
        <w:instrText xml:space="preserve"> PAGEREF _Toc32174 \h </w:instrText>
      </w:r>
      <w:r>
        <w:rPr>
          <w:color w:val="auto"/>
          <w:sz w:val="24"/>
          <w:szCs w:val="24"/>
        </w:rPr>
        <w:fldChar w:fldCharType="separate"/>
      </w:r>
      <w:r>
        <w:rPr>
          <w:color w:val="auto"/>
          <w:sz w:val="24"/>
          <w:szCs w:val="24"/>
        </w:rPr>
        <w:t>29</w:t>
      </w:r>
      <w:r>
        <w:rPr>
          <w:color w:val="auto"/>
          <w:sz w:val="24"/>
          <w:szCs w:val="24"/>
        </w:rPr>
        <w:fldChar w:fldCharType="end"/>
      </w:r>
      <w:r>
        <w:rPr>
          <w:color w:val="auto"/>
          <w:sz w:val="24"/>
          <w:szCs w:val="24"/>
        </w:rPr>
        <w:fldChar w:fldCharType="end"/>
      </w:r>
    </w:p>
    <w:p w14:paraId="369A6396">
      <w:pPr>
        <w:pStyle w:val="19"/>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_Toc7772 </w:instrText>
      </w:r>
      <w:r>
        <w:rPr>
          <w:color w:val="auto"/>
          <w:sz w:val="24"/>
          <w:szCs w:val="24"/>
        </w:rPr>
        <w:fldChar w:fldCharType="separate"/>
      </w:r>
      <w:r>
        <w:rPr>
          <w:rFonts w:hint="eastAsia"/>
          <w:color w:val="auto"/>
          <w:sz w:val="24"/>
          <w:szCs w:val="24"/>
          <w:lang w:eastAsia="zh-CN"/>
        </w:rPr>
        <w:t>6.</w:t>
      </w:r>
      <w:r>
        <w:rPr>
          <w:rFonts w:hint="eastAsia"/>
          <w:color w:val="auto"/>
          <w:sz w:val="24"/>
          <w:szCs w:val="24"/>
        </w:rPr>
        <w:t>5应急监测</w:t>
      </w:r>
      <w:r>
        <w:rPr>
          <w:color w:val="auto"/>
          <w:sz w:val="24"/>
          <w:szCs w:val="24"/>
        </w:rPr>
        <w:tab/>
      </w:r>
      <w:r>
        <w:rPr>
          <w:color w:val="auto"/>
          <w:sz w:val="24"/>
          <w:szCs w:val="24"/>
        </w:rPr>
        <w:fldChar w:fldCharType="begin"/>
      </w:r>
      <w:r>
        <w:rPr>
          <w:color w:val="auto"/>
          <w:sz w:val="24"/>
          <w:szCs w:val="24"/>
        </w:rPr>
        <w:instrText xml:space="preserve"> PAGEREF _Toc7772 \h </w:instrText>
      </w:r>
      <w:r>
        <w:rPr>
          <w:color w:val="auto"/>
          <w:sz w:val="24"/>
          <w:szCs w:val="24"/>
        </w:rPr>
        <w:fldChar w:fldCharType="separate"/>
      </w:r>
      <w:r>
        <w:rPr>
          <w:color w:val="auto"/>
          <w:sz w:val="24"/>
          <w:szCs w:val="24"/>
        </w:rPr>
        <w:t>29</w:t>
      </w:r>
      <w:r>
        <w:rPr>
          <w:color w:val="auto"/>
          <w:sz w:val="24"/>
          <w:szCs w:val="24"/>
        </w:rPr>
        <w:fldChar w:fldCharType="end"/>
      </w:r>
      <w:r>
        <w:rPr>
          <w:color w:val="auto"/>
          <w:sz w:val="24"/>
          <w:szCs w:val="24"/>
        </w:rPr>
        <w:fldChar w:fldCharType="end"/>
      </w:r>
    </w:p>
    <w:p w14:paraId="109E9E9F">
      <w:pPr>
        <w:pStyle w:val="19"/>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_Toc32225 </w:instrText>
      </w:r>
      <w:r>
        <w:rPr>
          <w:color w:val="auto"/>
          <w:sz w:val="24"/>
          <w:szCs w:val="24"/>
        </w:rPr>
        <w:fldChar w:fldCharType="separate"/>
      </w:r>
      <w:r>
        <w:rPr>
          <w:rFonts w:hint="eastAsia"/>
          <w:color w:val="auto"/>
          <w:sz w:val="24"/>
          <w:szCs w:val="24"/>
          <w:lang w:eastAsia="zh-CN"/>
        </w:rPr>
        <w:t>6.</w:t>
      </w:r>
      <w:r>
        <w:rPr>
          <w:rFonts w:hint="eastAsia"/>
          <w:color w:val="auto"/>
          <w:sz w:val="24"/>
          <w:szCs w:val="24"/>
        </w:rPr>
        <w:t>6应急终止</w:t>
      </w:r>
      <w:r>
        <w:rPr>
          <w:color w:val="auto"/>
          <w:sz w:val="24"/>
          <w:szCs w:val="24"/>
        </w:rPr>
        <w:tab/>
      </w:r>
      <w:r>
        <w:rPr>
          <w:color w:val="auto"/>
          <w:sz w:val="24"/>
          <w:szCs w:val="24"/>
        </w:rPr>
        <w:fldChar w:fldCharType="begin"/>
      </w:r>
      <w:r>
        <w:rPr>
          <w:color w:val="auto"/>
          <w:sz w:val="24"/>
          <w:szCs w:val="24"/>
        </w:rPr>
        <w:instrText xml:space="preserve"> PAGEREF _Toc32225 \h </w:instrText>
      </w:r>
      <w:r>
        <w:rPr>
          <w:color w:val="auto"/>
          <w:sz w:val="24"/>
          <w:szCs w:val="24"/>
        </w:rPr>
        <w:fldChar w:fldCharType="separate"/>
      </w:r>
      <w:r>
        <w:rPr>
          <w:color w:val="auto"/>
          <w:sz w:val="24"/>
          <w:szCs w:val="24"/>
        </w:rPr>
        <w:t>31</w:t>
      </w:r>
      <w:r>
        <w:rPr>
          <w:color w:val="auto"/>
          <w:sz w:val="24"/>
          <w:szCs w:val="24"/>
        </w:rPr>
        <w:fldChar w:fldCharType="end"/>
      </w:r>
      <w:r>
        <w:rPr>
          <w:color w:val="auto"/>
          <w:sz w:val="24"/>
          <w:szCs w:val="24"/>
        </w:rPr>
        <w:fldChar w:fldCharType="end"/>
      </w:r>
    </w:p>
    <w:p w14:paraId="6065DBE1">
      <w:pPr>
        <w:pStyle w:val="15"/>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_Toc1110 </w:instrText>
      </w:r>
      <w:r>
        <w:rPr>
          <w:color w:val="auto"/>
          <w:sz w:val="24"/>
          <w:szCs w:val="24"/>
        </w:rPr>
        <w:fldChar w:fldCharType="separate"/>
      </w:r>
      <w:r>
        <w:rPr>
          <w:rFonts w:hint="eastAsia"/>
          <w:color w:val="auto"/>
          <w:sz w:val="24"/>
          <w:szCs w:val="24"/>
          <w:lang w:val="en-US" w:eastAsia="zh-CN"/>
        </w:rPr>
        <w:t>7</w:t>
      </w:r>
      <w:r>
        <w:rPr>
          <w:rFonts w:hint="eastAsia"/>
          <w:color w:val="auto"/>
          <w:sz w:val="24"/>
          <w:szCs w:val="24"/>
        </w:rPr>
        <w:t>后期处置</w:t>
      </w:r>
      <w:r>
        <w:rPr>
          <w:color w:val="auto"/>
          <w:sz w:val="24"/>
          <w:szCs w:val="24"/>
        </w:rPr>
        <w:tab/>
      </w:r>
      <w:r>
        <w:rPr>
          <w:color w:val="auto"/>
          <w:sz w:val="24"/>
          <w:szCs w:val="24"/>
        </w:rPr>
        <w:fldChar w:fldCharType="begin"/>
      </w:r>
      <w:r>
        <w:rPr>
          <w:color w:val="auto"/>
          <w:sz w:val="24"/>
          <w:szCs w:val="24"/>
        </w:rPr>
        <w:instrText xml:space="preserve"> PAGEREF _Toc1110 \h </w:instrText>
      </w:r>
      <w:r>
        <w:rPr>
          <w:color w:val="auto"/>
          <w:sz w:val="24"/>
          <w:szCs w:val="24"/>
        </w:rPr>
        <w:fldChar w:fldCharType="separate"/>
      </w:r>
      <w:r>
        <w:rPr>
          <w:color w:val="auto"/>
          <w:sz w:val="24"/>
          <w:szCs w:val="24"/>
        </w:rPr>
        <w:t>34</w:t>
      </w:r>
      <w:r>
        <w:rPr>
          <w:color w:val="auto"/>
          <w:sz w:val="24"/>
          <w:szCs w:val="24"/>
        </w:rPr>
        <w:fldChar w:fldCharType="end"/>
      </w:r>
      <w:r>
        <w:rPr>
          <w:color w:val="auto"/>
          <w:sz w:val="24"/>
          <w:szCs w:val="24"/>
        </w:rPr>
        <w:fldChar w:fldCharType="end"/>
      </w:r>
    </w:p>
    <w:p w14:paraId="39F6323D">
      <w:pPr>
        <w:pStyle w:val="19"/>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_Toc1244 </w:instrText>
      </w:r>
      <w:r>
        <w:rPr>
          <w:color w:val="auto"/>
          <w:sz w:val="24"/>
          <w:szCs w:val="24"/>
        </w:rPr>
        <w:fldChar w:fldCharType="separate"/>
      </w:r>
      <w:r>
        <w:rPr>
          <w:rFonts w:hint="eastAsia"/>
          <w:color w:val="auto"/>
          <w:sz w:val="24"/>
          <w:szCs w:val="24"/>
          <w:lang w:eastAsia="zh-CN"/>
        </w:rPr>
        <w:t>7.</w:t>
      </w:r>
      <w:r>
        <w:rPr>
          <w:rFonts w:hint="eastAsia"/>
          <w:color w:val="auto"/>
          <w:sz w:val="24"/>
          <w:szCs w:val="24"/>
        </w:rPr>
        <w:t>1现场恢复</w:t>
      </w:r>
      <w:r>
        <w:rPr>
          <w:color w:val="auto"/>
          <w:sz w:val="24"/>
          <w:szCs w:val="24"/>
        </w:rPr>
        <w:tab/>
      </w:r>
      <w:r>
        <w:rPr>
          <w:color w:val="auto"/>
          <w:sz w:val="24"/>
          <w:szCs w:val="24"/>
        </w:rPr>
        <w:fldChar w:fldCharType="begin"/>
      </w:r>
      <w:r>
        <w:rPr>
          <w:color w:val="auto"/>
          <w:sz w:val="24"/>
          <w:szCs w:val="24"/>
        </w:rPr>
        <w:instrText xml:space="preserve"> PAGEREF _Toc1244 \h </w:instrText>
      </w:r>
      <w:r>
        <w:rPr>
          <w:color w:val="auto"/>
          <w:sz w:val="24"/>
          <w:szCs w:val="24"/>
        </w:rPr>
        <w:fldChar w:fldCharType="separate"/>
      </w:r>
      <w:r>
        <w:rPr>
          <w:color w:val="auto"/>
          <w:sz w:val="24"/>
          <w:szCs w:val="24"/>
        </w:rPr>
        <w:t>34</w:t>
      </w:r>
      <w:r>
        <w:rPr>
          <w:color w:val="auto"/>
          <w:sz w:val="24"/>
          <w:szCs w:val="24"/>
        </w:rPr>
        <w:fldChar w:fldCharType="end"/>
      </w:r>
      <w:r>
        <w:rPr>
          <w:color w:val="auto"/>
          <w:sz w:val="24"/>
          <w:szCs w:val="24"/>
        </w:rPr>
        <w:fldChar w:fldCharType="end"/>
      </w:r>
    </w:p>
    <w:p w14:paraId="622AC1A4">
      <w:pPr>
        <w:pStyle w:val="19"/>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_Toc32462 </w:instrText>
      </w:r>
      <w:r>
        <w:rPr>
          <w:color w:val="auto"/>
          <w:sz w:val="24"/>
          <w:szCs w:val="24"/>
        </w:rPr>
        <w:fldChar w:fldCharType="separate"/>
      </w:r>
      <w:r>
        <w:rPr>
          <w:rFonts w:hint="eastAsia"/>
          <w:color w:val="auto"/>
          <w:sz w:val="24"/>
          <w:szCs w:val="24"/>
          <w:lang w:eastAsia="zh-CN"/>
        </w:rPr>
        <w:t>7.</w:t>
      </w:r>
      <w:r>
        <w:rPr>
          <w:rFonts w:hint="eastAsia"/>
          <w:color w:val="auto"/>
          <w:sz w:val="24"/>
          <w:szCs w:val="24"/>
        </w:rPr>
        <w:t>2环境恢复</w:t>
      </w:r>
      <w:r>
        <w:rPr>
          <w:color w:val="auto"/>
          <w:sz w:val="24"/>
          <w:szCs w:val="24"/>
        </w:rPr>
        <w:tab/>
      </w:r>
      <w:r>
        <w:rPr>
          <w:color w:val="auto"/>
          <w:sz w:val="24"/>
          <w:szCs w:val="24"/>
        </w:rPr>
        <w:fldChar w:fldCharType="begin"/>
      </w:r>
      <w:r>
        <w:rPr>
          <w:color w:val="auto"/>
          <w:sz w:val="24"/>
          <w:szCs w:val="24"/>
        </w:rPr>
        <w:instrText xml:space="preserve"> PAGEREF _Toc32462 \h </w:instrText>
      </w:r>
      <w:r>
        <w:rPr>
          <w:color w:val="auto"/>
          <w:sz w:val="24"/>
          <w:szCs w:val="24"/>
        </w:rPr>
        <w:fldChar w:fldCharType="separate"/>
      </w:r>
      <w:r>
        <w:rPr>
          <w:color w:val="auto"/>
          <w:sz w:val="24"/>
          <w:szCs w:val="24"/>
        </w:rPr>
        <w:t>34</w:t>
      </w:r>
      <w:r>
        <w:rPr>
          <w:color w:val="auto"/>
          <w:sz w:val="24"/>
          <w:szCs w:val="24"/>
        </w:rPr>
        <w:fldChar w:fldCharType="end"/>
      </w:r>
      <w:r>
        <w:rPr>
          <w:color w:val="auto"/>
          <w:sz w:val="24"/>
          <w:szCs w:val="24"/>
        </w:rPr>
        <w:fldChar w:fldCharType="end"/>
      </w:r>
    </w:p>
    <w:p w14:paraId="3A9DA46A">
      <w:pPr>
        <w:pStyle w:val="19"/>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_Toc14556 </w:instrText>
      </w:r>
      <w:r>
        <w:rPr>
          <w:color w:val="auto"/>
          <w:sz w:val="24"/>
          <w:szCs w:val="24"/>
        </w:rPr>
        <w:fldChar w:fldCharType="separate"/>
      </w:r>
      <w:r>
        <w:rPr>
          <w:rFonts w:hint="eastAsia"/>
          <w:color w:val="auto"/>
          <w:sz w:val="24"/>
          <w:szCs w:val="24"/>
          <w:lang w:eastAsia="zh-CN"/>
        </w:rPr>
        <w:t>7.</w:t>
      </w:r>
      <w:r>
        <w:rPr>
          <w:rFonts w:hint="eastAsia"/>
          <w:color w:val="auto"/>
          <w:sz w:val="24"/>
          <w:szCs w:val="24"/>
        </w:rPr>
        <w:t>3善后赔偿</w:t>
      </w:r>
      <w:r>
        <w:rPr>
          <w:color w:val="auto"/>
          <w:sz w:val="24"/>
          <w:szCs w:val="24"/>
        </w:rPr>
        <w:tab/>
      </w:r>
      <w:r>
        <w:rPr>
          <w:color w:val="auto"/>
          <w:sz w:val="24"/>
          <w:szCs w:val="24"/>
        </w:rPr>
        <w:fldChar w:fldCharType="begin"/>
      </w:r>
      <w:r>
        <w:rPr>
          <w:color w:val="auto"/>
          <w:sz w:val="24"/>
          <w:szCs w:val="24"/>
        </w:rPr>
        <w:instrText xml:space="preserve"> PAGEREF _Toc14556 \h </w:instrText>
      </w:r>
      <w:r>
        <w:rPr>
          <w:color w:val="auto"/>
          <w:sz w:val="24"/>
          <w:szCs w:val="24"/>
        </w:rPr>
        <w:fldChar w:fldCharType="separate"/>
      </w:r>
      <w:r>
        <w:rPr>
          <w:color w:val="auto"/>
          <w:sz w:val="24"/>
          <w:szCs w:val="24"/>
        </w:rPr>
        <w:t>34</w:t>
      </w:r>
      <w:r>
        <w:rPr>
          <w:color w:val="auto"/>
          <w:sz w:val="24"/>
          <w:szCs w:val="24"/>
        </w:rPr>
        <w:fldChar w:fldCharType="end"/>
      </w:r>
      <w:r>
        <w:rPr>
          <w:color w:val="auto"/>
          <w:sz w:val="24"/>
          <w:szCs w:val="24"/>
        </w:rPr>
        <w:fldChar w:fldCharType="end"/>
      </w:r>
    </w:p>
    <w:p w14:paraId="23574ADE">
      <w:pPr>
        <w:pStyle w:val="15"/>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_Toc947 </w:instrText>
      </w:r>
      <w:r>
        <w:rPr>
          <w:color w:val="auto"/>
          <w:sz w:val="24"/>
          <w:szCs w:val="24"/>
        </w:rPr>
        <w:fldChar w:fldCharType="separate"/>
      </w:r>
      <w:r>
        <w:rPr>
          <w:rFonts w:hint="eastAsia"/>
          <w:color w:val="auto"/>
          <w:sz w:val="24"/>
          <w:szCs w:val="24"/>
          <w:lang w:val="en-US" w:eastAsia="zh-CN"/>
        </w:rPr>
        <w:t>8</w:t>
      </w:r>
      <w:r>
        <w:rPr>
          <w:rFonts w:hint="eastAsia"/>
          <w:color w:val="auto"/>
          <w:sz w:val="24"/>
          <w:szCs w:val="24"/>
        </w:rPr>
        <w:t>保障措施</w:t>
      </w:r>
      <w:r>
        <w:rPr>
          <w:color w:val="auto"/>
          <w:sz w:val="24"/>
          <w:szCs w:val="24"/>
        </w:rPr>
        <w:tab/>
      </w:r>
      <w:r>
        <w:rPr>
          <w:color w:val="auto"/>
          <w:sz w:val="24"/>
          <w:szCs w:val="24"/>
        </w:rPr>
        <w:fldChar w:fldCharType="begin"/>
      </w:r>
      <w:r>
        <w:rPr>
          <w:color w:val="auto"/>
          <w:sz w:val="24"/>
          <w:szCs w:val="24"/>
        </w:rPr>
        <w:instrText xml:space="preserve"> PAGEREF _Toc947 \h </w:instrText>
      </w:r>
      <w:r>
        <w:rPr>
          <w:color w:val="auto"/>
          <w:sz w:val="24"/>
          <w:szCs w:val="24"/>
        </w:rPr>
        <w:fldChar w:fldCharType="separate"/>
      </w:r>
      <w:r>
        <w:rPr>
          <w:color w:val="auto"/>
          <w:sz w:val="24"/>
          <w:szCs w:val="24"/>
        </w:rPr>
        <w:t>36</w:t>
      </w:r>
      <w:r>
        <w:rPr>
          <w:color w:val="auto"/>
          <w:sz w:val="24"/>
          <w:szCs w:val="24"/>
        </w:rPr>
        <w:fldChar w:fldCharType="end"/>
      </w:r>
      <w:r>
        <w:rPr>
          <w:color w:val="auto"/>
          <w:sz w:val="24"/>
          <w:szCs w:val="24"/>
        </w:rPr>
        <w:fldChar w:fldCharType="end"/>
      </w:r>
    </w:p>
    <w:p w14:paraId="5A7FEBD7">
      <w:pPr>
        <w:pStyle w:val="19"/>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_Toc9750 </w:instrText>
      </w:r>
      <w:r>
        <w:rPr>
          <w:color w:val="auto"/>
          <w:sz w:val="24"/>
          <w:szCs w:val="24"/>
        </w:rPr>
        <w:fldChar w:fldCharType="separate"/>
      </w:r>
      <w:r>
        <w:rPr>
          <w:rFonts w:hint="eastAsia"/>
          <w:color w:val="auto"/>
          <w:sz w:val="24"/>
          <w:szCs w:val="24"/>
          <w:lang w:val="en-US" w:eastAsia="zh-CN"/>
        </w:rPr>
        <w:t>8</w:t>
      </w:r>
      <w:r>
        <w:rPr>
          <w:rFonts w:hint="eastAsia"/>
          <w:color w:val="auto"/>
          <w:sz w:val="24"/>
          <w:szCs w:val="24"/>
        </w:rPr>
        <w:t>.1通信与信息保障</w:t>
      </w:r>
      <w:r>
        <w:rPr>
          <w:color w:val="auto"/>
          <w:sz w:val="24"/>
          <w:szCs w:val="24"/>
        </w:rPr>
        <w:tab/>
      </w:r>
      <w:r>
        <w:rPr>
          <w:color w:val="auto"/>
          <w:sz w:val="24"/>
          <w:szCs w:val="24"/>
        </w:rPr>
        <w:fldChar w:fldCharType="begin"/>
      </w:r>
      <w:r>
        <w:rPr>
          <w:color w:val="auto"/>
          <w:sz w:val="24"/>
          <w:szCs w:val="24"/>
        </w:rPr>
        <w:instrText xml:space="preserve"> PAGEREF _Toc9750 \h </w:instrText>
      </w:r>
      <w:r>
        <w:rPr>
          <w:color w:val="auto"/>
          <w:sz w:val="24"/>
          <w:szCs w:val="24"/>
        </w:rPr>
        <w:fldChar w:fldCharType="separate"/>
      </w:r>
      <w:r>
        <w:rPr>
          <w:color w:val="auto"/>
          <w:sz w:val="24"/>
          <w:szCs w:val="24"/>
        </w:rPr>
        <w:t>36</w:t>
      </w:r>
      <w:r>
        <w:rPr>
          <w:color w:val="auto"/>
          <w:sz w:val="24"/>
          <w:szCs w:val="24"/>
        </w:rPr>
        <w:fldChar w:fldCharType="end"/>
      </w:r>
      <w:r>
        <w:rPr>
          <w:color w:val="auto"/>
          <w:sz w:val="24"/>
          <w:szCs w:val="24"/>
        </w:rPr>
        <w:fldChar w:fldCharType="end"/>
      </w:r>
    </w:p>
    <w:p w14:paraId="7CDED66E">
      <w:pPr>
        <w:pStyle w:val="19"/>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_Toc11367 </w:instrText>
      </w:r>
      <w:r>
        <w:rPr>
          <w:color w:val="auto"/>
          <w:sz w:val="24"/>
          <w:szCs w:val="24"/>
        </w:rPr>
        <w:fldChar w:fldCharType="separate"/>
      </w:r>
      <w:r>
        <w:rPr>
          <w:rFonts w:hint="eastAsia"/>
          <w:color w:val="auto"/>
          <w:sz w:val="24"/>
          <w:szCs w:val="24"/>
          <w:lang w:val="en-US" w:eastAsia="zh-CN"/>
        </w:rPr>
        <w:t>8</w:t>
      </w:r>
      <w:r>
        <w:rPr>
          <w:rFonts w:hint="eastAsia"/>
          <w:color w:val="auto"/>
          <w:sz w:val="24"/>
          <w:szCs w:val="24"/>
        </w:rPr>
        <w:t>.2应急队伍保障</w:t>
      </w:r>
      <w:r>
        <w:rPr>
          <w:color w:val="auto"/>
          <w:sz w:val="24"/>
          <w:szCs w:val="24"/>
        </w:rPr>
        <w:tab/>
      </w:r>
      <w:r>
        <w:rPr>
          <w:color w:val="auto"/>
          <w:sz w:val="24"/>
          <w:szCs w:val="24"/>
        </w:rPr>
        <w:fldChar w:fldCharType="begin"/>
      </w:r>
      <w:r>
        <w:rPr>
          <w:color w:val="auto"/>
          <w:sz w:val="24"/>
          <w:szCs w:val="24"/>
        </w:rPr>
        <w:instrText xml:space="preserve"> PAGEREF _Toc11367 \h </w:instrText>
      </w:r>
      <w:r>
        <w:rPr>
          <w:color w:val="auto"/>
          <w:sz w:val="24"/>
          <w:szCs w:val="24"/>
        </w:rPr>
        <w:fldChar w:fldCharType="separate"/>
      </w:r>
      <w:r>
        <w:rPr>
          <w:color w:val="auto"/>
          <w:sz w:val="24"/>
          <w:szCs w:val="24"/>
        </w:rPr>
        <w:t>36</w:t>
      </w:r>
      <w:r>
        <w:rPr>
          <w:color w:val="auto"/>
          <w:sz w:val="24"/>
          <w:szCs w:val="24"/>
        </w:rPr>
        <w:fldChar w:fldCharType="end"/>
      </w:r>
      <w:r>
        <w:rPr>
          <w:color w:val="auto"/>
          <w:sz w:val="24"/>
          <w:szCs w:val="24"/>
        </w:rPr>
        <w:fldChar w:fldCharType="end"/>
      </w:r>
    </w:p>
    <w:p w14:paraId="16EDF3B9">
      <w:pPr>
        <w:pStyle w:val="19"/>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_Toc11897 </w:instrText>
      </w:r>
      <w:r>
        <w:rPr>
          <w:color w:val="auto"/>
          <w:sz w:val="24"/>
          <w:szCs w:val="24"/>
        </w:rPr>
        <w:fldChar w:fldCharType="separate"/>
      </w:r>
      <w:r>
        <w:rPr>
          <w:rFonts w:hint="eastAsia"/>
          <w:color w:val="auto"/>
          <w:sz w:val="24"/>
          <w:szCs w:val="24"/>
          <w:lang w:val="en-US" w:eastAsia="zh-CN"/>
        </w:rPr>
        <w:t>8</w:t>
      </w:r>
      <w:r>
        <w:rPr>
          <w:rFonts w:hint="eastAsia"/>
          <w:color w:val="auto"/>
          <w:sz w:val="24"/>
          <w:szCs w:val="24"/>
        </w:rPr>
        <w:t>.3应急物资装备保障</w:t>
      </w:r>
      <w:r>
        <w:rPr>
          <w:color w:val="auto"/>
          <w:sz w:val="24"/>
          <w:szCs w:val="24"/>
        </w:rPr>
        <w:tab/>
      </w:r>
      <w:r>
        <w:rPr>
          <w:color w:val="auto"/>
          <w:sz w:val="24"/>
          <w:szCs w:val="24"/>
        </w:rPr>
        <w:fldChar w:fldCharType="begin"/>
      </w:r>
      <w:r>
        <w:rPr>
          <w:color w:val="auto"/>
          <w:sz w:val="24"/>
          <w:szCs w:val="24"/>
        </w:rPr>
        <w:instrText xml:space="preserve"> PAGEREF _Toc11897 \h </w:instrText>
      </w:r>
      <w:r>
        <w:rPr>
          <w:color w:val="auto"/>
          <w:sz w:val="24"/>
          <w:szCs w:val="24"/>
        </w:rPr>
        <w:fldChar w:fldCharType="separate"/>
      </w:r>
      <w:r>
        <w:rPr>
          <w:color w:val="auto"/>
          <w:sz w:val="24"/>
          <w:szCs w:val="24"/>
        </w:rPr>
        <w:t>36</w:t>
      </w:r>
      <w:r>
        <w:rPr>
          <w:color w:val="auto"/>
          <w:sz w:val="24"/>
          <w:szCs w:val="24"/>
        </w:rPr>
        <w:fldChar w:fldCharType="end"/>
      </w:r>
      <w:r>
        <w:rPr>
          <w:color w:val="auto"/>
          <w:sz w:val="24"/>
          <w:szCs w:val="24"/>
        </w:rPr>
        <w:fldChar w:fldCharType="end"/>
      </w:r>
    </w:p>
    <w:p w14:paraId="2FEA7A2E">
      <w:pPr>
        <w:pStyle w:val="19"/>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_Toc4320 </w:instrText>
      </w:r>
      <w:r>
        <w:rPr>
          <w:color w:val="auto"/>
          <w:sz w:val="24"/>
          <w:szCs w:val="24"/>
        </w:rPr>
        <w:fldChar w:fldCharType="separate"/>
      </w:r>
      <w:r>
        <w:rPr>
          <w:rFonts w:hint="eastAsia"/>
          <w:color w:val="auto"/>
          <w:sz w:val="24"/>
          <w:szCs w:val="24"/>
          <w:lang w:val="en-US" w:eastAsia="zh-CN"/>
        </w:rPr>
        <w:t>8</w:t>
      </w:r>
      <w:r>
        <w:rPr>
          <w:rFonts w:hint="eastAsia"/>
          <w:color w:val="auto"/>
          <w:sz w:val="24"/>
          <w:szCs w:val="24"/>
        </w:rPr>
        <w:t>.4经费及其他保障</w:t>
      </w:r>
      <w:r>
        <w:rPr>
          <w:color w:val="auto"/>
          <w:sz w:val="24"/>
          <w:szCs w:val="24"/>
        </w:rPr>
        <w:tab/>
      </w:r>
      <w:r>
        <w:rPr>
          <w:color w:val="auto"/>
          <w:sz w:val="24"/>
          <w:szCs w:val="24"/>
        </w:rPr>
        <w:fldChar w:fldCharType="begin"/>
      </w:r>
      <w:r>
        <w:rPr>
          <w:color w:val="auto"/>
          <w:sz w:val="24"/>
          <w:szCs w:val="24"/>
        </w:rPr>
        <w:instrText xml:space="preserve"> PAGEREF _Toc4320 \h </w:instrText>
      </w:r>
      <w:r>
        <w:rPr>
          <w:color w:val="auto"/>
          <w:sz w:val="24"/>
          <w:szCs w:val="24"/>
        </w:rPr>
        <w:fldChar w:fldCharType="separate"/>
      </w:r>
      <w:r>
        <w:rPr>
          <w:color w:val="auto"/>
          <w:sz w:val="24"/>
          <w:szCs w:val="24"/>
        </w:rPr>
        <w:t>37</w:t>
      </w:r>
      <w:r>
        <w:rPr>
          <w:color w:val="auto"/>
          <w:sz w:val="24"/>
          <w:szCs w:val="24"/>
        </w:rPr>
        <w:fldChar w:fldCharType="end"/>
      </w:r>
      <w:r>
        <w:rPr>
          <w:color w:val="auto"/>
          <w:sz w:val="24"/>
          <w:szCs w:val="24"/>
        </w:rPr>
        <w:fldChar w:fldCharType="end"/>
      </w:r>
    </w:p>
    <w:p w14:paraId="0F043590">
      <w:pPr>
        <w:pStyle w:val="15"/>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_Toc30915 </w:instrText>
      </w:r>
      <w:r>
        <w:rPr>
          <w:color w:val="auto"/>
          <w:sz w:val="24"/>
          <w:szCs w:val="24"/>
        </w:rPr>
        <w:fldChar w:fldCharType="separate"/>
      </w:r>
      <w:r>
        <w:rPr>
          <w:rFonts w:hint="eastAsia"/>
          <w:color w:val="auto"/>
          <w:sz w:val="24"/>
          <w:szCs w:val="24"/>
          <w:lang w:val="en-US" w:eastAsia="zh-CN"/>
        </w:rPr>
        <w:t>9</w:t>
      </w:r>
      <w:r>
        <w:rPr>
          <w:rFonts w:hint="eastAsia"/>
          <w:color w:val="auto"/>
          <w:sz w:val="24"/>
          <w:szCs w:val="24"/>
        </w:rPr>
        <w:t>应急培训和演练</w:t>
      </w:r>
      <w:r>
        <w:rPr>
          <w:color w:val="auto"/>
          <w:sz w:val="24"/>
          <w:szCs w:val="24"/>
        </w:rPr>
        <w:tab/>
      </w:r>
      <w:r>
        <w:rPr>
          <w:color w:val="auto"/>
          <w:sz w:val="24"/>
          <w:szCs w:val="24"/>
        </w:rPr>
        <w:fldChar w:fldCharType="begin"/>
      </w:r>
      <w:r>
        <w:rPr>
          <w:color w:val="auto"/>
          <w:sz w:val="24"/>
          <w:szCs w:val="24"/>
        </w:rPr>
        <w:instrText xml:space="preserve"> PAGEREF _Toc30915 \h </w:instrText>
      </w:r>
      <w:r>
        <w:rPr>
          <w:color w:val="auto"/>
          <w:sz w:val="24"/>
          <w:szCs w:val="24"/>
        </w:rPr>
        <w:fldChar w:fldCharType="separate"/>
      </w:r>
      <w:r>
        <w:rPr>
          <w:color w:val="auto"/>
          <w:sz w:val="24"/>
          <w:szCs w:val="24"/>
        </w:rPr>
        <w:t>38</w:t>
      </w:r>
      <w:r>
        <w:rPr>
          <w:color w:val="auto"/>
          <w:sz w:val="24"/>
          <w:szCs w:val="24"/>
        </w:rPr>
        <w:fldChar w:fldCharType="end"/>
      </w:r>
      <w:r>
        <w:rPr>
          <w:color w:val="auto"/>
          <w:sz w:val="24"/>
          <w:szCs w:val="24"/>
        </w:rPr>
        <w:fldChar w:fldCharType="end"/>
      </w:r>
    </w:p>
    <w:p w14:paraId="1AB08500">
      <w:pPr>
        <w:pStyle w:val="19"/>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_Toc30980 </w:instrText>
      </w:r>
      <w:r>
        <w:rPr>
          <w:color w:val="auto"/>
          <w:sz w:val="24"/>
          <w:szCs w:val="24"/>
        </w:rPr>
        <w:fldChar w:fldCharType="separate"/>
      </w:r>
      <w:r>
        <w:rPr>
          <w:rFonts w:hint="eastAsia" w:ascii="Times New Roman" w:hAnsi="Times New Roman" w:eastAsia="宋体"/>
          <w:color w:val="auto"/>
          <w:sz w:val="24"/>
          <w:szCs w:val="24"/>
          <w:lang w:val="en-US" w:eastAsia="zh-CN"/>
        </w:rPr>
        <w:t>9.1</w:t>
      </w:r>
      <w:r>
        <w:rPr>
          <w:rFonts w:hint="default" w:ascii="Times New Roman" w:hAnsi="Times New Roman" w:eastAsia="宋体"/>
          <w:color w:val="auto"/>
          <w:sz w:val="24"/>
          <w:szCs w:val="24"/>
        </w:rPr>
        <w:t xml:space="preserve"> 、演练暴露问题及解决措施</w:t>
      </w:r>
      <w:r>
        <w:rPr>
          <w:color w:val="auto"/>
          <w:sz w:val="24"/>
          <w:szCs w:val="24"/>
        </w:rPr>
        <w:tab/>
      </w:r>
      <w:r>
        <w:rPr>
          <w:color w:val="auto"/>
          <w:sz w:val="24"/>
          <w:szCs w:val="24"/>
        </w:rPr>
        <w:fldChar w:fldCharType="begin"/>
      </w:r>
      <w:r>
        <w:rPr>
          <w:color w:val="auto"/>
          <w:sz w:val="24"/>
          <w:szCs w:val="24"/>
        </w:rPr>
        <w:instrText xml:space="preserve"> PAGEREF _Toc30980 \h </w:instrText>
      </w:r>
      <w:r>
        <w:rPr>
          <w:color w:val="auto"/>
          <w:sz w:val="24"/>
          <w:szCs w:val="24"/>
        </w:rPr>
        <w:fldChar w:fldCharType="separate"/>
      </w:r>
      <w:r>
        <w:rPr>
          <w:color w:val="auto"/>
          <w:sz w:val="24"/>
          <w:szCs w:val="24"/>
        </w:rPr>
        <w:t>38</w:t>
      </w:r>
      <w:r>
        <w:rPr>
          <w:color w:val="auto"/>
          <w:sz w:val="24"/>
          <w:szCs w:val="24"/>
        </w:rPr>
        <w:fldChar w:fldCharType="end"/>
      </w:r>
      <w:r>
        <w:rPr>
          <w:color w:val="auto"/>
          <w:sz w:val="24"/>
          <w:szCs w:val="24"/>
        </w:rPr>
        <w:fldChar w:fldCharType="end"/>
      </w:r>
    </w:p>
    <w:p w14:paraId="4A2F7CFC">
      <w:pPr>
        <w:pStyle w:val="19"/>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_Toc24821 </w:instrText>
      </w:r>
      <w:r>
        <w:rPr>
          <w:color w:val="auto"/>
          <w:sz w:val="24"/>
          <w:szCs w:val="24"/>
        </w:rPr>
        <w:fldChar w:fldCharType="separate"/>
      </w:r>
      <w:r>
        <w:rPr>
          <w:rFonts w:hint="eastAsia"/>
          <w:color w:val="auto"/>
          <w:sz w:val="24"/>
          <w:szCs w:val="24"/>
          <w:lang w:eastAsia="zh-CN"/>
        </w:rPr>
        <w:t>9.</w:t>
      </w:r>
      <w:r>
        <w:rPr>
          <w:rFonts w:hint="eastAsia"/>
          <w:color w:val="auto"/>
          <w:sz w:val="24"/>
          <w:szCs w:val="24"/>
          <w:lang w:val="en-US" w:eastAsia="zh-CN"/>
        </w:rPr>
        <w:t>2</w:t>
      </w:r>
      <w:r>
        <w:rPr>
          <w:rFonts w:hint="eastAsia"/>
          <w:color w:val="auto"/>
          <w:sz w:val="24"/>
          <w:szCs w:val="24"/>
        </w:rPr>
        <w:t>培训</w:t>
      </w:r>
      <w:r>
        <w:rPr>
          <w:color w:val="auto"/>
          <w:sz w:val="24"/>
          <w:szCs w:val="24"/>
        </w:rPr>
        <w:tab/>
      </w:r>
      <w:r>
        <w:rPr>
          <w:color w:val="auto"/>
          <w:sz w:val="24"/>
          <w:szCs w:val="24"/>
        </w:rPr>
        <w:fldChar w:fldCharType="begin"/>
      </w:r>
      <w:r>
        <w:rPr>
          <w:color w:val="auto"/>
          <w:sz w:val="24"/>
          <w:szCs w:val="24"/>
        </w:rPr>
        <w:instrText xml:space="preserve"> PAGEREF _Toc24821 \h </w:instrText>
      </w:r>
      <w:r>
        <w:rPr>
          <w:color w:val="auto"/>
          <w:sz w:val="24"/>
          <w:szCs w:val="24"/>
        </w:rPr>
        <w:fldChar w:fldCharType="separate"/>
      </w:r>
      <w:r>
        <w:rPr>
          <w:color w:val="auto"/>
          <w:sz w:val="24"/>
          <w:szCs w:val="24"/>
        </w:rPr>
        <w:t>38</w:t>
      </w:r>
      <w:r>
        <w:rPr>
          <w:color w:val="auto"/>
          <w:sz w:val="24"/>
          <w:szCs w:val="24"/>
        </w:rPr>
        <w:fldChar w:fldCharType="end"/>
      </w:r>
      <w:r>
        <w:rPr>
          <w:color w:val="auto"/>
          <w:sz w:val="24"/>
          <w:szCs w:val="24"/>
        </w:rPr>
        <w:fldChar w:fldCharType="end"/>
      </w:r>
    </w:p>
    <w:p w14:paraId="56235D0F">
      <w:pPr>
        <w:pStyle w:val="19"/>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_Toc32182 </w:instrText>
      </w:r>
      <w:r>
        <w:rPr>
          <w:color w:val="auto"/>
          <w:sz w:val="24"/>
          <w:szCs w:val="24"/>
        </w:rPr>
        <w:fldChar w:fldCharType="separate"/>
      </w:r>
      <w:r>
        <w:rPr>
          <w:rFonts w:hint="eastAsia"/>
          <w:color w:val="auto"/>
          <w:sz w:val="24"/>
          <w:szCs w:val="24"/>
          <w:lang w:eastAsia="zh-CN"/>
        </w:rPr>
        <w:t>9.</w:t>
      </w:r>
      <w:r>
        <w:rPr>
          <w:rFonts w:hint="eastAsia"/>
          <w:color w:val="auto"/>
          <w:sz w:val="24"/>
          <w:szCs w:val="24"/>
          <w:lang w:val="en-US" w:eastAsia="zh-CN"/>
        </w:rPr>
        <w:t>3</w:t>
      </w:r>
      <w:r>
        <w:rPr>
          <w:rFonts w:hint="eastAsia"/>
          <w:color w:val="auto"/>
          <w:sz w:val="24"/>
          <w:szCs w:val="24"/>
        </w:rPr>
        <w:t>演练</w:t>
      </w:r>
      <w:r>
        <w:rPr>
          <w:color w:val="auto"/>
          <w:sz w:val="24"/>
          <w:szCs w:val="24"/>
        </w:rPr>
        <w:tab/>
      </w:r>
      <w:r>
        <w:rPr>
          <w:color w:val="auto"/>
          <w:sz w:val="24"/>
          <w:szCs w:val="24"/>
        </w:rPr>
        <w:fldChar w:fldCharType="begin"/>
      </w:r>
      <w:r>
        <w:rPr>
          <w:color w:val="auto"/>
          <w:sz w:val="24"/>
          <w:szCs w:val="24"/>
        </w:rPr>
        <w:instrText xml:space="preserve"> PAGEREF _Toc32182 \h </w:instrText>
      </w:r>
      <w:r>
        <w:rPr>
          <w:color w:val="auto"/>
          <w:sz w:val="24"/>
          <w:szCs w:val="24"/>
        </w:rPr>
        <w:fldChar w:fldCharType="separate"/>
      </w:r>
      <w:r>
        <w:rPr>
          <w:color w:val="auto"/>
          <w:sz w:val="24"/>
          <w:szCs w:val="24"/>
        </w:rPr>
        <w:t>39</w:t>
      </w:r>
      <w:r>
        <w:rPr>
          <w:color w:val="auto"/>
          <w:sz w:val="24"/>
          <w:szCs w:val="24"/>
        </w:rPr>
        <w:fldChar w:fldCharType="end"/>
      </w:r>
      <w:r>
        <w:rPr>
          <w:color w:val="auto"/>
          <w:sz w:val="24"/>
          <w:szCs w:val="24"/>
        </w:rPr>
        <w:fldChar w:fldCharType="end"/>
      </w:r>
    </w:p>
    <w:p w14:paraId="542A8DC6">
      <w:pPr>
        <w:pStyle w:val="15"/>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_Toc15783 </w:instrText>
      </w:r>
      <w:r>
        <w:rPr>
          <w:color w:val="auto"/>
          <w:sz w:val="24"/>
          <w:szCs w:val="24"/>
        </w:rPr>
        <w:fldChar w:fldCharType="separate"/>
      </w:r>
      <w:r>
        <w:rPr>
          <w:rFonts w:hint="eastAsia"/>
          <w:color w:val="auto"/>
          <w:sz w:val="24"/>
          <w:szCs w:val="24"/>
        </w:rPr>
        <w:t>1</w:t>
      </w:r>
      <w:r>
        <w:rPr>
          <w:rFonts w:hint="eastAsia"/>
          <w:color w:val="auto"/>
          <w:sz w:val="24"/>
          <w:szCs w:val="24"/>
          <w:lang w:val="en-US" w:eastAsia="zh-CN"/>
        </w:rPr>
        <w:t>0</w:t>
      </w:r>
      <w:r>
        <w:rPr>
          <w:rFonts w:hint="eastAsia"/>
          <w:color w:val="auto"/>
          <w:sz w:val="24"/>
          <w:szCs w:val="24"/>
        </w:rPr>
        <w:t>奖惩</w:t>
      </w:r>
      <w:r>
        <w:rPr>
          <w:color w:val="auto"/>
          <w:sz w:val="24"/>
          <w:szCs w:val="24"/>
        </w:rPr>
        <w:tab/>
      </w:r>
      <w:r>
        <w:rPr>
          <w:color w:val="auto"/>
          <w:sz w:val="24"/>
          <w:szCs w:val="24"/>
        </w:rPr>
        <w:fldChar w:fldCharType="begin"/>
      </w:r>
      <w:r>
        <w:rPr>
          <w:color w:val="auto"/>
          <w:sz w:val="24"/>
          <w:szCs w:val="24"/>
        </w:rPr>
        <w:instrText xml:space="preserve"> PAGEREF _Toc15783 \h </w:instrText>
      </w:r>
      <w:r>
        <w:rPr>
          <w:color w:val="auto"/>
          <w:sz w:val="24"/>
          <w:szCs w:val="24"/>
        </w:rPr>
        <w:fldChar w:fldCharType="separate"/>
      </w:r>
      <w:r>
        <w:rPr>
          <w:color w:val="auto"/>
          <w:sz w:val="24"/>
          <w:szCs w:val="24"/>
        </w:rPr>
        <w:t>42</w:t>
      </w:r>
      <w:r>
        <w:rPr>
          <w:color w:val="auto"/>
          <w:sz w:val="24"/>
          <w:szCs w:val="24"/>
        </w:rPr>
        <w:fldChar w:fldCharType="end"/>
      </w:r>
      <w:r>
        <w:rPr>
          <w:color w:val="auto"/>
          <w:sz w:val="24"/>
          <w:szCs w:val="24"/>
        </w:rPr>
        <w:fldChar w:fldCharType="end"/>
      </w:r>
    </w:p>
    <w:p w14:paraId="7C70F0B0">
      <w:pPr>
        <w:pStyle w:val="19"/>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_Toc16232 </w:instrText>
      </w:r>
      <w:r>
        <w:rPr>
          <w:color w:val="auto"/>
          <w:sz w:val="24"/>
          <w:szCs w:val="24"/>
        </w:rPr>
        <w:fldChar w:fldCharType="separate"/>
      </w:r>
      <w:r>
        <w:rPr>
          <w:rFonts w:hint="eastAsia"/>
          <w:color w:val="auto"/>
          <w:sz w:val="24"/>
          <w:szCs w:val="24"/>
          <w:lang w:eastAsia="zh-CN"/>
        </w:rPr>
        <w:t>10.</w:t>
      </w:r>
      <w:r>
        <w:rPr>
          <w:rFonts w:hint="eastAsia"/>
          <w:color w:val="auto"/>
          <w:sz w:val="24"/>
          <w:szCs w:val="24"/>
        </w:rPr>
        <w:t>1责任</w:t>
      </w:r>
      <w:r>
        <w:rPr>
          <w:color w:val="auto"/>
          <w:sz w:val="24"/>
          <w:szCs w:val="24"/>
        </w:rPr>
        <w:tab/>
      </w:r>
      <w:r>
        <w:rPr>
          <w:color w:val="auto"/>
          <w:sz w:val="24"/>
          <w:szCs w:val="24"/>
        </w:rPr>
        <w:fldChar w:fldCharType="begin"/>
      </w:r>
      <w:r>
        <w:rPr>
          <w:color w:val="auto"/>
          <w:sz w:val="24"/>
          <w:szCs w:val="24"/>
        </w:rPr>
        <w:instrText xml:space="preserve"> PAGEREF _Toc16232 \h </w:instrText>
      </w:r>
      <w:r>
        <w:rPr>
          <w:color w:val="auto"/>
          <w:sz w:val="24"/>
          <w:szCs w:val="24"/>
        </w:rPr>
        <w:fldChar w:fldCharType="separate"/>
      </w:r>
      <w:r>
        <w:rPr>
          <w:color w:val="auto"/>
          <w:sz w:val="24"/>
          <w:szCs w:val="24"/>
        </w:rPr>
        <w:t>42</w:t>
      </w:r>
      <w:r>
        <w:rPr>
          <w:color w:val="auto"/>
          <w:sz w:val="24"/>
          <w:szCs w:val="24"/>
        </w:rPr>
        <w:fldChar w:fldCharType="end"/>
      </w:r>
      <w:r>
        <w:rPr>
          <w:color w:val="auto"/>
          <w:sz w:val="24"/>
          <w:szCs w:val="24"/>
        </w:rPr>
        <w:fldChar w:fldCharType="end"/>
      </w:r>
    </w:p>
    <w:p w14:paraId="7CB17E0A">
      <w:pPr>
        <w:pStyle w:val="19"/>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_Toc10452 </w:instrText>
      </w:r>
      <w:r>
        <w:rPr>
          <w:color w:val="auto"/>
          <w:sz w:val="24"/>
          <w:szCs w:val="24"/>
        </w:rPr>
        <w:fldChar w:fldCharType="separate"/>
      </w:r>
      <w:r>
        <w:rPr>
          <w:rFonts w:hint="eastAsia"/>
          <w:color w:val="auto"/>
          <w:sz w:val="24"/>
          <w:szCs w:val="24"/>
          <w:lang w:eastAsia="zh-CN"/>
        </w:rPr>
        <w:t>10.</w:t>
      </w:r>
      <w:r>
        <w:rPr>
          <w:rFonts w:hint="eastAsia"/>
          <w:color w:val="auto"/>
          <w:sz w:val="24"/>
          <w:szCs w:val="24"/>
        </w:rPr>
        <w:t>2奖励</w:t>
      </w:r>
      <w:r>
        <w:rPr>
          <w:color w:val="auto"/>
          <w:sz w:val="24"/>
          <w:szCs w:val="24"/>
        </w:rPr>
        <w:tab/>
      </w:r>
      <w:r>
        <w:rPr>
          <w:color w:val="auto"/>
          <w:sz w:val="24"/>
          <w:szCs w:val="24"/>
        </w:rPr>
        <w:fldChar w:fldCharType="begin"/>
      </w:r>
      <w:r>
        <w:rPr>
          <w:color w:val="auto"/>
          <w:sz w:val="24"/>
          <w:szCs w:val="24"/>
        </w:rPr>
        <w:instrText xml:space="preserve"> PAGEREF _Toc10452 \h </w:instrText>
      </w:r>
      <w:r>
        <w:rPr>
          <w:color w:val="auto"/>
          <w:sz w:val="24"/>
          <w:szCs w:val="24"/>
        </w:rPr>
        <w:fldChar w:fldCharType="separate"/>
      </w:r>
      <w:r>
        <w:rPr>
          <w:color w:val="auto"/>
          <w:sz w:val="24"/>
          <w:szCs w:val="24"/>
        </w:rPr>
        <w:t>42</w:t>
      </w:r>
      <w:r>
        <w:rPr>
          <w:color w:val="auto"/>
          <w:sz w:val="24"/>
          <w:szCs w:val="24"/>
        </w:rPr>
        <w:fldChar w:fldCharType="end"/>
      </w:r>
      <w:r>
        <w:rPr>
          <w:color w:val="auto"/>
          <w:sz w:val="24"/>
          <w:szCs w:val="24"/>
        </w:rPr>
        <w:fldChar w:fldCharType="end"/>
      </w:r>
    </w:p>
    <w:p w14:paraId="4C931308">
      <w:pPr>
        <w:pStyle w:val="19"/>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_Toc17975 </w:instrText>
      </w:r>
      <w:r>
        <w:rPr>
          <w:color w:val="auto"/>
          <w:sz w:val="24"/>
          <w:szCs w:val="24"/>
        </w:rPr>
        <w:fldChar w:fldCharType="separate"/>
      </w:r>
      <w:r>
        <w:rPr>
          <w:rFonts w:hint="eastAsia"/>
          <w:color w:val="auto"/>
          <w:sz w:val="24"/>
          <w:szCs w:val="24"/>
          <w:lang w:eastAsia="zh-CN"/>
        </w:rPr>
        <w:t>10.</w:t>
      </w:r>
      <w:r>
        <w:rPr>
          <w:rFonts w:hint="eastAsia"/>
          <w:color w:val="auto"/>
          <w:sz w:val="24"/>
          <w:szCs w:val="24"/>
        </w:rPr>
        <w:t>3惩罚</w:t>
      </w:r>
      <w:r>
        <w:rPr>
          <w:color w:val="auto"/>
          <w:sz w:val="24"/>
          <w:szCs w:val="24"/>
        </w:rPr>
        <w:tab/>
      </w:r>
      <w:r>
        <w:rPr>
          <w:color w:val="auto"/>
          <w:sz w:val="24"/>
          <w:szCs w:val="24"/>
        </w:rPr>
        <w:fldChar w:fldCharType="begin"/>
      </w:r>
      <w:r>
        <w:rPr>
          <w:color w:val="auto"/>
          <w:sz w:val="24"/>
          <w:szCs w:val="24"/>
        </w:rPr>
        <w:instrText xml:space="preserve"> PAGEREF _Toc17975 \h </w:instrText>
      </w:r>
      <w:r>
        <w:rPr>
          <w:color w:val="auto"/>
          <w:sz w:val="24"/>
          <w:szCs w:val="24"/>
        </w:rPr>
        <w:fldChar w:fldCharType="separate"/>
      </w:r>
      <w:r>
        <w:rPr>
          <w:color w:val="auto"/>
          <w:sz w:val="24"/>
          <w:szCs w:val="24"/>
        </w:rPr>
        <w:t>42</w:t>
      </w:r>
      <w:r>
        <w:rPr>
          <w:color w:val="auto"/>
          <w:sz w:val="24"/>
          <w:szCs w:val="24"/>
        </w:rPr>
        <w:fldChar w:fldCharType="end"/>
      </w:r>
      <w:r>
        <w:rPr>
          <w:color w:val="auto"/>
          <w:sz w:val="24"/>
          <w:szCs w:val="24"/>
        </w:rPr>
        <w:fldChar w:fldCharType="end"/>
      </w:r>
    </w:p>
    <w:p w14:paraId="690BFCA1">
      <w:pPr>
        <w:pStyle w:val="15"/>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_Toc12296 </w:instrText>
      </w:r>
      <w:r>
        <w:rPr>
          <w:color w:val="auto"/>
          <w:sz w:val="24"/>
          <w:szCs w:val="24"/>
        </w:rPr>
        <w:fldChar w:fldCharType="separate"/>
      </w:r>
      <w:r>
        <w:rPr>
          <w:rFonts w:hint="eastAsia"/>
          <w:color w:val="auto"/>
          <w:sz w:val="24"/>
          <w:szCs w:val="24"/>
        </w:rPr>
        <w:t>1</w:t>
      </w:r>
      <w:r>
        <w:rPr>
          <w:rFonts w:hint="eastAsia"/>
          <w:color w:val="auto"/>
          <w:sz w:val="24"/>
          <w:szCs w:val="24"/>
          <w:lang w:val="en-US" w:eastAsia="zh-CN"/>
        </w:rPr>
        <w:t>1</w:t>
      </w:r>
      <w:r>
        <w:rPr>
          <w:rFonts w:hint="eastAsia"/>
          <w:color w:val="auto"/>
          <w:sz w:val="24"/>
          <w:szCs w:val="24"/>
        </w:rPr>
        <w:t>预案的评审、发布和更新</w:t>
      </w:r>
      <w:r>
        <w:rPr>
          <w:color w:val="auto"/>
          <w:sz w:val="24"/>
          <w:szCs w:val="24"/>
        </w:rPr>
        <w:tab/>
      </w:r>
      <w:r>
        <w:rPr>
          <w:color w:val="auto"/>
          <w:sz w:val="24"/>
          <w:szCs w:val="24"/>
        </w:rPr>
        <w:fldChar w:fldCharType="begin"/>
      </w:r>
      <w:r>
        <w:rPr>
          <w:color w:val="auto"/>
          <w:sz w:val="24"/>
          <w:szCs w:val="24"/>
        </w:rPr>
        <w:instrText xml:space="preserve"> PAGEREF _Toc12296 \h </w:instrText>
      </w:r>
      <w:r>
        <w:rPr>
          <w:color w:val="auto"/>
          <w:sz w:val="24"/>
          <w:szCs w:val="24"/>
        </w:rPr>
        <w:fldChar w:fldCharType="separate"/>
      </w:r>
      <w:r>
        <w:rPr>
          <w:color w:val="auto"/>
          <w:sz w:val="24"/>
          <w:szCs w:val="24"/>
        </w:rPr>
        <w:t>43</w:t>
      </w:r>
      <w:r>
        <w:rPr>
          <w:color w:val="auto"/>
          <w:sz w:val="24"/>
          <w:szCs w:val="24"/>
        </w:rPr>
        <w:fldChar w:fldCharType="end"/>
      </w:r>
      <w:r>
        <w:rPr>
          <w:color w:val="auto"/>
          <w:sz w:val="24"/>
          <w:szCs w:val="24"/>
        </w:rPr>
        <w:fldChar w:fldCharType="end"/>
      </w:r>
    </w:p>
    <w:p w14:paraId="53A544E4">
      <w:pPr>
        <w:pStyle w:val="19"/>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_Toc32724 </w:instrText>
      </w:r>
      <w:r>
        <w:rPr>
          <w:color w:val="auto"/>
          <w:sz w:val="24"/>
          <w:szCs w:val="24"/>
        </w:rPr>
        <w:fldChar w:fldCharType="separate"/>
      </w:r>
      <w:r>
        <w:rPr>
          <w:rFonts w:hint="eastAsia"/>
          <w:color w:val="auto"/>
          <w:sz w:val="24"/>
          <w:szCs w:val="24"/>
          <w:lang w:eastAsia="zh-CN"/>
        </w:rPr>
        <w:t>11.</w:t>
      </w:r>
      <w:r>
        <w:rPr>
          <w:rFonts w:hint="eastAsia"/>
          <w:color w:val="auto"/>
          <w:sz w:val="24"/>
          <w:szCs w:val="24"/>
        </w:rPr>
        <w:t>1预案评审、备案</w:t>
      </w:r>
      <w:r>
        <w:rPr>
          <w:color w:val="auto"/>
          <w:sz w:val="24"/>
          <w:szCs w:val="24"/>
        </w:rPr>
        <w:tab/>
      </w:r>
      <w:r>
        <w:rPr>
          <w:color w:val="auto"/>
          <w:sz w:val="24"/>
          <w:szCs w:val="24"/>
        </w:rPr>
        <w:fldChar w:fldCharType="begin"/>
      </w:r>
      <w:r>
        <w:rPr>
          <w:color w:val="auto"/>
          <w:sz w:val="24"/>
          <w:szCs w:val="24"/>
        </w:rPr>
        <w:instrText xml:space="preserve"> PAGEREF _Toc32724 \h </w:instrText>
      </w:r>
      <w:r>
        <w:rPr>
          <w:color w:val="auto"/>
          <w:sz w:val="24"/>
          <w:szCs w:val="24"/>
        </w:rPr>
        <w:fldChar w:fldCharType="separate"/>
      </w:r>
      <w:r>
        <w:rPr>
          <w:color w:val="auto"/>
          <w:sz w:val="24"/>
          <w:szCs w:val="24"/>
        </w:rPr>
        <w:t>43</w:t>
      </w:r>
      <w:r>
        <w:rPr>
          <w:color w:val="auto"/>
          <w:sz w:val="24"/>
          <w:szCs w:val="24"/>
        </w:rPr>
        <w:fldChar w:fldCharType="end"/>
      </w:r>
      <w:r>
        <w:rPr>
          <w:color w:val="auto"/>
          <w:sz w:val="24"/>
          <w:szCs w:val="24"/>
        </w:rPr>
        <w:fldChar w:fldCharType="end"/>
      </w:r>
    </w:p>
    <w:p w14:paraId="71DE67DA">
      <w:pPr>
        <w:pStyle w:val="19"/>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_Toc12069 </w:instrText>
      </w:r>
      <w:r>
        <w:rPr>
          <w:color w:val="auto"/>
          <w:sz w:val="24"/>
          <w:szCs w:val="24"/>
        </w:rPr>
        <w:fldChar w:fldCharType="separate"/>
      </w:r>
      <w:r>
        <w:rPr>
          <w:rFonts w:hint="eastAsia"/>
          <w:color w:val="auto"/>
          <w:sz w:val="24"/>
          <w:szCs w:val="24"/>
          <w:lang w:eastAsia="zh-CN"/>
        </w:rPr>
        <w:t>11.</w:t>
      </w:r>
      <w:r>
        <w:rPr>
          <w:rFonts w:hint="eastAsia"/>
          <w:color w:val="auto"/>
          <w:sz w:val="24"/>
          <w:szCs w:val="24"/>
        </w:rPr>
        <w:t>2预案更新</w:t>
      </w:r>
      <w:r>
        <w:rPr>
          <w:color w:val="auto"/>
          <w:sz w:val="24"/>
          <w:szCs w:val="24"/>
        </w:rPr>
        <w:tab/>
      </w:r>
      <w:r>
        <w:rPr>
          <w:color w:val="auto"/>
          <w:sz w:val="24"/>
          <w:szCs w:val="24"/>
        </w:rPr>
        <w:fldChar w:fldCharType="begin"/>
      </w:r>
      <w:r>
        <w:rPr>
          <w:color w:val="auto"/>
          <w:sz w:val="24"/>
          <w:szCs w:val="24"/>
        </w:rPr>
        <w:instrText xml:space="preserve"> PAGEREF _Toc12069 \h </w:instrText>
      </w:r>
      <w:r>
        <w:rPr>
          <w:color w:val="auto"/>
          <w:sz w:val="24"/>
          <w:szCs w:val="24"/>
        </w:rPr>
        <w:fldChar w:fldCharType="separate"/>
      </w:r>
      <w:r>
        <w:rPr>
          <w:color w:val="auto"/>
          <w:sz w:val="24"/>
          <w:szCs w:val="24"/>
        </w:rPr>
        <w:t>43</w:t>
      </w:r>
      <w:r>
        <w:rPr>
          <w:color w:val="auto"/>
          <w:sz w:val="24"/>
          <w:szCs w:val="24"/>
        </w:rPr>
        <w:fldChar w:fldCharType="end"/>
      </w:r>
      <w:r>
        <w:rPr>
          <w:color w:val="auto"/>
          <w:sz w:val="24"/>
          <w:szCs w:val="24"/>
        </w:rPr>
        <w:fldChar w:fldCharType="end"/>
      </w:r>
    </w:p>
    <w:p w14:paraId="08FF08F3">
      <w:pPr>
        <w:pStyle w:val="15"/>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_Toc12743 </w:instrText>
      </w:r>
      <w:r>
        <w:rPr>
          <w:color w:val="auto"/>
          <w:sz w:val="24"/>
          <w:szCs w:val="24"/>
        </w:rPr>
        <w:fldChar w:fldCharType="separate"/>
      </w:r>
      <w:r>
        <w:rPr>
          <w:rFonts w:hint="eastAsia"/>
          <w:color w:val="auto"/>
          <w:sz w:val="24"/>
          <w:szCs w:val="24"/>
        </w:rPr>
        <w:t>1</w:t>
      </w:r>
      <w:r>
        <w:rPr>
          <w:rFonts w:hint="eastAsia"/>
          <w:color w:val="auto"/>
          <w:sz w:val="24"/>
          <w:szCs w:val="24"/>
          <w:lang w:val="en-US" w:eastAsia="zh-CN"/>
        </w:rPr>
        <w:t>2</w:t>
      </w:r>
      <w:r>
        <w:rPr>
          <w:rFonts w:hint="eastAsia"/>
          <w:color w:val="auto"/>
          <w:sz w:val="24"/>
          <w:szCs w:val="24"/>
        </w:rPr>
        <w:t>预案的实施和生效的时间</w:t>
      </w:r>
      <w:r>
        <w:rPr>
          <w:color w:val="auto"/>
          <w:sz w:val="24"/>
          <w:szCs w:val="24"/>
        </w:rPr>
        <w:tab/>
      </w:r>
      <w:r>
        <w:rPr>
          <w:color w:val="auto"/>
          <w:sz w:val="24"/>
          <w:szCs w:val="24"/>
        </w:rPr>
        <w:fldChar w:fldCharType="begin"/>
      </w:r>
      <w:r>
        <w:rPr>
          <w:color w:val="auto"/>
          <w:sz w:val="24"/>
          <w:szCs w:val="24"/>
        </w:rPr>
        <w:instrText xml:space="preserve"> PAGEREF _Toc12743 \h </w:instrText>
      </w:r>
      <w:r>
        <w:rPr>
          <w:color w:val="auto"/>
          <w:sz w:val="24"/>
          <w:szCs w:val="24"/>
        </w:rPr>
        <w:fldChar w:fldCharType="separate"/>
      </w:r>
      <w:r>
        <w:rPr>
          <w:color w:val="auto"/>
          <w:sz w:val="24"/>
          <w:szCs w:val="24"/>
        </w:rPr>
        <w:t>45</w:t>
      </w:r>
      <w:r>
        <w:rPr>
          <w:color w:val="auto"/>
          <w:sz w:val="24"/>
          <w:szCs w:val="24"/>
        </w:rPr>
        <w:fldChar w:fldCharType="end"/>
      </w:r>
      <w:r>
        <w:rPr>
          <w:color w:val="auto"/>
          <w:sz w:val="24"/>
          <w:szCs w:val="24"/>
        </w:rPr>
        <w:fldChar w:fldCharType="end"/>
      </w:r>
    </w:p>
    <w:p w14:paraId="2EBCDEDA">
      <w:pPr>
        <w:pStyle w:val="15"/>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_Toc29200 </w:instrText>
      </w:r>
      <w:r>
        <w:rPr>
          <w:color w:val="auto"/>
          <w:sz w:val="24"/>
          <w:szCs w:val="24"/>
        </w:rPr>
        <w:fldChar w:fldCharType="separate"/>
      </w:r>
      <w:r>
        <w:rPr>
          <w:rFonts w:hint="eastAsia" w:ascii="黑体" w:hAnsi="宋体" w:eastAsia="黑体"/>
          <w:bCs/>
          <w:color w:val="auto"/>
          <w:sz w:val="24"/>
          <w:szCs w:val="24"/>
          <w:lang w:eastAsia="zh-CN"/>
        </w:rPr>
        <w:t>江西洪城水业环保有限公司资溪县分公司</w:t>
      </w:r>
      <w:r>
        <w:rPr>
          <w:rFonts w:hint="eastAsia" w:ascii="黑体" w:hAnsi="宋体" w:eastAsia="黑体"/>
          <w:bCs/>
          <w:color w:val="auto"/>
          <w:sz w:val="24"/>
          <w:szCs w:val="24"/>
        </w:rPr>
        <w:t>危险废物</w:t>
      </w:r>
      <w:r>
        <w:rPr>
          <w:rFonts w:hint="eastAsia" w:ascii="黑体" w:hAnsi="宋体" w:eastAsia="黑体"/>
          <w:bCs/>
          <w:color w:val="auto"/>
          <w:sz w:val="24"/>
          <w:szCs w:val="24"/>
          <w:lang w:eastAsia="zh-CN"/>
        </w:rPr>
        <w:t>（</w:t>
      </w:r>
      <w:r>
        <w:rPr>
          <w:rFonts w:hint="eastAsia" w:ascii="黑体" w:hAnsi="宋体" w:eastAsia="黑体"/>
          <w:bCs/>
          <w:color w:val="auto"/>
          <w:sz w:val="24"/>
          <w:szCs w:val="24"/>
          <w:lang w:val="en-US" w:eastAsia="zh-CN"/>
        </w:rPr>
        <w:t>固废</w:t>
      </w:r>
      <w:r>
        <w:rPr>
          <w:rFonts w:hint="eastAsia" w:ascii="黑体" w:hAnsi="宋体" w:eastAsia="黑体"/>
          <w:bCs/>
          <w:color w:val="auto"/>
          <w:sz w:val="24"/>
          <w:szCs w:val="24"/>
          <w:lang w:eastAsia="zh-CN"/>
        </w:rPr>
        <w:t>）</w:t>
      </w:r>
      <w:r>
        <w:rPr>
          <w:rFonts w:hint="eastAsia" w:ascii="黑体" w:hAnsi="宋体" w:eastAsia="黑体"/>
          <w:bCs/>
          <w:color w:val="auto"/>
          <w:sz w:val="24"/>
          <w:szCs w:val="24"/>
        </w:rPr>
        <w:t>专项应急预案</w:t>
      </w:r>
      <w:r>
        <w:rPr>
          <w:color w:val="auto"/>
          <w:sz w:val="24"/>
          <w:szCs w:val="24"/>
        </w:rPr>
        <w:tab/>
      </w:r>
      <w:r>
        <w:rPr>
          <w:color w:val="auto"/>
          <w:sz w:val="24"/>
          <w:szCs w:val="24"/>
        </w:rPr>
        <w:fldChar w:fldCharType="begin"/>
      </w:r>
      <w:r>
        <w:rPr>
          <w:color w:val="auto"/>
          <w:sz w:val="24"/>
          <w:szCs w:val="24"/>
        </w:rPr>
        <w:instrText xml:space="preserve"> PAGEREF _Toc29200 \h </w:instrText>
      </w:r>
      <w:r>
        <w:rPr>
          <w:color w:val="auto"/>
          <w:sz w:val="24"/>
          <w:szCs w:val="24"/>
        </w:rPr>
        <w:fldChar w:fldCharType="separate"/>
      </w:r>
      <w:r>
        <w:rPr>
          <w:color w:val="auto"/>
          <w:sz w:val="24"/>
          <w:szCs w:val="24"/>
        </w:rPr>
        <w:t>46</w:t>
      </w:r>
      <w:r>
        <w:rPr>
          <w:color w:val="auto"/>
          <w:sz w:val="24"/>
          <w:szCs w:val="24"/>
        </w:rPr>
        <w:fldChar w:fldCharType="end"/>
      </w:r>
      <w:r>
        <w:rPr>
          <w:color w:val="auto"/>
          <w:sz w:val="24"/>
          <w:szCs w:val="24"/>
        </w:rPr>
        <w:fldChar w:fldCharType="end"/>
      </w:r>
    </w:p>
    <w:p w14:paraId="3BF0722C">
      <w:pPr>
        <w:pStyle w:val="31"/>
        <w:rPr>
          <w:color w:val="auto"/>
        </w:rPr>
      </w:pPr>
      <w:r>
        <w:rPr>
          <w:color w:val="auto"/>
          <w:sz w:val="24"/>
          <w:szCs w:val="24"/>
        </w:rPr>
        <w:fldChar w:fldCharType="end"/>
      </w:r>
    </w:p>
    <w:p w14:paraId="69855D4B">
      <w:pPr>
        <w:rPr>
          <w:rFonts w:hint="eastAsia"/>
          <w:b/>
          <w:bCs/>
          <w:color w:val="auto"/>
        </w:rPr>
      </w:pPr>
      <w:r>
        <w:rPr>
          <w:rFonts w:hint="eastAsia"/>
          <w:b/>
          <w:bCs/>
          <w:color w:val="auto"/>
        </w:rPr>
        <w:br w:type="page"/>
      </w:r>
    </w:p>
    <w:p w14:paraId="4FF6D33C">
      <w:pPr>
        <w:pStyle w:val="31"/>
        <w:ind w:firstLine="0" w:firstLineChars="0"/>
        <w:rPr>
          <w:b/>
          <w:bCs/>
          <w:color w:val="auto"/>
        </w:rPr>
      </w:pPr>
      <w:r>
        <w:rPr>
          <w:rFonts w:hint="eastAsia"/>
          <w:b/>
          <w:bCs/>
          <w:color w:val="auto"/>
        </w:rPr>
        <w:t>附图：</w:t>
      </w:r>
    </w:p>
    <w:p w14:paraId="7BA30BB8">
      <w:pPr>
        <w:pStyle w:val="31"/>
        <w:rPr>
          <w:color w:val="auto"/>
        </w:rPr>
      </w:pPr>
      <w:r>
        <w:rPr>
          <w:rFonts w:hint="eastAsia"/>
          <w:color w:val="auto"/>
        </w:rPr>
        <w:t>附图1   项目地理位置图</w:t>
      </w:r>
    </w:p>
    <w:p w14:paraId="463091A5">
      <w:pPr>
        <w:pStyle w:val="31"/>
        <w:rPr>
          <w:color w:val="auto"/>
        </w:rPr>
      </w:pPr>
      <w:r>
        <w:rPr>
          <w:rFonts w:hint="eastAsia"/>
          <w:color w:val="auto"/>
        </w:rPr>
        <w:t>附图2   项目环境风险保护目标分布图</w:t>
      </w:r>
    </w:p>
    <w:p w14:paraId="464740A6">
      <w:pPr>
        <w:pStyle w:val="31"/>
        <w:rPr>
          <w:color w:val="auto"/>
        </w:rPr>
      </w:pPr>
      <w:r>
        <w:rPr>
          <w:rFonts w:hint="eastAsia"/>
          <w:color w:val="auto"/>
        </w:rPr>
        <w:t>附图3   项目平面布置图</w:t>
      </w:r>
    </w:p>
    <w:p w14:paraId="12B5DDD0">
      <w:pPr>
        <w:pStyle w:val="31"/>
        <w:rPr>
          <w:rFonts w:hint="eastAsia" w:eastAsia="宋体"/>
          <w:color w:val="auto"/>
          <w:lang w:eastAsia="zh-CN"/>
        </w:rPr>
      </w:pPr>
      <w:r>
        <w:rPr>
          <w:rFonts w:hint="eastAsia"/>
          <w:color w:val="auto"/>
        </w:rPr>
        <w:t xml:space="preserve">附图4   </w:t>
      </w:r>
      <w:r>
        <w:rPr>
          <w:rFonts w:hint="eastAsia"/>
          <w:color w:val="auto"/>
          <w:lang w:eastAsia="zh-CN"/>
        </w:rPr>
        <w:t>尾水走向图</w:t>
      </w:r>
    </w:p>
    <w:p w14:paraId="7943B1B8">
      <w:pPr>
        <w:pStyle w:val="31"/>
        <w:rPr>
          <w:rFonts w:hint="eastAsia"/>
          <w:color w:val="auto"/>
        </w:rPr>
      </w:pPr>
      <w:r>
        <w:rPr>
          <w:rFonts w:hint="eastAsia"/>
          <w:color w:val="auto"/>
        </w:rPr>
        <w:t>附图5   厂区</w:t>
      </w:r>
      <w:r>
        <w:rPr>
          <w:rFonts w:hint="eastAsia"/>
          <w:color w:val="auto"/>
          <w:lang w:val="en-US" w:eastAsia="zh-CN"/>
        </w:rPr>
        <w:t>紧急疏散示意</w:t>
      </w:r>
      <w:r>
        <w:rPr>
          <w:rFonts w:hint="eastAsia"/>
          <w:color w:val="auto"/>
        </w:rPr>
        <w:t>图</w:t>
      </w:r>
    </w:p>
    <w:p w14:paraId="15EA7D7A">
      <w:pPr>
        <w:pStyle w:val="31"/>
        <w:rPr>
          <w:rFonts w:hint="default" w:eastAsia="宋体"/>
          <w:color w:val="auto"/>
          <w:lang w:val="en-US" w:eastAsia="zh-CN"/>
        </w:rPr>
      </w:pPr>
      <w:r>
        <w:rPr>
          <w:rFonts w:hint="eastAsia"/>
          <w:color w:val="auto"/>
          <w:lang w:val="en-US" w:eastAsia="zh-CN"/>
        </w:rPr>
        <w:t>附图6   应急物资、风险单元分布图</w:t>
      </w:r>
    </w:p>
    <w:p w14:paraId="08A66258">
      <w:pPr>
        <w:pStyle w:val="31"/>
        <w:rPr>
          <w:color w:val="auto"/>
        </w:rPr>
      </w:pPr>
    </w:p>
    <w:p w14:paraId="4190F868">
      <w:pPr>
        <w:pStyle w:val="31"/>
        <w:ind w:firstLine="0" w:firstLineChars="0"/>
        <w:rPr>
          <w:b/>
          <w:bCs/>
          <w:color w:val="auto"/>
        </w:rPr>
      </w:pPr>
      <w:r>
        <w:rPr>
          <w:rFonts w:hint="eastAsia"/>
          <w:b/>
          <w:bCs/>
          <w:color w:val="auto"/>
        </w:rPr>
        <w:t>附件：</w:t>
      </w:r>
    </w:p>
    <w:p w14:paraId="4EF4AC6F">
      <w:pPr>
        <w:tabs>
          <w:tab w:val="left" w:pos="3004"/>
        </w:tabs>
        <w:ind w:firstLine="480"/>
        <w:rPr>
          <w:color w:val="auto"/>
        </w:rPr>
      </w:pPr>
      <w:r>
        <w:rPr>
          <w:color w:val="auto"/>
        </w:rPr>
        <w:t>附表1  预警信息记录表</w:t>
      </w:r>
    </w:p>
    <w:p w14:paraId="5D2ADAB4">
      <w:pPr>
        <w:tabs>
          <w:tab w:val="left" w:pos="3004"/>
        </w:tabs>
        <w:ind w:firstLine="480"/>
        <w:rPr>
          <w:color w:val="auto"/>
        </w:rPr>
      </w:pPr>
      <w:r>
        <w:rPr>
          <w:color w:val="auto"/>
        </w:rPr>
        <w:t>附表2  事故接警记录表</w:t>
      </w:r>
    </w:p>
    <w:p w14:paraId="71CD29A3">
      <w:pPr>
        <w:tabs>
          <w:tab w:val="left" w:pos="3004"/>
        </w:tabs>
        <w:ind w:firstLine="480"/>
        <w:rPr>
          <w:color w:val="auto"/>
        </w:rPr>
      </w:pPr>
      <w:r>
        <w:rPr>
          <w:color w:val="auto"/>
        </w:rPr>
        <w:t>附表3  事故报告记录表</w:t>
      </w:r>
    </w:p>
    <w:p w14:paraId="2FB413DF">
      <w:pPr>
        <w:tabs>
          <w:tab w:val="left" w:pos="3004"/>
        </w:tabs>
        <w:ind w:firstLine="480"/>
        <w:rPr>
          <w:color w:val="auto"/>
        </w:rPr>
      </w:pPr>
      <w:r>
        <w:rPr>
          <w:color w:val="auto"/>
        </w:rPr>
        <w:t>附表4  应急演练记录表</w:t>
      </w:r>
    </w:p>
    <w:p w14:paraId="7E277AEB">
      <w:pPr>
        <w:tabs>
          <w:tab w:val="left" w:pos="3004"/>
        </w:tabs>
        <w:ind w:firstLine="480"/>
        <w:rPr>
          <w:color w:val="auto"/>
        </w:rPr>
      </w:pPr>
      <w:r>
        <w:rPr>
          <w:color w:val="auto"/>
        </w:rPr>
        <w:t xml:space="preserve">附表5  </w:t>
      </w:r>
      <w:r>
        <w:rPr>
          <w:rFonts w:hint="eastAsia"/>
          <w:color w:val="auto"/>
          <w:lang w:eastAsia="zh-CN"/>
        </w:rPr>
        <w:t>企业</w:t>
      </w:r>
      <w:r>
        <w:rPr>
          <w:color w:val="auto"/>
        </w:rPr>
        <w:t>应急救援内部通讯录</w:t>
      </w:r>
    </w:p>
    <w:p w14:paraId="61FC0268">
      <w:pPr>
        <w:tabs>
          <w:tab w:val="left" w:pos="3004"/>
        </w:tabs>
        <w:ind w:firstLine="480"/>
        <w:rPr>
          <w:color w:val="auto"/>
        </w:rPr>
      </w:pPr>
      <w:r>
        <w:rPr>
          <w:color w:val="auto"/>
        </w:rPr>
        <w:t>附表6  企业应急救援外部通讯录</w:t>
      </w:r>
    </w:p>
    <w:p w14:paraId="548F09BD">
      <w:pPr>
        <w:tabs>
          <w:tab w:val="left" w:pos="3004"/>
        </w:tabs>
        <w:ind w:firstLine="480"/>
        <w:rPr>
          <w:rFonts w:hint="default" w:eastAsia="宋体"/>
          <w:color w:val="auto"/>
          <w:lang w:val="en-US" w:eastAsia="zh-CN"/>
        </w:rPr>
      </w:pPr>
      <w:r>
        <w:rPr>
          <w:rFonts w:hint="eastAsia"/>
          <w:color w:val="auto"/>
          <w:lang w:eastAsia="zh-CN"/>
        </w:rPr>
        <w:t>附件</w:t>
      </w:r>
      <w:r>
        <w:rPr>
          <w:rFonts w:hint="eastAsia"/>
          <w:color w:val="auto"/>
          <w:lang w:val="en-US" w:eastAsia="zh-CN"/>
        </w:rPr>
        <w:t>7  环保手续</w:t>
      </w:r>
    </w:p>
    <w:p w14:paraId="5AC302D8">
      <w:pPr>
        <w:pStyle w:val="31"/>
        <w:rPr>
          <w:rFonts w:hint="eastAsia"/>
          <w:color w:val="auto"/>
        </w:rPr>
      </w:pPr>
    </w:p>
    <w:p w14:paraId="26FCF13F">
      <w:pPr>
        <w:pStyle w:val="31"/>
        <w:rPr>
          <w:color w:val="auto"/>
        </w:rPr>
      </w:pPr>
    </w:p>
    <w:p w14:paraId="69EE6E97">
      <w:pPr>
        <w:pStyle w:val="31"/>
        <w:rPr>
          <w:color w:val="auto"/>
        </w:rPr>
      </w:pPr>
    </w:p>
    <w:p w14:paraId="1741D88C">
      <w:pPr>
        <w:pStyle w:val="31"/>
        <w:rPr>
          <w:color w:val="auto"/>
        </w:rPr>
      </w:pPr>
    </w:p>
    <w:p w14:paraId="498DA65A">
      <w:pPr>
        <w:pStyle w:val="31"/>
        <w:rPr>
          <w:color w:val="auto"/>
        </w:rPr>
      </w:pPr>
    </w:p>
    <w:p w14:paraId="5DC8A88F">
      <w:pPr>
        <w:pStyle w:val="31"/>
        <w:rPr>
          <w:color w:val="auto"/>
        </w:rPr>
      </w:pPr>
    </w:p>
    <w:p w14:paraId="61425749">
      <w:pPr>
        <w:pStyle w:val="31"/>
        <w:rPr>
          <w:color w:val="auto"/>
        </w:rPr>
      </w:pPr>
    </w:p>
    <w:p w14:paraId="3AB0D992">
      <w:pPr>
        <w:pStyle w:val="31"/>
        <w:rPr>
          <w:color w:val="auto"/>
        </w:rPr>
      </w:pPr>
    </w:p>
    <w:p w14:paraId="36717832">
      <w:pPr>
        <w:pStyle w:val="31"/>
        <w:ind w:firstLine="0" w:firstLineChars="0"/>
        <w:rPr>
          <w:color w:val="auto"/>
        </w:rPr>
        <w:sectPr>
          <w:headerReference r:id="rId10" w:type="default"/>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14:paraId="52BF8309">
      <w:pPr>
        <w:pStyle w:val="4"/>
        <w:spacing w:before="156" w:after="156"/>
        <w:rPr>
          <w:color w:val="auto"/>
        </w:rPr>
      </w:pPr>
      <w:bookmarkStart w:id="0" w:name="_Toc16793"/>
      <w:bookmarkStart w:id="1" w:name="_Toc476314932"/>
      <w:r>
        <w:rPr>
          <w:rFonts w:hint="eastAsia"/>
          <w:color w:val="auto"/>
        </w:rPr>
        <w:t>1总则</w:t>
      </w:r>
      <w:bookmarkEnd w:id="0"/>
      <w:bookmarkEnd w:id="1"/>
    </w:p>
    <w:p w14:paraId="25061E51">
      <w:pPr>
        <w:pStyle w:val="5"/>
        <w:spacing w:before="156" w:after="156"/>
        <w:rPr>
          <w:color w:val="auto"/>
        </w:rPr>
      </w:pPr>
      <w:bookmarkStart w:id="2" w:name="_Toc476314933"/>
      <w:bookmarkStart w:id="3" w:name="_Toc27117"/>
      <w:r>
        <w:rPr>
          <w:rFonts w:hint="eastAsia"/>
          <w:color w:val="auto"/>
        </w:rPr>
        <w:t>1.1编制目的</w:t>
      </w:r>
      <w:bookmarkEnd w:id="2"/>
      <w:bookmarkEnd w:id="3"/>
    </w:p>
    <w:p w14:paraId="342E1D05">
      <w:pPr>
        <w:pStyle w:val="31"/>
        <w:rPr>
          <w:color w:val="auto"/>
        </w:rPr>
      </w:pPr>
      <w:r>
        <w:rPr>
          <w:rFonts w:hint="eastAsia"/>
          <w:color w:val="auto"/>
        </w:rPr>
        <w:t>为建立健全</w:t>
      </w:r>
      <w:r>
        <w:rPr>
          <w:rFonts w:hint="eastAsia"/>
          <w:color w:val="auto"/>
          <w:lang w:eastAsia="zh-CN"/>
        </w:rPr>
        <w:t>江西洪城水业环保有限公司资溪县分公司</w:t>
      </w:r>
      <w:r>
        <w:rPr>
          <w:rFonts w:hint="eastAsia"/>
          <w:color w:val="auto"/>
        </w:rPr>
        <w:t>突发环境事件的应急机制，强化环境风险管理，科学有序高效应对突发环境事件，预防、预警突发性环境污染、破坏事件的发生，提高</w:t>
      </w:r>
      <w:r>
        <w:rPr>
          <w:rFonts w:hint="eastAsia"/>
          <w:color w:val="auto"/>
          <w:lang w:eastAsia="zh-CN"/>
        </w:rPr>
        <w:t>江西洪城水业环保有限公司资溪县分公司</w:t>
      </w:r>
      <w:r>
        <w:rPr>
          <w:rFonts w:hint="eastAsia"/>
          <w:color w:val="auto"/>
        </w:rPr>
        <w:t>应对突发环境事件的能力，将突发环境事件损失和社会危害降低到最低程度，维护社会稳定，保障公众生命财产安全和环境安全，保护环境，促进</w:t>
      </w:r>
      <w:r>
        <w:rPr>
          <w:rFonts w:hint="eastAsia"/>
          <w:color w:val="auto"/>
          <w:lang w:eastAsia="zh-CN"/>
        </w:rPr>
        <w:t>资溪县生活污水处理厂</w:t>
      </w:r>
      <w:r>
        <w:rPr>
          <w:rFonts w:hint="eastAsia"/>
          <w:color w:val="auto"/>
        </w:rPr>
        <w:t>全面、协调、可持续发展，特制定本预案。</w:t>
      </w:r>
    </w:p>
    <w:p w14:paraId="28333142">
      <w:pPr>
        <w:pStyle w:val="5"/>
        <w:spacing w:before="156" w:after="156"/>
        <w:rPr>
          <w:color w:val="auto"/>
        </w:rPr>
      </w:pPr>
      <w:bookmarkStart w:id="4" w:name="_Toc20856"/>
      <w:bookmarkStart w:id="5" w:name="_Toc476314934"/>
      <w:r>
        <w:rPr>
          <w:rFonts w:hint="eastAsia"/>
          <w:color w:val="auto"/>
        </w:rPr>
        <w:t>1.2编制依据</w:t>
      </w:r>
      <w:bookmarkEnd w:id="4"/>
      <w:bookmarkEnd w:id="5"/>
    </w:p>
    <w:p w14:paraId="582A0AB5">
      <w:pPr>
        <w:pStyle w:val="6"/>
        <w:spacing w:before="156" w:after="156"/>
        <w:rPr>
          <w:color w:val="auto"/>
        </w:rPr>
      </w:pPr>
      <w:r>
        <w:rPr>
          <w:rFonts w:hint="eastAsia"/>
          <w:color w:val="auto"/>
        </w:rPr>
        <w:t>1.2.1法律</w:t>
      </w:r>
    </w:p>
    <w:p w14:paraId="2B8FD9FC">
      <w:pPr>
        <w:pStyle w:val="31"/>
        <w:rPr>
          <w:color w:val="auto"/>
        </w:rPr>
      </w:pPr>
      <w:r>
        <w:rPr>
          <w:rFonts w:hint="eastAsia"/>
          <w:color w:val="auto"/>
        </w:rPr>
        <w:t>(1)中华人民共和国环境保护法</w:t>
      </w:r>
    </w:p>
    <w:p w14:paraId="1FABFFD1">
      <w:pPr>
        <w:pStyle w:val="31"/>
        <w:rPr>
          <w:color w:val="auto"/>
        </w:rPr>
      </w:pPr>
      <w:r>
        <w:rPr>
          <w:rFonts w:hint="eastAsia"/>
          <w:color w:val="auto"/>
        </w:rPr>
        <w:t>(2)中华人民共和国大气污染防治法</w:t>
      </w:r>
    </w:p>
    <w:p w14:paraId="4CE7D8AF">
      <w:pPr>
        <w:pStyle w:val="31"/>
        <w:rPr>
          <w:color w:val="auto"/>
        </w:rPr>
      </w:pPr>
      <w:r>
        <w:rPr>
          <w:rFonts w:hint="eastAsia"/>
          <w:color w:val="auto"/>
        </w:rPr>
        <w:t>(3)中华人民共和国水污染防治法</w:t>
      </w:r>
    </w:p>
    <w:p w14:paraId="1C384AB5">
      <w:pPr>
        <w:pStyle w:val="31"/>
        <w:rPr>
          <w:color w:val="auto"/>
        </w:rPr>
      </w:pPr>
      <w:r>
        <w:rPr>
          <w:rFonts w:hint="eastAsia"/>
          <w:color w:val="auto"/>
        </w:rPr>
        <w:t>(4)中华人民共和国固体废物污染环境防治法</w:t>
      </w:r>
    </w:p>
    <w:p w14:paraId="41920B90">
      <w:pPr>
        <w:pStyle w:val="31"/>
        <w:rPr>
          <w:color w:val="auto"/>
        </w:rPr>
      </w:pPr>
      <w:r>
        <w:rPr>
          <w:rFonts w:hint="eastAsia"/>
          <w:color w:val="auto"/>
        </w:rPr>
        <w:t>(5)中华人民共和国突发事件应对法</w:t>
      </w:r>
    </w:p>
    <w:p w14:paraId="1D7F9820">
      <w:pPr>
        <w:pStyle w:val="6"/>
        <w:spacing w:before="156" w:after="156"/>
        <w:rPr>
          <w:color w:val="auto"/>
        </w:rPr>
      </w:pPr>
      <w:r>
        <w:rPr>
          <w:rFonts w:hint="eastAsia"/>
          <w:color w:val="auto"/>
        </w:rPr>
        <w:t>1.2.2法规与规章</w:t>
      </w:r>
    </w:p>
    <w:p w14:paraId="6CB0873D">
      <w:pPr>
        <w:pStyle w:val="31"/>
        <w:rPr>
          <w:color w:val="auto"/>
        </w:rPr>
      </w:pPr>
      <w:r>
        <w:rPr>
          <w:rFonts w:hint="eastAsia"/>
          <w:color w:val="auto"/>
        </w:rPr>
        <w:t>(1)突发环境事件信息报告办法</w:t>
      </w:r>
    </w:p>
    <w:p w14:paraId="57E2B4BE">
      <w:pPr>
        <w:pStyle w:val="31"/>
        <w:rPr>
          <w:color w:val="auto"/>
        </w:rPr>
      </w:pPr>
      <w:r>
        <w:rPr>
          <w:rFonts w:hint="eastAsia"/>
          <w:color w:val="auto"/>
        </w:rPr>
        <w:t>(2)企业事业单位突发环境事件应急预案备案管理办法(试行)</w:t>
      </w:r>
    </w:p>
    <w:p w14:paraId="2A98FA98">
      <w:pPr>
        <w:pStyle w:val="31"/>
        <w:rPr>
          <w:color w:val="auto"/>
        </w:rPr>
      </w:pPr>
      <w:r>
        <w:rPr>
          <w:rFonts w:hint="eastAsia"/>
          <w:color w:val="auto"/>
        </w:rPr>
        <w:t>(3)关于加强环境应急管理工作的意见</w:t>
      </w:r>
    </w:p>
    <w:p w14:paraId="37639E3F">
      <w:pPr>
        <w:pStyle w:val="31"/>
        <w:rPr>
          <w:color w:val="auto"/>
        </w:rPr>
      </w:pPr>
      <w:r>
        <w:rPr>
          <w:rFonts w:hint="eastAsia"/>
          <w:color w:val="auto"/>
        </w:rPr>
        <w:t>(4)国家突发公共事件总体应急预案</w:t>
      </w:r>
    </w:p>
    <w:p w14:paraId="73274661">
      <w:pPr>
        <w:pStyle w:val="31"/>
        <w:rPr>
          <w:color w:val="auto"/>
        </w:rPr>
      </w:pPr>
      <w:r>
        <w:rPr>
          <w:rFonts w:hint="eastAsia"/>
          <w:color w:val="auto"/>
        </w:rPr>
        <w:t>(5)国家突发环境事件应急预案</w:t>
      </w:r>
    </w:p>
    <w:p w14:paraId="2F5D7EDE">
      <w:pPr>
        <w:pStyle w:val="31"/>
        <w:rPr>
          <w:color w:val="auto"/>
        </w:rPr>
      </w:pPr>
      <w:r>
        <w:rPr>
          <w:rFonts w:hint="eastAsia"/>
          <w:color w:val="auto"/>
        </w:rPr>
        <w:t>(6)城镇污水处理厂污染物排放标准</w:t>
      </w:r>
    </w:p>
    <w:p w14:paraId="02747759">
      <w:pPr>
        <w:pStyle w:val="31"/>
        <w:rPr>
          <w:color w:val="auto"/>
        </w:rPr>
      </w:pPr>
      <w:r>
        <w:rPr>
          <w:rFonts w:hint="eastAsia"/>
          <w:color w:val="auto"/>
        </w:rPr>
        <w:t>(7)事故状态下水体污染的预防与控制技术要求</w:t>
      </w:r>
    </w:p>
    <w:p w14:paraId="560CA0DB">
      <w:pPr>
        <w:pStyle w:val="31"/>
        <w:rPr>
          <w:color w:val="auto"/>
        </w:rPr>
      </w:pPr>
      <w:r>
        <w:rPr>
          <w:rFonts w:hint="eastAsia"/>
          <w:color w:val="auto"/>
        </w:rPr>
        <w:t>(8)</w:t>
      </w:r>
      <w:r>
        <w:rPr>
          <w:rFonts w:hint="eastAsia"/>
          <w:color w:val="auto"/>
          <w:lang w:eastAsia="zh-CN"/>
        </w:rPr>
        <w:t>资溪县</w:t>
      </w:r>
      <w:r>
        <w:rPr>
          <w:rFonts w:hint="eastAsia"/>
          <w:color w:val="auto"/>
        </w:rPr>
        <w:t>突发公共事件总体应急预案</w:t>
      </w:r>
    </w:p>
    <w:p w14:paraId="19A3123D">
      <w:pPr>
        <w:pStyle w:val="31"/>
        <w:rPr>
          <w:color w:val="auto"/>
        </w:rPr>
      </w:pPr>
      <w:r>
        <w:rPr>
          <w:rFonts w:hint="eastAsia"/>
          <w:color w:val="auto"/>
        </w:rPr>
        <w:t>(9)</w:t>
      </w:r>
      <w:r>
        <w:rPr>
          <w:rFonts w:hint="eastAsia"/>
          <w:color w:val="auto"/>
          <w:lang w:eastAsia="zh-CN"/>
        </w:rPr>
        <w:t>资溪县</w:t>
      </w:r>
      <w:r>
        <w:rPr>
          <w:rFonts w:hint="eastAsia"/>
          <w:color w:val="auto"/>
        </w:rPr>
        <w:t>突发环境事件总体应急预案</w:t>
      </w:r>
    </w:p>
    <w:p w14:paraId="31E6A83A">
      <w:pPr>
        <w:pStyle w:val="31"/>
        <w:rPr>
          <w:color w:val="auto"/>
        </w:rPr>
        <w:sectPr>
          <w:headerReference r:id="rId12" w:type="default"/>
          <w:footerReference r:id="rId1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3B72DD9F">
      <w:pPr>
        <w:pStyle w:val="31"/>
        <w:rPr>
          <w:color w:val="auto"/>
        </w:rPr>
      </w:pPr>
      <w:r>
        <w:rPr>
          <w:rFonts w:hint="eastAsia"/>
          <w:color w:val="auto"/>
        </w:rPr>
        <w:t>(10)</w:t>
      </w:r>
      <w:r>
        <w:rPr>
          <w:rFonts w:hint="eastAsia"/>
          <w:color w:val="auto"/>
          <w:lang w:eastAsia="zh-CN"/>
        </w:rPr>
        <w:t>抚州市资溪生态环境局</w:t>
      </w:r>
      <w:r>
        <w:rPr>
          <w:rFonts w:hint="eastAsia"/>
          <w:color w:val="auto"/>
        </w:rPr>
        <w:t>突发环境事件应急预案</w:t>
      </w:r>
    </w:p>
    <w:p w14:paraId="1B9ADAC5">
      <w:pPr>
        <w:pStyle w:val="5"/>
        <w:spacing w:before="156" w:after="156"/>
        <w:rPr>
          <w:color w:val="auto"/>
        </w:rPr>
      </w:pPr>
      <w:bookmarkStart w:id="6" w:name="_Toc29171"/>
      <w:bookmarkStart w:id="7" w:name="_Toc476314935"/>
      <w:r>
        <w:rPr>
          <w:rFonts w:hint="eastAsia"/>
          <w:color w:val="auto"/>
        </w:rPr>
        <w:t>1.3适用范围</w:t>
      </w:r>
      <w:bookmarkEnd w:id="6"/>
      <w:bookmarkEnd w:id="7"/>
    </w:p>
    <w:p w14:paraId="6EF9F080">
      <w:pPr>
        <w:pStyle w:val="31"/>
        <w:rPr>
          <w:rFonts w:hint="eastAsia" w:ascii="仿宋_GB2312" w:hAnsi="宋体" w:eastAsia="宋体" w:cs="宋体"/>
          <w:color w:val="auto"/>
          <w:spacing w:val="13"/>
          <w:kern w:val="0"/>
          <w:szCs w:val="28"/>
          <w:lang w:eastAsia="zh-CN"/>
        </w:rPr>
      </w:pPr>
      <w:r>
        <w:rPr>
          <w:rFonts w:hint="eastAsia"/>
          <w:color w:val="auto"/>
        </w:rPr>
        <w:t>本预案适用于</w:t>
      </w:r>
      <w:r>
        <w:rPr>
          <w:rFonts w:hint="eastAsia"/>
          <w:color w:val="auto"/>
          <w:lang w:eastAsia="zh-CN"/>
        </w:rPr>
        <w:t>资溪县生活污水处理厂</w:t>
      </w:r>
      <w:r>
        <w:rPr>
          <w:rFonts w:hint="eastAsia"/>
          <w:color w:val="auto"/>
        </w:rPr>
        <w:t>由于污染物排放或自然灾害、生产安全事故等因素，突然造成或可能造成环境质量下降，危及公众身体健康和财产安全，或造成生态环境破坏，或造成重大社会影响，需要采取紧急措施予以应对的事件，主要包括大气污染、水体污染、土壤污染等突发性环境污染事件。</w:t>
      </w:r>
      <w:r>
        <w:rPr>
          <w:rFonts w:hint="eastAsia"/>
          <w:color w:val="auto"/>
          <w:lang w:eastAsia="zh-CN"/>
        </w:rPr>
        <w:t>不适用于其它情形的安全事故。</w:t>
      </w:r>
    </w:p>
    <w:p w14:paraId="6A3FFC20">
      <w:pPr>
        <w:pStyle w:val="5"/>
        <w:spacing w:before="156" w:after="156"/>
        <w:rPr>
          <w:color w:val="auto"/>
        </w:rPr>
      </w:pPr>
      <w:bookmarkStart w:id="8" w:name="_Toc24860"/>
      <w:bookmarkStart w:id="9" w:name="_Toc476314937"/>
      <w:r>
        <w:rPr>
          <w:rFonts w:hint="eastAsia"/>
          <w:color w:val="auto"/>
        </w:rPr>
        <w:t>1.4各级应急预案衔接</w:t>
      </w:r>
      <w:bookmarkEnd w:id="8"/>
      <w:bookmarkEnd w:id="9"/>
    </w:p>
    <w:p w14:paraId="201DA47D">
      <w:pPr>
        <w:pStyle w:val="31"/>
        <w:rPr>
          <w:rFonts w:hint="eastAsia" w:eastAsia="宋体"/>
          <w:color w:val="auto"/>
          <w:lang w:eastAsia="zh-CN"/>
        </w:rPr>
      </w:pPr>
      <w:r>
        <w:rPr>
          <w:rFonts w:hint="default" w:ascii="Times New Roman" w:hAnsi="Times New Roman" w:cs="Times New Roman"/>
          <w:color w:val="auto"/>
          <w:spacing w:val="0"/>
          <w:w w:val="100"/>
          <w:position w:val="0"/>
          <w:sz w:val="24"/>
          <w:szCs w:val="24"/>
        </w:rPr>
        <w:t xml:space="preserve">本预案与地方人民政府环境应急预案的衔接关系、与生产安全事故及消防安全等其他预案的衔接关系、与企业现场处置预案的关系见图 </w:t>
      </w:r>
      <w:r>
        <w:rPr>
          <w:rFonts w:hint="default" w:ascii="Times New Roman" w:hAnsi="Times New Roman" w:eastAsia="Times New Roman" w:cs="Times New Roman"/>
          <w:color w:val="auto"/>
          <w:spacing w:val="0"/>
          <w:w w:val="100"/>
          <w:position w:val="0"/>
          <w:sz w:val="24"/>
          <w:szCs w:val="24"/>
        </w:rPr>
        <w:t>1</w:t>
      </w:r>
      <w:r>
        <w:rPr>
          <w:rFonts w:hint="eastAsia" w:ascii="Times New Roman" w:hAnsi="Times New Roman" w:eastAsia="宋体" w:cs="Times New Roman"/>
          <w:color w:val="auto"/>
          <w:spacing w:val="0"/>
          <w:w w:val="100"/>
          <w:position w:val="0"/>
          <w:sz w:val="24"/>
          <w:szCs w:val="24"/>
          <w:lang w:val="en-US" w:eastAsia="zh-CN"/>
        </w:rPr>
        <w:t>.4-1</w:t>
      </w:r>
      <w:r>
        <w:rPr>
          <w:rFonts w:hint="default" w:ascii="Times New Roman" w:hAnsi="Times New Roman" w:eastAsia="Times New Roman" w:cs="Times New Roman"/>
          <w:color w:val="auto"/>
          <w:spacing w:val="0"/>
          <w:w w:val="100"/>
          <w:position w:val="0"/>
          <w:sz w:val="24"/>
          <w:szCs w:val="24"/>
        </w:rPr>
        <w:t xml:space="preserve"> </w:t>
      </w:r>
      <w:r>
        <w:rPr>
          <w:rFonts w:hint="default" w:ascii="Times New Roman" w:hAnsi="Times New Roman" w:cs="Times New Roman"/>
          <w:color w:val="auto"/>
          <w:spacing w:val="0"/>
          <w:w w:val="100"/>
          <w:position w:val="0"/>
          <w:sz w:val="24"/>
          <w:szCs w:val="24"/>
        </w:rPr>
        <w:t>所示</w:t>
      </w:r>
      <w:r>
        <w:rPr>
          <w:rFonts w:hint="eastAsia" w:ascii="Times New Roman" w:hAnsi="Times New Roman" w:cs="Times New Roman"/>
          <w:color w:val="auto"/>
          <w:spacing w:val="0"/>
          <w:w w:val="100"/>
          <w:position w:val="0"/>
          <w:sz w:val="24"/>
          <w:szCs w:val="24"/>
          <w:lang w:eastAsia="zh-CN"/>
        </w:rPr>
        <w:t>。</w:t>
      </w:r>
    </w:p>
    <w:p w14:paraId="19D249D6">
      <w:pPr>
        <w:pStyle w:val="31"/>
        <w:keepNext w:val="0"/>
        <w:keepLines w:val="0"/>
        <w:pageBreakBefore w:val="0"/>
        <w:widowControl w:val="0"/>
        <w:kinsoku/>
        <w:wordWrap/>
        <w:overflowPunct/>
        <w:topLinePunct w:val="0"/>
        <w:autoSpaceDE/>
        <w:autoSpaceDN/>
        <w:bidi w:val="0"/>
        <w:adjustRightInd/>
        <w:snapToGrid/>
        <w:ind w:firstLine="0" w:firstLineChars="0"/>
        <w:jc w:val="center"/>
        <w:textAlignment w:val="auto"/>
        <w:rPr>
          <w:b/>
          <w:bCs/>
          <w:color w:val="auto"/>
        </w:rPr>
      </w:pPr>
      <w:r>
        <w:rPr>
          <w:rFonts w:hint="default" w:ascii="Times New Roman" w:hAnsi="Times New Roman" w:eastAsia="宋体" w:cs="Times New Roman"/>
          <w:bCs/>
          <w:color w:val="auto"/>
          <w:sz w:val="24"/>
        </w:rPr>
        <w:object>
          <v:shape id="_x0000_i1025" o:spt="75" type="#_x0000_t75" style="height:176.4pt;width:469.85pt;" o:ole="t" filled="f" o:preferrelative="t" stroked="f" coordsize="21600,21600">
            <v:path/>
            <v:fill on="f" focussize="0,0"/>
            <v:stroke on="f"/>
            <v:imagedata r:id="rId17" croptop="-487f" cropbottom="-2562f" o:title=""/>
            <o:lock v:ext="edit" aspectratio="f"/>
            <w10:wrap type="none"/>
            <w10:anchorlock/>
          </v:shape>
          <o:OLEObject Type="Embed" ProgID="Visio.Drawing.11" ShapeID="_x0000_i1025" DrawAspect="Content" ObjectID="_1468075725" r:id="rId16">
            <o:LockedField>false</o:LockedField>
          </o:OLEObject>
        </w:object>
      </w:r>
      <w:r>
        <w:rPr>
          <w:rFonts w:hint="eastAsia"/>
          <w:b/>
          <w:bCs/>
          <w:color w:val="auto"/>
        </w:rPr>
        <w:t>图1.4-1各级应急预案衔接示意图</w:t>
      </w:r>
    </w:p>
    <w:p w14:paraId="542C41E8">
      <w:pPr>
        <w:pStyle w:val="5"/>
        <w:spacing w:before="156" w:after="156"/>
        <w:rPr>
          <w:color w:val="auto"/>
        </w:rPr>
      </w:pPr>
      <w:bookmarkStart w:id="10" w:name="_Toc476314938"/>
      <w:bookmarkStart w:id="11" w:name="_Toc24579"/>
      <w:r>
        <w:rPr>
          <w:rFonts w:hint="eastAsia"/>
          <w:color w:val="auto"/>
        </w:rPr>
        <w:t>1.5工作原则</w:t>
      </w:r>
      <w:bookmarkEnd w:id="10"/>
      <w:bookmarkEnd w:id="11"/>
      <w:bookmarkStart w:id="182" w:name="_GoBack"/>
      <w:bookmarkEnd w:id="182"/>
    </w:p>
    <w:p w14:paraId="232E2ACA">
      <w:pPr>
        <w:pStyle w:val="31"/>
        <w:rPr>
          <w:color w:val="auto"/>
        </w:rPr>
      </w:pPr>
      <w:r>
        <w:rPr>
          <w:rFonts w:hint="eastAsia"/>
          <w:color w:val="auto"/>
          <w:lang w:eastAsia="zh-CN"/>
        </w:rPr>
        <w:t>江西洪城水业环保有限公司资溪县分公司</w:t>
      </w:r>
      <w:r>
        <w:rPr>
          <w:rFonts w:hint="eastAsia"/>
          <w:color w:val="auto"/>
        </w:rPr>
        <w:t>突发环境事件应急预案坚持统一领导、分级负责、快速反应、科学处置，资源共享、保障有力，预防为主，防控结合；就近处置，防止扩散；汲取经验，坚持改进为原则，树立全面、协调、可持续的科学发展观，提高</w:t>
      </w:r>
      <w:r>
        <w:rPr>
          <w:rFonts w:hint="eastAsia"/>
          <w:color w:val="auto"/>
          <w:lang w:eastAsia="zh-CN"/>
        </w:rPr>
        <w:t>江西洪城水业环保有限公司资溪县分公司</w:t>
      </w:r>
      <w:r>
        <w:rPr>
          <w:rFonts w:hint="eastAsia"/>
          <w:color w:val="auto"/>
        </w:rPr>
        <w:t>应对突发环境事件的能力。</w:t>
      </w:r>
    </w:p>
    <w:p w14:paraId="5C71170F">
      <w:pPr>
        <w:pStyle w:val="31"/>
        <w:rPr>
          <w:color w:val="auto"/>
        </w:rPr>
      </w:pPr>
    </w:p>
    <w:p w14:paraId="78F4AAA9">
      <w:pPr>
        <w:pStyle w:val="4"/>
        <w:spacing w:before="156" w:after="156"/>
        <w:rPr>
          <w:color w:val="auto"/>
        </w:rPr>
      </w:pPr>
      <w:bookmarkStart w:id="12" w:name="_Toc476314939"/>
      <w:bookmarkStart w:id="13" w:name="_Toc918"/>
      <w:r>
        <w:rPr>
          <w:rFonts w:hint="eastAsia"/>
          <w:color w:val="auto"/>
        </w:rPr>
        <w:t>2</w:t>
      </w:r>
      <w:bookmarkEnd w:id="12"/>
      <w:r>
        <w:rPr>
          <w:rFonts w:hint="eastAsia"/>
          <w:color w:val="auto"/>
        </w:rPr>
        <w:t>资料准备与环境风险识别</w:t>
      </w:r>
      <w:bookmarkEnd w:id="13"/>
    </w:p>
    <w:p w14:paraId="36F6D196">
      <w:pPr>
        <w:pStyle w:val="5"/>
        <w:spacing w:before="156" w:after="156"/>
        <w:rPr>
          <w:color w:val="auto"/>
        </w:rPr>
      </w:pPr>
      <w:bookmarkStart w:id="14" w:name="_Toc476314940"/>
      <w:bookmarkStart w:id="15" w:name="_Toc26550"/>
      <w:r>
        <w:rPr>
          <w:rFonts w:hint="eastAsia"/>
          <w:color w:val="auto"/>
        </w:rPr>
        <w:t>2.1单位的基本情况</w:t>
      </w:r>
      <w:bookmarkEnd w:id="14"/>
      <w:bookmarkEnd w:id="15"/>
    </w:p>
    <w:p w14:paraId="691B241D">
      <w:pPr>
        <w:ind w:firstLine="512"/>
        <w:rPr>
          <w:rFonts w:hint="eastAsia"/>
          <w:color w:val="auto"/>
          <w:lang w:eastAsia="zh-CN"/>
        </w:rPr>
      </w:pPr>
      <w:r>
        <w:rPr>
          <w:rFonts w:hint="eastAsia"/>
          <w:color w:val="auto"/>
          <w:lang w:eastAsia="zh-CN"/>
        </w:rPr>
        <w:t>江西洪城水业环保有限公司资溪县分公司成立于201</w:t>
      </w:r>
      <w:r>
        <w:rPr>
          <w:rFonts w:hint="eastAsia"/>
          <w:color w:val="auto"/>
          <w:lang w:val="en-US" w:eastAsia="zh-CN"/>
        </w:rPr>
        <w:t>0</w:t>
      </w:r>
      <w:r>
        <w:rPr>
          <w:rFonts w:hint="eastAsia"/>
          <w:color w:val="auto"/>
          <w:lang w:eastAsia="zh-CN"/>
        </w:rPr>
        <w:t>年</w:t>
      </w:r>
      <w:r>
        <w:rPr>
          <w:rFonts w:hint="eastAsia"/>
          <w:color w:val="auto"/>
          <w:lang w:val="en-US" w:eastAsia="zh-CN"/>
        </w:rPr>
        <w:t>5</w:t>
      </w:r>
      <w:r>
        <w:rPr>
          <w:rFonts w:hint="eastAsia"/>
          <w:color w:val="auto"/>
          <w:lang w:eastAsia="zh-CN"/>
        </w:rPr>
        <w:t>月，为资溪县生活污水处理厂运营单位，主要负责调试运营。</w:t>
      </w:r>
    </w:p>
    <w:p w14:paraId="2209AC14">
      <w:pPr>
        <w:ind w:firstLine="512"/>
        <w:rPr>
          <w:rFonts w:hint="default"/>
          <w:color w:val="auto"/>
          <w:lang w:val="en-US"/>
        </w:rPr>
      </w:pPr>
      <w:r>
        <w:rPr>
          <w:rFonts w:ascii="Times New Roman" w:hAnsi="Times New Roman" w:eastAsia="宋体"/>
          <w:bCs/>
          <w:color w:val="auto"/>
          <w:sz w:val="24"/>
        </w:rPr>
        <w:t>江西洪城水业环保有限公司</w:t>
      </w:r>
      <w:r>
        <w:rPr>
          <w:rFonts w:hint="eastAsia"/>
          <w:bCs/>
          <w:color w:val="auto"/>
          <w:sz w:val="24"/>
          <w:lang w:eastAsia="zh-CN"/>
        </w:rPr>
        <w:t>资溪</w:t>
      </w:r>
      <w:r>
        <w:rPr>
          <w:rFonts w:ascii="Times New Roman" w:hAnsi="Times New Roman" w:eastAsia="宋体"/>
          <w:bCs/>
          <w:color w:val="auto"/>
          <w:sz w:val="24"/>
        </w:rPr>
        <w:t>县分公司占地面积约</w:t>
      </w:r>
      <w:r>
        <w:rPr>
          <w:rFonts w:hint="eastAsia" w:ascii="TimesNewRomanPSMT" w:hAnsi="TimesNewRomanPSMT" w:eastAsia="TimesNewRomanPSMT"/>
          <w:color w:val="auto"/>
          <w:sz w:val="24"/>
          <w:szCs w:val="24"/>
        </w:rPr>
        <w:t>33333.5</w:t>
      </w:r>
      <w:r>
        <w:rPr>
          <w:rFonts w:ascii="Times New Roman" w:hAnsi="Times New Roman" w:eastAsia="宋体"/>
          <w:bCs/>
          <w:color w:val="auto"/>
          <w:sz w:val="24"/>
        </w:rPr>
        <w:t>㎡，项目选址位于</w:t>
      </w:r>
      <w:r>
        <w:rPr>
          <w:rFonts w:hint="eastAsia" w:ascii="宋体" w:hAnsi="宋体" w:eastAsia="宋体"/>
          <w:color w:val="auto"/>
          <w:sz w:val="24"/>
          <w:szCs w:val="24"/>
        </w:rPr>
        <w:t>抚州市资溪县鹤城镇三江路口</w:t>
      </w:r>
      <w:r>
        <w:rPr>
          <w:rFonts w:ascii="Times New Roman" w:hAnsi="Times New Roman" w:eastAsia="宋体"/>
          <w:bCs/>
          <w:color w:val="auto"/>
          <w:sz w:val="24"/>
        </w:rPr>
        <w:t>，地理坐标为：</w:t>
      </w:r>
      <w:r>
        <w:rPr>
          <w:rFonts w:ascii="Times New Roman" w:hAnsi="Times New Roman" w:cs="Times New Roman"/>
          <w:color w:val="auto"/>
          <w:sz w:val="24"/>
        </w:rPr>
        <w:t>N：27</w:t>
      </w:r>
      <w:r>
        <w:rPr>
          <w:rFonts w:ascii="Times New Roman" w:hAnsi="Times New Roman" w:cs="Times New Roman"/>
          <w:color w:val="auto"/>
          <w:sz w:val="24"/>
          <w:vertAlign w:val="superscript"/>
        </w:rPr>
        <w:t>。</w:t>
      </w:r>
      <w:r>
        <w:rPr>
          <w:rFonts w:ascii="Times New Roman" w:hAnsi="Times New Roman" w:cs="Times New Roman"/>
          <w:color w:val="auto"/>
          <w:sz w:val="24"/>
        </w:rPr>
        <w:t>42'48.77''，E：117</w:t>
      </w:r>
      <w:r>
        <w:rPr>
          <w:rFonts w:ascii="Times New Roman" w:hAnsi="Times New Roman" w:cs="Times New Roman"/>
          <w:color w:val="auto"/>
          <w:sz w:val="24"/>
          <w:vertAlign w:val="superscript"/>
        </w:rPr>
        <w:t>。</w:t>
      </w:r>
      <w:r>
        <w:rPr>
          <w:rFonts w:ascii="Times New Roman" w:hAnsi="Times New Roman" w:cs="Times New Roman"/>
          <w:color w:val="auto"/>
          <w:sz w:val="24"/>
        </w:rPr>
        <w:t>03'24.88''</w:t>
      </w:r>
      <w:r>
        <w:rPr>
          <w:rFonts w:ascii="Times New Roman" w:hAnsi="Times New Roman" w:eastAsia="宋体"/>
          <w:bCs/>
          <w:color w:val="auto"/>
          <w:sz w:val="24"/>
        </w:rPr>
        <w:t>，工程建设规模</w:t>
      </w:r>
      <w:r>
        <w:rPr>
          <w:rFonts w:hint="eastAsia"/>
          <w:bCs/>
          <w:color w:val="auto"/>
          <w:sz w:val="24"/>
          <w:lang w:val="en-US" w:eastAsia="zh-CN"/>
        </w:rPr>
        <w:t>1.0</w:t>
      </w:r>
      <w:r>
        <w:rPr>
          <w:rFonts w:ascii="Times New Roman" w:hAnsi="Times New Roman" w:eastAsia="宋体"/>
          <w:bCs/>
          <w:color w:val="auto"/>
          <w:sz w:val="24"/>
        </w:rPr>
        <w:t>万m³/d，出水水质达到《城镇污水处理厂污染物排放标准》（GB18918-2002）一级</w:t>
      </w:r>
      <w:r>
        <w:rPr>
          <w:rFonts w:hint="eastAsia" w:ascii="Times New Roman" w:hAnsi="Times New Roman" w:eastAsia="宋体"/>
          <w:bCs/>
          <w:color w:val="auto"/>
          <w:sz w:val="24"/>
          <w:lang w:val="en-US" w:eastAsia="zh-CN"/>
        </w:rPr>
        <w:t>A</w:t>
      </w:r>
      <w:r>
        <w:rPr>
          <w:rFonts w:ascii="Times New Roman" w:hAnsi="Times New Roman" w:eastAsia="宋体"/>
          <w:bCs/>
          <w:color w:val="auto"/>
          <w:sz w:val="24"/>
        </w:rPr>
        <w:t>标准。</w:t>
      </w:r>
      <w:r>
        <w:rPr>
          <w:rFonts w:hint="eastAsia" w:ascii="Times New Roman" w:hAnsi="Times New Roman" w:cs="Times New Roman"/>
          <w:color w:val="auto"/>
          <w:sz w:val="24"/>
        </w:rPr>
        <w:t>资溪县生活污水处理厂于 2008年12月开工建设，于2009年9月完工，于200</w:t>
      </w:r>
      <w:r>
        <w:rPr>
          <w:rFonts w:hint="eastAsia" w:ascii="Times New Roman" w:hAnsi="Times New Roman" w:cs="Times New Roman"/>
          <w:color w:val="auto"/>
          <w:sz w:val="24"/>
          <w:lang w:val="en-US" w:eastAsia="zh-CN"/>
        </w:rPr>
        <w:t>8</w:t>
      </w:r>
      <w:r>
        <w:rPr>
          <w:rFonts w:hint="eastAsia" w:ascii="Times New Roman" w:hAnsi="Times New Roman" w:cs="Times New Roman"/>
          <w:color w:val="auto"/>
          <w:sz w:val="24"/>
        </w:rPr>
        <w:t>年4月委托抚州市环境保护科学研究所完成该项目的环境影响评价报告表，于2008年9月得到了江西省环境保护局的批复，赣环督字【2008】430号。2012年9月，建设单位委托江西省环境监测中心站组织开展该项目环境保护竣工验收工作，于2012 年11月得到江西省环境保护厅关于资溪县污水处理工程竣工环境保护验收意见的函，赣环评函【2012】199号</w:t>
      </w:r>
      <w:r>
        <w:rPr>
          <w:rFonts w:hint="eastAsia" w:ascii="Times New Roman" w:hAnsi="Times New Roman" w:cs="Times New Roman"/>
          <w:color w:val="auto"/>
          <w:sz w:val="24"/>
          <w:lang w:val="en-US" w:eastAsia="zh-CN"/>
        </w:rPr>
        <w:t>。</w:t>
      </w:r>
      <w:r>
        <w:rPr>
          <w:rFonts w:hint="eastAsia"/>
          <w:color w:val="auto"/>
          <w:lang w:val="en-US" w:eastAsia="zh-CN"/>
        </w:rPr>
        <w:t>2019年5月27日取得</w:t>
      </w:r>
      <w:r>
        <w:rPr>
          <w:rFonts w:hint="eastAsia"/>
          <w:color w:val="auto"/>
          <w:lang w:eastAsia="zh-CN"/>
        </w:rPr>
        <w:t>资溪县行政审批局</w:t>
      </w:r>
      <w:r>
        <w:rPr>
          <w:rFonts w:ascii="Times New Roman" w:hAnsi="Times New Roman"/>
          <w:color w:val="auto"/>
          <w:sz w:val="24"/>
        </w:rPr>
        <w:t>《关于对</w:t>
      </w:r>
      <w:r>
        <w:rPr>
          <w:rFonts w:hint="eastAsia" w:ascii="Times New Roman" w:hAnsi="Times New Roman"/>
          <w:color w:val="auto"/>
          <w:sz w:val="24"/>
        </w:rPr>
        <w:t>资溪县城市污水处理厂提标改造及扩容工程环境影响报告表</w:t>
      </w:r>
      <w:r>
        <w:rPr>
          <w:rFonts w:ascii="Times New Roman" w:hAnsi="Times New Roman"/>
          <w:color w:val="auto"/>
          <w:sz w:val="24"/>
        </w:rPr>
        <w:t>》的批复</w:t>
      </w:r>
      <w:r>
        <w:rPr>
          <w:rFonts w:hint="eastAsia"/>
          <w:color w:val="auto"/>
          <w:lang w:eastAsia="zh-CN"/>
        </w:rPr>
        <w:t>（</w:t>
      </w:r>
      <w:r>
        <w:rPr>
          <w:rFonts w:hint="eastAsia" w:ascii="Times New Roman" w:hAnsi="Times New Roman"/>
          <w:color w:val="auto"/>
          <w:sz w:val="24"/>
        </w:rPr>
        <w:t>资行审批</w:t>
      </w:r>
      <w:r>
        <w:rPr>
          <w:rFonts w:ascii="Times New Roman" w:hAnsi="Times New Roman"/>
          <w:color w:val="auto"/>
          <w:sz w:val="24"/>
        </w:rPr>
        <w:t>【2019】97号</w:t>
      </w:r>
      <w:r>
        <w:rPr>
          <w:rFonts w:hint="eastAsia"/>
          <w:color w:val="auto"/>
          <w:lang w:eastAsia="zh-CN"/>
        </w:rPr>
        <w:t>），</w:t>
      </w:r>
      <w:r>
        <w:rPr>
          <w:rFonts w:hint="eastAsia"/>
          <w:color w:val="auto"/>
          <w:lang w:val="en-US" w:eastAsia="zh-CN"/>
        </w:rPr>
        <w:t>该工程于2020年9月完成自主验收</w:t>
      </w:r>
      <w:r>
        <w:rPr>
          <w:rFonts w:hint="eastAsia"/>
          <w:color w:val="auto"/>
          <w:lang w:eastAsia="zh-CN"/>
        </w:rPr>
        <w:t>。</w:t>
      </w:r>
    </w:p>
    <w:p w14:paraId="54A4D1B1">
      <w:pPr>
        <w:spacing w:line="360" w:lineRule="auto"/>
        <w:ind w:left="0" w:leftChars="0" w:right="0" w:rightChars="0" w:firstLine="480"/>
        <w:rPr>
          <w:rFonts w:ascii="Times New Roman" w:hAnsi="Times New Roman" w:eastAsia="宋体"/>
          <w:bCs/>
          <w:color w:val="auto"/>
          <w:sz w:val="24"/>
        </w:rPr>
      </w:pPr>
      <w:r>
        <w:rPr>
          <w:rFonts w:ascii="Times New Roman" w:hAnsi="Times New Roman" w:eastAsia="宋体"/>
          <w:bCs/>
          <w:color w:val="auto"/>
          <w:sz w:val="24"/>
        </w:rPr>
        <w:t>污水处理厂建设主要包括污水、污泥处理构筑物工程和办公服务区工程，污水处理工艺采用</w:t>
      </w:r>
      <w:r>
        <w:rPr>
          <w:rFonts w:hint="eastAsia"/>
          <w:bCs/>
          <w:color w:val="auto"/>
          <w:sz w:val="24"/>
          <w:lang w:eastAsia="zh-CN"/>
        </w:rPr>
        <w:t>改良式氧化沟</w:t>
      </w:r>
      <w:r>
        <w:rPr>
          <w:rFonts w:ascii="Times New Roman" w:hAnsi="Times New Roman" w:eastAsia="宋体"/>
          <w:bCs/>
          <w:color w:val="auto"/>
          <w:sz w:val="24"/>
        </w:rPr>
        <w:t>处理工艺。</w:t>
      </w:r>
    </w:p>
    <w:p w14:paraId="00C94D30">
      <w:pPr>
        <w:keepNext w:val="0"/>
        <w:keepLines w:val="0"/>
        <w:widowControl/>
        <w:suppressLineNumbers w:val="0"/>
        <w:jc w:val="left"/>
        <w:rPr>
          <w:color w:val="auto"/>
        </w:rPr>
      </w:pPr>
      <w:r>
        <w:rPr>
          <w:rFonts w:hint="eastAsia"/>
          <w:color w:val="auto"/>
          <w:lang w:eastAsia="zh-CN"/>
        </w:rPr>
        <w:t>资溪县生活污水处理厂</w:t>
      </w:r>
      <w:r>
        <w:rPr>
          <w:rFonts w:hint="eastAsia"/>
          <w:color w:val="auto"/>
        </w:rPr>
        <w:t>基本信息见表2.1-1</w:t>
      </w:r>
      <w:r>
        <w:rPr>
          <w:rFonts w:hint="eastAsia"/>
          <w:color w:val="auto"/>
          <w:lang w:eastAsia="zh-CN"/>
        </w:rPr>
        <w:t>，</w:t>
      </w:r>
      <w:r>
        <w:rPr>
          <w:rFonts w:hint="eastAsia" w:ascii="宋体" w:hAnsi="宋体" w:eastAsia="宋体" w:cs="宋体"/>
          <w:color w:val="auto"/>
          <w:kern w:val="0"/>
          <w:sz w:val="24"/>
          <w:szCs w:val="24"/>
          <w:lang w:val="en-US" w:eastAsia="zh-CN" w:bidi="ar"/>
        </w:rPr>
        <w:t xml:space="preserve">主要建设内容见表 </w:t>
      </w:r>
      <w:r>
        <w:rPr>
          <w:rFonts w:hint="eastAsia"/>
          <w:color w:val="auto"/>
        </w:rPr>
        <w:t>2.1-</w:t>
      </w:r>
      <w:r>
        <w:rPr>
          <w:rFonts w:hint="eastAsia"/>
          <w:color w:val="auto"/>
          <w:lang w:val="en-US" w:eastAsia="zh-CN"/>
        </w:rPr>
        <w:t>2，主要设备内容见表</w:t>
      </w:r>
      <w:r>
        <w:rPr>
          <w:rFonts w:hint="eastAsia"/>
          <w:color w:val="auto"/>
        </w:rPr>
        <w:t>2.1-</w:t>
      </w:r>
      <w:r>
        <w:rPr>
          <w:rFonts w:hint="eastAsia"/>
          <w:color w:val="auto"/>
          <w:lang w:val="en-US" w:eastAsia="zh-CN"/>
        </w:rPr>
        <w:t>3</w:t>
      </w:r>
      <w:r>
        <w:rPr>
          <w:rFonts w:hint="eastAsia" w:ascii="宋体" w:hAnsi="宋体" w:eastAsia="宋体" w:cs="宋体"/>
          <w:color w:val="auto"/>
          <w:kern w:val="0"/>
          <w:sz w:val="24"/>
          <w:szCs w:val="24"/>
          <w:lang w:val="en-US" w:eastAsia="zh-CN" w:bidi="ar"/>
        </w:rPr>
        <w:t>。</w:t>
      </w:r>
    </w:p>
    <w:p w14:paraId="6EE52BBF">
      <w:pPr>
        <w:pStyle w:val="32"/>
        <w:spacing w:before="156"/>
        <w:rPr>
          <w:rFonts w:hint="eastAsia"/>
          <w:color w:val="auto"/>
        </w:rPr>
      </w:pPr>
      <w:r>
        <w:rPr>
          <w:rFonts w:hint="eastAsia"/>
          <w:color w:val="auto"/>
        </w:rPr>
        <w:t xml:space="preserve">表2.1-1   </w:t>
      </w:r>
      <w:r>
        <w:rPr>
          <w:rFonts w:hint="eastAsia"/>
          <w:color w:val="auto"/>
          <w:lang w:eastAsia="zh-CN"/>
        </w:rPr>
        <w:t>资溪县生活污水处理厂</w:t>
      </w:r>
      <w:r>
        <w:rPr>
          <w:rFonts w:hint="eastAsia"/>
          <w:color w:val="auto"/>
        </w:rPr>
        <w:t>基本信息一览表</w:t>
      </w:r>
    </w:p>
    <w:tbl>
      <w:tblPr>
        <w:tblStyle w:val="23"/>
        <w:tblW w:w="836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61"/>
        <w:gridCol w:w="1864"/>
        <w:gridCol w:w="5937"/>
      </w:tblGrid>
      <w:tr w14:paraId="12C353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blHeader/>
        </w:trPr>
        <w:tc>
          <w:tcPr>
            <w:tcW w:w="561" w:type="dxa"/>
            <w:tcBorders>
              <w:bottom w:val="double" w:color="auto" w:sz="4" w:space="0"/>
            </w:tcBorders>
            <w:vAlign w:val="center"/>
          </w:tcPr>
          <w:p w14:paraId="6A1D428B">
            <w:pPr>
              <w:pStyle w:val="34"/>
              <w:rPr>
                <w:color w:val="auto"/>
                <w:sz w:val="21"/>
                <w:szCs w:val="21"/>
              </w:rPr>
            </w:pPr>
            <w:bookmarkStart w:id="16" w:name="_Toc476314941"/>
            <w:r>
              <w:rPr>
                <w:rFonts w:hint="eastAsia"/>
                <w:color w:val="auto"/>
                <w:sz w:val="21"/>
                <w:szCs w:val="21"/>
              </w:rPr>
              <w:t>序号</w:t>
            </w:r>
            <w:bookmarkEnd w:id="16"/>
          </w:p>
        </w:tc>
        <w:tc>
          <w:tcPr>
            <w:tcW w:w="1864" w:type="dxa"/>
            <w:tcBorders>
              <w:bottom w:val="double" w:color="auto" w:sz="4" w:space="0"/>
            </w:tcBorders>
            <w:vAlign w:val="center"/>
          </w:tcPr>
          <w:p w14:paraId="34CC1D91">
            <w:pPr>
              <w:pStyle w:val="34"/>
              <w:rPr>
                <w:color w:val="auto"/>
                <w:sz w:val="21"/>
                <w:szCs w:val="21"/>
              </w:rPr>
            </w:pPr>
            <w:bookmarkStart w:id="17" w:name="_Toc476314942"/>
            <w:r>
              <w:rPr>
                <w:rFonts w:hint="eastAsia"/>
                <w:color w:val="auto"/>
                <w:sz w:val="21"/>
                <w:szCs w:val="21"/>
              </w:rPr>
              <w:t>项目</w:t>
            </w:r>
            <w:bookmarkEnd w:id="17"/>
          </w:p>
        </w:tc>
        <w:tc>
          <w:tcPr>
            <w:tcW w:w="5937" w:type="dxa"/>
            <w:tcBorders>
              <w:bottom w:val="double" w:color="auto" w:sz="4" w:space="0"/>
            </w:tcBorders>
            <w:vAlign w:val="center"/>
          </w:tcPr>
          <w:p w14:paraId="4B3D3B0A">
            <w:pPr>
              <w:pStyle w:val="34"/>
              <w:rPr>
                <w:color w:val="auto"/>
                <w:sz w:val="21"/>
                <w:szCs w:val="21"/>
              </w:rPr>
            </w:pPr>
            <w:bookmarkStart w:id="18" w:name="_Toc476314943"/>
            <w:r>
              <w:rPr>
                <w:rFonts w:hint="eastAsia"/>
                <w:color w:val="auto"/>
                <w:sz w:val="21"/>
                <w:szCs w:val="21"/>
              </w:rPr>
              <w:t>内容</w:t>
            </w:r>
            <w:bookmarkEnd w:id="18"/>
          </w:p>
        </w:tc>
      </w:tr>
      <w:tr w14:paraId="25D7D0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61" w:type="dxa"/>
            <w:tcBorders>
              <w:top w:val="double" w:color="auto" w:sz="4" w:space="0"/>
              <w:tl2br w:val="nil"/>
              <w:tr2bl w:val="nil"/>
            </w:tcBorders>
            <w:vAlign w:val="center"/>
          </w:tcPr>
          <w:p w14:paraId="0E486D87">
            <w:pPr>
              <w:pStyle w:val="34"/>
              <w:rPr>
                <w:color w:val="auto"/>
                <w:sz w:val="21"/>
                <w:szCs w:val="21"/>
              </w:rPr>
            </w:pPr>
            <w:r>
              <w:rPr>
                <w:rFonts w:hint="eastAsia"/>
                <w:color w:val="auto"/>
                <w:sz w:val="21"/>
                <w:szCs w:val="21"/>
              </w:rPr>
              <w:t>1</w:t>
            </w:r>
          </w:p>
        </w:tc>
        <w:tc>
          <w:tcPr>
            <w:tcW w:w="1864" w:type="dxa"/>
            <w:tcBorders>
              <w:top w:val="double" w:color="auto" w:sz="4" w:space="0"/>
              <w:tl2br w:val="nil"/>
              <w:tr2bl w:val="nil"/>
            </w:tcBorders>
            <w:vAlign w:val="center"/>
          </w:tcPr>
          <w:p w14:paraId="44FA2DC0">
            <w:pPr>
              <w:pStyle w:val="34"/>
              <w:rPr>
                <w:color w:val="auto"/>
                <w:sz w:val="21"/>
                <w:szCs w:val="21"/>
              </w:rPr>
            </w:pPr>
            <w:r>
              <w:rPr>
                <w:rFonts w:hint="eastAsia"/>
                <w:color w:val="auto"/>
                <w:sz w:val="21"/>
                <w:szCs w:val="21"/>
              </w:rPr>
              <w:t>单位名称</w:t>
            </w:r>
          </w:p>
        </w:tc>
        <w:tc>
          <w:tcPr>
            <w:tcW w:w="5937" w:type="dxa"/>
            <w:tcBorders>
              <w:top w:val="double" w:color="auto" w:sz="4" w:space="0"/>
              <w:tl2br w:val="nil"/>
              <w:tr2bl w:val="nil"/>
            </w:tcBorders>
            <w:vAlign w:val="center"/>
          </w:tcPr>
          <w:p w14:paraId="42019064">
            <w:pPr>
              <w:pStyle w:val="34"/>
              <w:rPr>
                <w:rFonts w:hint="eastAsia" w:eastAsia="宋体"/>
                <w:color w:val="auto"/>
                <w:sz w:val="21"/>
                <w:szCs w:val="21"/>
                <w:lang w:eastAsia="zh-CN"/>
              </w:rPr>
            </w:pPr>
            <w:r>
              <w:rPr>
                <w:rFonts w:hint="eastAsia"/>
                <w:color w:val="auto"/>
                <w:sz w:val="21"/>
                <w:szCs w:val="21"/>
                <w:lang w:eastAsia="zh-CN"/>
              </w:rPr>
              <w:t>江西洪城水业环保有限公司资溪县分公司</w:t>
            </w:r>
          </w:p>
        </w:tc>
      </w:tr>
      <w:tr w14:paraId="39D661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61" w:type="dxa"/>
            <w:tcBorders>
              <w:tl2br w:val="nil"/>
              <w:tr2bl w:val="nil"/>
            </w:tcBorders>
            <w:vAlign w:val="center"/>
          </w:tcPr>
          <w:p w14:paraId="1CC075EE">
            <w:pPr>
              <w:pStyle w:val="34"/>
              <w:rPr>
                <w:color w:val="auto"/>
                <w:sz w:val="21"/>
                <w:szCs w:val="21"/>
              </w:rPr>
            </w:pPr>
            <w:r>
              <w:rPr>
                <w:rFonts w:hint="eastAsia"/>
                <w:color w:val="auto"/>
                <w:sz w:val="21"/>
                <w:szCs w:val="21"/>
              </w:rPr>
              <w:t>2</w:t>
            </w:r>
          </w:p>
        </w:tc>
        <w:tc>
          <w:tcPr>
            <w:tcW w:w="1864" w:type="dxa"/>
            <w:tcBorders>
              <w:tl2br w:val="nil"/>
              <w:tr2bl w:val="nil"/>
            </w:tcBorders>
            <w:vAlign w:val="center"/>
          </w:tcPr>
          <w:p w14:paraId="4DAA12DE">
            <w:pPr>
              <w:pStyle w:val="34"/>
              <w:rPr>
                <w:color w:val="auto"/>
                <w:sz w:val="21"/>
                <w:szCs w:val="21"/>
              </w:rPr>
            </w:pPr>
            <w:r>
              <w:rPr>
                <w:rFonts w:hint="eastAsia"/>
                <w:color w:val="auto"/>
                <w:sz w:val="21"/>
                <w:szCs w:val="21"/>
              </w:rPr>
              <w:t>单位所在地</w:t>
            </w:r>
          </w:p>
        </w:tc>
        <w:tc>
          <w:tcPr>
            <w:tcW w:w="5937" w:type="dxa"/>
            <w:tcBorders>
              <w:tl2br w:val="nil"/>
              <w:tr2bl w:val="nil"/>
            </w:tcBorders>
            <w:vAlign w:val="center"/>
          </w:tcPr>
          <w:p w14:paraId="3FF2606C">
            <w:pPr>
              <w:pStyle w:val="34"/>
              <w:ind w:firstLine="0" w:firstLineChars="0"/>
              <w:rPr>
                <w:color w:val="auto"/>
                <w:sz w:val="21"/>
                <w:szCs w:val="21"/>
              </w:rPr>
            </w:pPr>
            <w:r>
              <w:rPr>
                <w:rFonts w:hint="eastAsia"/>
                <w:color w:val="auto"/>
                <w:sz w:val="21"/>
                <w:szCs w:val="21"/>
                <w:lang w:eastAsia="zh-CN"/>
              </w:rPr>
              <w:t>抚州市资溪县鹤城镇三江路口</w:t>
            </w:r>
          </w:p>
        </w:tc>
      </w:tr>
      <w:tr w14:paraId="77B605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61" w:type="dxa"/>
            <w:tcBorders>
              <w:tl2br w:val="nil"/>
              <w:tr2bl w:val="nil"/>
            </w:tcBorders>
            <w:vAlign w:val="center"/>
          </w:tcPr>
          <w:p w14:paraId="6306BF9B">
            <w:pPr>
              <w:pStyle w:val="34"/>
              <w:rPr>
                <w:color w:val="auto"/>
                <w:sz w:val="21"/>
                <w:szCs w:val="21"/>
              </w:rPr>
            </w:pPr>
            <w:r>
              <w:rPr>
                <w:rFonts w:hint="eastAsia"/>
                <w:color w:val="auto"/>
                <w:sz w:val="21"/>
                <w:szCs w:val="21"/>
              </w:rPr>
              <w:t>3</w:t>
            </w:r>
          </w:p>
        </w:tc>
        <w:tc>
          <w:tcPr>
            <w:tcW w:w="1864" w:type="dxa"/>
            <w:tcBorders>
              <w:tl2br w:val="nil"/>
              <w:tr2bl w:val="nil"/>
            </w:tcBorders>
            <w:vAlign w:val="center"/>
          </w:tcPr>
          <w:p w14:paraId="42E3D3DC">
            <w:pPr>
              <w:pStyle w:val="34"/>
              <w:rPr>
                <w:color w:val="auto"/>
                <w:sz w:val="21"/>
                <w:szCs w:val="21"/>
              </w:rPr>
            </w:pPr>
            <w:r>
              <w:rPr>
                <w:rFonts w:hint="eastAsia"/>
                <w:color w:val="auto"/>
                <w:sz w:val="21"/>
                <w:szCs w:val="21"/>
              </w:rPr>
              <w:t>中心坐标</w:t>
            </w:r>
          </w:p>
        </w:tc>
        <w:tc>
          <w:tcPr>
            <w:tcW w:w="5937" w:type="dxa"/>
            <w:tcBorders>
              <w:tl2br w:val="nil"/>
              <w:tr2bl w:val="nil"/>
            </w:tcBorders>
            <w:vAlign w:val="center"/>
          </w:tcPr>
          <w:p w14:paraId="03155CA0">
            <w:pPr>
              <w:pStyle w:val="34"/>
              <w:ind w:firstLine="0" w:firstLineChars="0"/>
              <w:rPr>
                <w:color w:val="auto"/>
                <w:sz w:val="21"/>
                <w:szCs w:val="21"/>
              </w:rPr>
            </w:pPr>
            <w:r>
              <w:rPr>
                <w:rFonts w:ascii="Times New Roman" w:hAnsi="Times New Roman" w:cs="Times New Roman"/>
                <w:color w:val="auto"/>
                <w:sz w:val="21"/>
                <w:szCs w:val="21"/>
              </w:rPr>
              <w:t>N：27</w:t>
            </w:r>
            <w:r>
              <w:rPr>
                <w:rFonts w:ascii="Times New Roman" w:hAnsi="Times New Roman" w:cs="Times New Roman"/>
                <w:color w:val="auto"/>
                <w:sz w:val="21"/>
                <w:szCs w:val="21"/>
                <w:vertAlign w:val="superscript"/>
              </w:rPr>
              <w:t>。</w:t>
            </w:r>
            <w:r>
              <w:rPr>
                <w:rFonts w:ascii="Times New Roman" w:hAnsi="Times New Roman" w:cs="Times New Roman"/>
                <w:color w:val="auto"/>
                <w:sz w:val="21"/>
                <w:szCs w:val="21"/>
              </w:rPr>
              <w:t>42'48.77''，E：117</w:t>
            </w:r>
            <w:r>
              <w:rPr>
                <w:rFonts w:ascii="Times New Roman" w:hAnsi="Times New Roman" w:cs="Times New Roman"/>
                <w:color w:val="auto"/>
                <w:sz w:val="21"/>
                <w:szCs w:val="21"/>
                <w:vertAlign w:val="superscript"/>
              </w:rPr>
              <w:t>。</w:t>
            </w:r>
            <w:r>
              <w:rPr>
                <w:rFonts w:ascii="Times New Roman" w:hAnsi="Times New Roman" w:cs="Times New Roman"/>
                <w:color w:val="auto"/>
                <w:sz w:val="21"/>
                <w:szCs w:val="21"/>
              </w:rPr>
              <w:t>03'24.88''</w:t>
            </w:r>
          </w:p>
        </w:tc>
      </w:tr>
      <w:tr w14:paraId="414F0D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61" w:type="dxa"/>
            <w:tcBorders>
              <w:tl2br w:val="nil"/>
              <w:tr2bl w:val="nil"/>
            </w:tcBorders>
            <w:vAlign w:val="center"/>
          </w:tcPr>
          <w:p w14:paraId="24038306">
            <w:pPr>
              <w:pStyle w:val="34"/>
              <w:rPr>
                <w:color w:val="auto"/>
                <w:sz w:val="21"/>
                <w:szCs w:val="21"/>
              </w:rPr>
            </w:pPr>
            <w:r>
              <w:rPr>
                <w:rFonts w:hint="eastAsia"/>
                <w:color w:val="auto"/>
                <w:sz w:val="21"/>
                <w:szCs w:val="21"/>
              </w:rPr>
              <w:t>4</w:t>
            </w:r>
          </w:p>
        </w:tc>
        <w:tc>
          <w:tcPr>
            <w:tcW w:w="1864" w:type="dxa"/>
            <w:tcBorders>
              <w:tl2br w:val="nil"/>
              <w:tr2bl w:val="nil"/>
            </w:tcBorders>
            <w:vAlign w:val="center"/>
          </w:tcPr>
          <w:p w14:paraId="3017AE27">
            <w:pPr>
              <w:pStyle w:val="34"/>
              <w:rPr>
                <w:color w:val="auto"/>
                <w:sz w:val="21"/>
                <w:szCs w:val="21"/>
              </w:rPr>
            </w:pPr>
            <w:r>
              <w:rPr>
                <w:rFonts w:hint="eastAsia"/>
                <w:color w:val="auto"/>
                <w:sz w:val="21"/>
                <w:szCs w:val="21"/>
              </w:rPr>
              <w:t>行业类别</w:t>
            </w:r>
          </w:p>
        </w:tc>
        <w:tc>
          <w:tcPr>
            <w:tcW w:w="5937" w:type="dxa"/>
            <w:tcBorders>
              <w:tl2br w:val="nil"/>
              <w:tr2bl w:val="nil"/>
            </w:tcBorders>
            <w:vAlign w:val="center"/>
          </w:tcPr>
          <w:p w14:paraId="58CBD0C5">
            <w:pPr>
              <w:pStyle w:val="34"/>
              <w:ind w:firstLine="0" w:firstLineChars="0"/>
              <w:rPr>
                <w:color w:val="auto"/>
                <w:sz w:val="21"/>
                <w:szCs w:val="21"/>
              </w:rPr>
            </w:pPr>
            <w:r>
              <w:rPr>
                <w:rFonts w:hint="eastAsia"/>
                <w:color w:val="auto"/>
                <w:sz w:val="21"/>
                <w:szCs w:val="21"/>
              </w:rPr>
              <w:t>污水处理及其再生利用</w:t>
            </w:r>
          </w:p>
        </w:tc>
      </w:tr>
      <w:tr w14:paraId="4465CB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61" w:type="dxa"/>
            <w:tcBorders>
              <w:tl2br w:val="nil"/>
              <w:tr2bl w:val="nil"/>
            </w:tcBorders>
            <w:vAlign w:val="center"/>
          </w:tcPr>
          <w:p w14:paraId="340AC156">
            <w:pPr>
              <w:pStyle w:val="34"/>
              <w:rPr>
                <w:color w:val="auto"/>
                <w:sz w:val="21"/>
                <w:szCs w:val="21"/>
              </w:rPr>
            </w:pPr>
            <w:r>
              <w:rPr>
                <w:rFonts w:hint="eastAsia"/>
                <w:color w:val="auto"/>
                <w:sz w:val="21"/>
                <w:szCs w:val="21"/>
              </w:rPr>
              <w:t>5</w:t>
            </w:r>
          </w:p>
        </w:tc>
        <w:tc>
          <w:tcPr>
            <w:tcW w:w="1864" w:type="dxa"/>
            <w:tcBorders>
              <w:tl2br w:val="nil"/>
              <w:tr2bl w:val="nil"/>
            </w:tcBorders>
            <w:vAlign w:val="center"/>
          </w:tcPr>
          <w:p w14:paraId="62760584">
            <w:pPr>
              <w:pStyle w:val="34"/>
              <w:rPr>
                <w:color w:val="auto"/>
                <w:sz w:val="21"/>
                <w:szCs w:val="21"/>
              </w:rPr>
            </w:pPr>
            <w:r>
              <w:rPr>
                <w:rFonts w:hint="eastAsia"/>
                <w:color w:val="auto"/>
                <w:sz w:val="21"/>
                <w:szCs w:val="21"/>
              </w:rPr>
              <w:t>建厂时间</w:t>
            </w:r>
          </w:p>
        </w:tc>
        <w:tc>
          <w:tcPr>
            <w:tcW w:w="5937" w:type="dxa"/>
            <w:tcBorders>
              <w:tl2br w:val="nil"/>
              <w:tr2bl w:val="nil"/>
            </w:tcBorders>
            <w:vAlign w:val="center"/>
          </w:tcPr>
          <w:p w14:paraId="45D60D2C">
            <w:pPr>
              <w:pStyle w:val="34"/>
              <w:ind w:firstLine="0" w:firstLineChars="0"/>
              <w:rPr>
                <w:color w:val="auto"/>
                <w:sz w:val="21"/>
                <w:szCs w:val="21"/>
              </w:rPr>
            </w:pPr>
            <w:r>
              <w:rPr>
                <w:rFonts w:hint="eastAsia"/>
                <w:color w:val="auto"/>
                <w:sz w:val="21"/>
                <w:szCs w:val="21"/>
                <w:lang w:val="en-US" w:eastAsia="zh-CN"/>
              </w:rPr>
              <w:t>2010年</w:t>
            </w:r>
          </w:p>
        </w:tc>
      </w:tr>
      <w:tr w14:paraId="163144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561" w:type="dxa"/>
            <w:tcBorders>
              <w:tl2br w:val="nil"/>
              <w:tr2bl w:val="nil"/>
            </w:tcBorders>
            <w:vAlign w:val="center"/>
          </w:tcPr>
          <w:p w14:paraId="1A51F1E0">
            <w:pPr>
              <w:pStyle w:val="34"/>
              <w:rPr>
                <w:color w:val="auto"/>
                <w:sz w:val="21"/>
                <w:szCs w:val="21"/>
              </w:rPr>
            </w:pPr>
            <w:r>
              <w:rPr>
                <w:rFonts w:hint="eastAsia"/>
                <w:color w:val="auto"/>
                <w:sz w:val="21"/>
                <w:szCs w:val="21"/>
              </w:rPr>
              <w:t>6</w:t>
            </w:r>
          </w:p>
        </w:tc>
        <w:tc>
          <w:tcPr>
            <w:tcW w:w="1864" w:type="dxa"/>
            <w:tcBorders>
              <w:tl2br w:val="nil"/>
              <w:tr2bl w:val="nil"/>
            </w:tcBorders>
            <w:vAlign w:val="center"/>
          </w:tcPr>
          <w:p w14:paraId="2DB91808">
            <w:pPr>
              <w:pStyle w:val="34"/>
              <w:rPr>
                <w:color w:val="auto"/>
                <w:sz w:val="21"/>
                <w:szCs w:val="21"/>
              </w:rPr>
            </w:pPr>
            <w:r>
              <w:rPr>
                <w:rFonts w:hint="eastAsia"/>
                <w:color w:val="auto"/>
                <w:sz w:val="21"/>
                <w:szCs w:val="21"/>
              </w:rPr>
              <w:t>联系方式</w:t>
            </w:r>
          </w:p>
        </w:tc>
        <w:tc>
          <w:tcPr>
            <w:tcW w:w="5937" w:type="dxa"/>
            <w:tcBorders>
              <w:tl2br w:val="nil"/>
              <w:tr2bl w:val="nil"/>
            </w:tcBorders>
            <w:vAlign w:val="center"/>
          </w:tcPr>
          <w:p w14:paraId="6D9B9485">
            <w:pPr>
              <w:pStyle w:val="34"/>
              <w:ind w:firstLine="0" w:firstLineChars="0"/>
              <w:rPr>
                <w:color w:val="auto"/>
                <w:sz w:val="21"/>
                <w:szCs w:val="21"/>
              </w:rPr>
            </w:pPr>
            <w:r>
              <w:rPr>
                <w:rFonts w:hint="eastAsia"/>
                <w:color w:val="auto"/>
                <w:sz w:val="21"/>
                <w:szCs w:val="21"/>
                <w:lang w:val="en-US" w:eastAsia="zh-CN"/>
              </w:rPr>
              <w:t>15216257357</w:t>
            </w:r>
          </w:p>
        </w:tc>
      </w:tr>
      <w:tr w14:paraId="6E18D5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61" w:type="dxa"/>
            <w:tcBorders>
              <w:tl2br w:val="nil"/>
              <w:tr2bl w:val="nil"/>
            </w:tcBorders>
            <w:vAlign w:val="center"/>
          </w:tcPr>
          <w:p w14:paraId="0B5A936D">
            <w:pPr>
              <w:pStyle w:val="34"/>
              <w:rPr>
                <w:color w:val="auto"/>
                <w:sz w:val="21"/>
                <w:szCs w:val="21"/>
              </w:rPr>
            </w:pPr>
            <w:r>
              <w:rPr>
                <w:rFonts w:hint="eastAsia"/>
                <w:color w:val="auto"/>
                <w:sz w:val="21"/>
                <w:szCs w:val="21"/>
              </w:rPr>
              <w:t>7</w:t>
            </w:r>
          </w:p>
        </w:tc>
        <w:tc>
          <w:tcPr>
            <w:tcW w:w="1864" w:type="dxa"/>
            <w:tcBorders>
              <w:tl2br w:val="nil"/>
              <w:tr2bl w:val="nil"/>
            </w:tcBorders>
            <w:vAlign w:val="center"/>
          </w:tcPr>
          <w:p w14:paraId="5955EE25">
            <w:pPr>
              <w:pStyle w:val="34"/>
              <w:rPr>
                <w:color w:val="auto"/>
                <w:sz w:val="21"/>
                <w:szCs w:val="21"/>
              </w:rPr>
            </w:pPr>
            <w:r>
              <w:rPr>
                <w:rFonts w:hint="eastAsia"/>
                <w:color w:val="auto"/>
                <w:sz w:val="21"/>
                <w:szCs w:val="21"/>
                <w:lang w:eastAsia="zh-CN"/>
              </w:rPr>
              <w:t>污水处理</w:t>
            </w:r>
            <w:r>
              <w:rPr>
                <w:rFonts w:hint="eastAsia"/>
                <w:color w:val="auto"/>
                <w:sz w:val="21"/>
                <w:szCs w:val="21"/>
              </w:rPr>
              <w:t>规模</w:t>
            </w:r>
          </w:p>
        </w:tc>
        <w:tc>
          <w:tcPr>
            <w:tcW w:w="5937" w:type="dxa"/>
            <w:tcBorders>
              <w:tl2br w:val="nil"/>
              <w:tr2bl w:val="nil"/>
            </w:tcBorders>
            <w:vAlign w:val="center"/>
          </w:tcPr>
          <w:p w14:paraId="45A4F119">
            <w:pPr>
              <w:pStyle w:val="34"/>
              <w:ind w:firstLine="0" w:firstLineChars="0"/>
              <w:rPr>
                <w:color w:val="auto"/>
                <w:sz w:val="21"/>
                <w:szCs w:val="21"/>
              </w:rPr>
            </w:pPr>
            <w:r>
              <w:rPr>
                <w:rFonts w:hint="eastAsia"/>
                <w:color w:val="auto"/>
                <w:sz w:val="21"/>
                <w:szCs w:val="21"/>
                <w:lang w:val="en-US" w:eastAsia="zh-CN"/>
              </w:rPr>
              <w:t>1.0万吨/日</w:t>
            </w:r>
          </w:p>
        </w:tc>
      </w:tr>
      <w:tr w14:paraId="3867BD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561" w:type="dxa"/>
            <w:tcBorders>
              <w:tl2br w:val="nil"/>
              <w:tr2bl w:val="nil"/>
            </w:tcBorders>
            <w:vAlign w:val="center"/>
          </w:tcPr>
          <w:p w14:paraId="3DC8C5D9">
            <w:pPr>
              <w:pStyle w:val="34"/>
              <w:rPr>
                <w:color w:val="auto"/>
                <w:sz w:val="21"/>
                <w:szCs w:val="21"/>
              </w:rPr>
            </w:pPr>
            <w:r>
              <w:rPr>
                <w:rFonts w:hint="eastAsia"/>
                <w:color w:val="auto"/>
                <w:sz w:val="21"/>
                <w:szCs w:val="21"/>
              </w:rPr>
              <w:t>8</w:t>
            </w:r>
          </w:p>
        </w:tc>
        <w:tc>
          <w:tcPr>
            <w:tcW w:w="1864" w:type="dxa"/>
            <w:tcBorders>
              <w:tl2br w:val="nil"/>
              <w:tr2bl w:val="nil"/>
            </w:tcBorders>
            <w:vAlign w:val="center"/>
          </w:tcPr>
          <w:p w14:paraId="7588C745">
            <w:pPr>
              <w:pStyle w:val="34"/>
              <w:rPr>
                <w:color w:val="auto"/>
                <w:sz w:val="21"/>
                <w:szCs w:val="21"/>
              </w:rPr>
            </w:pPr>
            <w:r>
              <w:rPr>
                <w:rFonts w:hint="eastAsia"/>
                <w:color w:val="auto"/>
                <w:sz w:val="21"/>
                <w:szCs w:val="21"/>
              </w:rPr>
              <w:t>厂区面积</w:t>
            </w:r>
          </w:p>
        </w:tc>
        <w:tc>
          <w:tcPr>
            <w:tcW w:w="5937" w:type="dxa"/>
            <w:tcBorders>
              <w:tl2br w:val="nil"/>
              <w:tr2bl w:val="nil"/>
            </w:tcBorders>
            <w:vAlign w:val="center"/>
          </w:tcPr>
          <w:p w14:paraId="7FC5EDC6">
            <w:pPr>
              <w:pStyle w:val="34"/>
              <w:ind w:firstLine="0" w:firstLineChars="0"/>
              <w:rPr>
                <w:color w:val="auto"/>
                <w:sz w:val="21"/>
                <w:szCs w:val="21"/>
              </w:rPr>
            </w:pPr>
            <w:r>
              <w:rPr>
                <w:rFonts w:hint="eastAsia" w:ascii="TimesNewRomanPSMT" w:hAnsi="TimesNewRomanPSMT" w:eastAsia="TimesNewRomanPSMT"/>
                <w:color w:val="auto"/>
                <w:sz w:val="21"/>
                <w:szCs w:val="21"/>
              </w:rPr>
              <w:t>33333.5</w:t>
            </w:r>
            <w:r>
              <w:rPr>
                <w:rFonts w:hint="eastAsia"/>
                <w:color w:val="auto"/>
                <w:sz w:val="21"/>
                <w:szCs w:val="21"/>
              </w:rPr>
              <w:t>m</w:t>
            </w:r>
            <w:r>
              <w:rPr>
                <w:rFonts w:hint="eastAsia"/>
                <w:color w:val="auto"/>
                <w:sz w:val="21"/>
                <w:szCs w:val="21"/>
                <w:vertAlign w:val="superscript"/>
              </w:rPr>
              <w:t xml:space="preserve"> 2</w:t>
            </w:r>
          </w:p>
        </w:tc>
      </w:tr>
      <w:tr w14:paraId="701842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61" w:type="dxa"/>
            <w:tcBorders>
              <w:tl2br w:val="nil"/>
              <w:tr2bl w:val="nil"/>
            </w:tcBorders>
            <w:vAlign w:val="center"/>
          </w:tcPr>
          <w:p w14:paraId="493082F2">
            <w:pPr>
              <w:pStyle w:val="34"/>
              <w:rPr>
                <w:rFonts w:hint="eastAsia" w:eastAsia="宋体"/>
                <w:color w:val="auto"/>
                <w:sz w:val="21"/>
                <w:szCs w:val="21"/>
                <w:lang w:eastAsia="zh-CN"/>
              </w:rPr>
            </w:pPr>
            <w:r>
              <w:rPr>
                <w:rFonts w:hint="eastAsia"/>
                <w:color w:val="auto"/>
                <w:sz w:val="21"/>
                <w:szCs w:val="21"/>
                <w:lang w:val="en-US" w:eastAsia="zh-CN"/>
              </w:rPr>
              <w:t>9</w:t>
            </w:r>
          </w:p>
        </w:tc>
        <w:tc>
          <w:tcPr>
            <w:tcW w:w="1864" w:type="dxa"/>
            <w:tcBorders>
              <w:tl2br w:val="nil"/>
              <w:tr2bl w:val="nil"/>
            </w:tcBorders>
            <w:vAlign w:val="center"/>
          </w:tcPr>
          <w:p w14:paraId="56E4D651">
            <w:pPr>
              <w:pStyle w:val="34"/>
              <w:rPr>
                <w:color w:val="auto"/>
                <w:sz w:val="21"/>
                <w:szCs w:val="21"/>
              </w:rPr>
            </w:pPr>
            <w:r>
              <w:rPr>
                <w:rFonts w:hint="eastAsia"/>
                <w:color w:val="auto"/>
                <w:sz w:val="21"/>
                <w:szCs w:val="21"/>
              </w:rPr>
              <w:t>隶属公司</w:t>
            </w:r>
          </w:p>
        </w:tc>
        <w:tc>
          <w:tcPr>
            <w:tcW w:w="5937" w:type="dxa"/>
            <w:tcBorders>
              <w:tl2br w:val="nil"/>
              <w:tr2bl w:val="nil"/>
            </w:tcBorders>
            <w:vAlign w:val="center"/>
          </w:tcPr>
          <w:p w14:paraId="206C9898">
            <w:pPr>
              <w:pStyle w:val="34"/>
              <w:ind w:firstLine="0" w:firstLineChars="0"/>
              <w:rPr>
                <w:color w:val="auto"/>
                <w:sz w:val="21"/>
                <w:szCs w:val="21"/>
              </w:rPr>
            </w:pPr>
            <w:r>
              <w:rPr>
                <w:rFonts w:hint="eastAsia"/>
                <w:color w:val="auto"/>
                <w:sz w:val="21"/>
                <w:szCs w:val="21"/>
                <w:lang w:eastAsia="zh-CN"/>
              </w:rPr>
              <w:t>江西洪城水业环保有限公司</w:t>
            </w:r>
          </w:p>
        </w:tc>
      </w:tr>
      <w:tr w14:paraId="0294D8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61" w:type="dxa"/>
            <w:tcBorders>
              <w:tl2br w:val="nil"/>
              <w:tr2bl w:val="nil"/>
            </w:tcBorders>
            <w:vAlign w:val="center"/>
          </w:tcPr>
          <w:p w14:paraId="4275B7B8">
            <w:pPr>
              <w:pStyle w:val="34"/>
              <w:rPr>
                <w:rFonts w:hint="eastAsia" w:eastAsia="宋体"/>
                <w:color w:val="auto"/>
                <w:sz w:val="21"/>
                <w:szCs w:val="21"/>
                <w:lang w:eastAsia="zh-CN"/>
              </w:rPr>
            </w:pPr>
            <w:r>
              <w:rPr>
                <w:rFonts w:hint="eastAsia"/>
                <w:color w:val="auto"/>
                <w:sz w:val="21"/>
                <w:szCs w:val="21"/>
              </w:rPr>
              <w:t>1</w:t>
            </w:r>
            <w:r>
              <w:rPr>
                <w:rFonts w:hint="eastAsia"/>
                <w:color w:val="auto"/>
                <w:sz w:val="21"/>
                <w:szCs w:val="21"/>
                <w:lang w:val="en-US" w:eastAsia="zh-CN"/>
              </w:rPr>
              <w:t>0</w:t>
            </w:r>
          </w:p>
        </w:tc>
        <w:tc>
          <w:tcPr>
            <w:tcW w:w="1864" w:type="dxa"/>
            <w:tcBorders>
              <w:tl2br w:val="nil"/>
              <w:tr2bl w:val="nil"/>
            </w:tcBorders>
            <w:vAlign w:val="center"/>
          </w:tcPr>
          <w:p w14:paraId="5C34883A">
            <w:pPr>
              <w:pStyle w:val="34"/>
              <w:rPr>
                <w:color w:val="auto"/>
                <w:sz w:val="21"/>
                <w:szCs w:val="21"/>
              </w:rPr>
            </w:pPr>
            <w:r>
              <w:rPr>
                <w:rFonts w:hint="eastAsia"/>
                <w:color w:val="auto"/>
                <w:sz w:val="21"/>
                <w:szCs w:val="21"/>
              </w:rPr>
              <w:t>所属集团</w:t>
            </w:r>
          </w:p>
        </w:tc>
        <w:tc>
          <w:tcPr>
            <w:tcW w:w="5937" w:type="dxa"/>
            <w:tcBorders>
              <w:tl2br w:val="nil"/>
              <w:tr2bl w:val="nil"/>
            </w:tcBorders>
            <w:vAlign w:val="center"/>
          </w:tcPr>
          <w:p w14:paraId="7DFC00D8">
            <w:pPr>
              <w:pStyle w:val="34"/>
              <w:ind w:firstLine="0" w:firstLineChars="0"/>
              <w:rPr>
                <w:color w:val="auto"/>
                <w:sz w:val="21"/>
                <w:szCs w:val="21"/>
              </w:rPr>
            </w:pPr>
            <w:r>
              <w:rPr>
                <w:rFonts w:hint="eastAsia"/>
                <w:color w:val="auto"/>
                <w:sz w:val="21"/>
                <w:szCs w:val="21"/>
                <w:lang w:eastAsia="zh-CN"/>
              </w:rPr>
              <w:t>南昌水业集团</w:t>
            </w:r>
          </w:p>
        </w:tc>
      </w:tr>
      <w:tr w14:paraId="7EA916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61" w:type="dxa"/>
            <w:tcBorders>
              <w:tl2br w:val="nil"/>
              <w:tr2bl w:val="nil"/>
            </w:tcBorders>
            <w:vAlign w:val="center"/>
          </w:tcPr>
          <w:p w14:paraId="456B7053">
            <w:pPr>
              <w:pStyle w:val="34"/>
              <w:rPr>
                <w:rFonts w:hint="eastAsia" w:eastAsia="宋体"/>
                <w:color w:val="auto"/>
                <w:sz w:val="21"/>
                <w:szCs w:val="21"/>
                <w:lang w:eastAsia="zh-CN"/>
              </w:rPr>
            </w:pPr>
            <w:r>
              <w:rPr>
                <w:rFonts w:hint="eastAsia"/>
                <w:color w:val="auto"/>
                <w:sz w:val="21"/>
                <w:szCs w:val="21"/>
              </w:rPr>
              <w:t>1</w:t>
            </w:r>
            <w:r>
              <w:rPr>
                <w:rFonts w:hint="eastAsia"/>
                <w:color w:val="auto"/>
                <w:sz w:val="21"/>
                <w:szCs w:val="21"/>
                <w:lang w:val="en-US" w:eastAsia="zh-CN"/>
              </w:rPr>
              <w:t>1</w:t>
            </w:r>
          </w:p>
        </w:tc>
        <w:tc>
          <w:tcPr>
            <w:tcW w:w="1864" w:type="dxa"/>
            <w:tcBorders>
              <w:tl2br w:val="nil"/>
              <w:tr2bl w:val="nil"/>
            </w:tcBorders>
            <w:vAlign w:val="center"/>
          </w:tcPr>
          <w:p w14:paraId="538D27E2">
            <w:pPr>
              <w:pStyle w:val="34"/>
              <w:rPr>
                <w:color w:val="auto"/>
                <w:sz w:val="21"/>
                <w:szCs w:val="21"/>
              </w:rPr>
            </w:pPr>
            <w:r>
              <w:rPr>
                <w:rFonts w:hint="eastAsia"/>
                <w:color w:val="auto"/>
                <w:sz w:val="21"/>
                <w:szCs w:val="21"/>
              </w:rPr>
              <w:t>所在位置及工程内容</w:t>
            </w:r>
          </w:p>
        </w:tc>
        <w:tc>
          <w:tcPr>
            <w:tcW w:w="5937" w:type="dxa"/>
            <w:tcBorders>
              <w:tl2br w:val="nil"/>
              <w:tr2bl w:val="nil"/>
            </w:tcBorders>
            <w:vAlign w:val="center"/>
          </w:tcPr>
          <w:p w14:paraId="74B4A2D4">
            <w:pPr>
              <w:pStyle w:val="34"/>
              <w:ind w:firstLine="0" w:firstLineChars="0"/>
              <w:jc w:val="left"/>
              <w:rPr>
                <w:color w:val="auto"/>
                <w:sz w:val="21"/>
                <w:szCs w:val="21"/>
              </w:rPr>
            </w:pPr>
            <w:r>
              <w:rPr>
                <w:rFonts w:hint="eastAsia"/>
                <w:color w:val="auto"/>
                <w:sz w:val="21"/>
                <w:szCs w:val="21"/>
                <w:lang w:eastAsia="zh-CN"/>
              </w:rPr>
              <w:t>资溪县生活污水处理厂位于抚州市资溪县鹤城镇三江路口，</w:t>
            </w:r>
            <w:r>
              <w:rPr>
                <w:rFonts w:hint="eastAsia"/>
                <w:color w:val="auto"/>
                <w:sz w:val="21"/>
                <w:szCs w:val="21"/>
              </w:rPr>
              <w:t>污水处理规模为</w:t>
            </w:r>
            <w:r>
              <w:rPr>
                <w:rFonts w:hint="eastAsia"/>
                <w:color w:val="auto"/>
                <w:sz w:val="21"/>
                <w:szCs w:val="21"/>
                <w:lang w:val="en-US" w:eastAsia="zh-CN"/>
              </w:rPr>
              <w:t>1.0万m</w:t>
            </w:r>
            <w:r>
              <w:rPr>
                <w:rFonts w:hint="eastAsia"/>
                <w:color w:val="auto"/>
                <w:sz w:val="21"/>
                <w:szCs w:val="21"/>
                <w:vertAlign w:val="superscript"/>
              </w:rPr>
              <w:t>3</w:t>
            </w:r>
            <w:r>
              <w:rPr>
                <w:rFonts w:hint="eastAsia"/>
                <w:color w:val="auto"/>
                <w:sz w:val="21"/>
                <w:szCs w:val="21"/>
              </w:rPr>
              <w:t>/d</w:t>
            </w:r>
            <w:r>
              <w:rPr>
                <w:rFonts w:hint="eastAsia"/>
                <w:color w:val="auto"/>
                <w:sz w:val="21"/>
                <w:szCs w:val="21"/>
                <w:lang w:eastAsia="zh-CN"/>
              </w:rPr>
              <w:t>，</w:t>
            </w:r>
            <w:r>
              <w:rPr>
                <w:rFonts w:hint="default" w:ascii="Times New Roman" w:hAnsi="Times New Roman" w:eastAsia="宋体" w:cs="Times New Roman"/>
                <w:color w:val="auto"/>
                <w:sz w:val="21"/>
                <w:szCs w:val="21"/>
              </w:rPr>
              <w:t>采用</w:t>
            </w:r>
            <w:r>
              <w:rPr>
                <w:rFonts w:hint="eastAsia"/>
                <w:bCs/>
                <w:color w:val="auto"/>
                <w:sz w:val="21"/>
                <w:szCs w:val="21"/>
                <w:lang w:eastAsia="zh-CN"/>
              </w:rPr>
              <w:t>改良式氧化沟</w:t>
            </w:r>
            <w:r>
              <w:rPr>
                <w:rFonts w:ascii="Times New Roman" w:hAnsi="Times New Roman" w:eastAsia="宋体"/>
                <w:bCs/>
                <w:color w:val="auto"/>
                <w:sz w:val="21"/>
                <w:szCs w:val="21"/>
              </w:rPr>
              <w:t>处理工艺</w:t>
            </w:r>
            <w:r>
              <w:rPr>
                <w:rFonts w:hint="eastAsia"/>
                <w:color w:val="auto"/>
                <w:sz w:val="21"/>
                <w:szCs w:val="21"/>
              </w:rPr>
              <w:t>。</w:t>
            </w:r>
          </w:p>
        </w:tc>
      </w:tr>
    </w:tbl>
    <w:p w14:paraId="2255C995">
      <w:pPr>
        <w:pStyle w:val="32"/>
        <w:keepNext w:val="0"/>
        <w:keepLines w:val="0"/>
        <w:pageBreakBefore w:val="0"/>
        <w:widowControl w:val="0"/>
        <w:kinsoku/>
        <w:wordWrap/>
        <w:overflowPunct/>
        <w:topLinePunct w:val="0"/>
        <w:autoSpaceDE/>
        <w:autoSpaceDN/>
        <w:bidi w:val="0"/>
        <w:adjustRightInd w:val="0"/>
        <w:snapToGrid w:val="0"/>
        <w:spacing w:beforeLines="0"/>
        <w:textAlignment w:val="auto"/>
        <w:rPr>
          <w:rFonts w:hint="eastAsia"/>
          <w:color w:val="auto"/>
        </w:rPr>
      </w:pPr>
    </w:p>
    <w:p w14:paraId="6D42786C">
      <w:pPr>
        <w:pStyle w:val="32"/>
        <w:keepNext w:val="0"/>
        <w:keepLines w:val="0"/>
        <w:pageBreakBefore w:val="0"/>
        <w:widowControl w:val="0"/>
        <w:kinsoku/>
        <w:wordWrap/>
        <w:overflowPunct/>
        <w:topLinePunct w:val="0"/>
        <w:autoSpaceDE/>
        <w:autoSpaceDN/>
        <w:bidi w:val="0"/>
        <w:adjustRightInd w:val="0"/>
        <w:snapToGrid w:val="0"/>
        <w:spacing w:beforeLines="0"/>
        <w:textAlignment w:val="auto"/>
        <w:rPr>
          <w:rFonts w:hint="eastAsia"/>
          <w:color w:val="auto"/>
        </w:rPr>
      </w:pPr>
      <w:r>
        <w:rPr>
          <w:rFonts w:hint="eastAsia"/>
          <w:color w:val="auto"/>
        </w:rPr>
        <w:t>表2.1-</w:t>
      </w:r>
      <w:r>
        <w:rPr>
          <w:rFonts w:hint="eastAsia"/>
          <w:color w:val="auto"/>
          <w:lang w:val="en-US" w:eastAsia="zh-CN"/>
        </w:rPr>
        <w:t>2</w:t>
      </w:r>
      <w:r>
        <w:rPr>
          <w:rFonts w:hint="eastAsia"/>
          <w:color w:val="auto"/>
        </w:rPr>
        <w:t xml:space="preserve">   </w:t>
      </w:r>
      <w:r>
        <w:rPr>
          <w:rFonts w:hint="eastAsia"/>
          <w:color w:val="auto"/>
          <w:lang w:eastAsia="zh-CN"/>
        </w:rPr>
        <w:t>资溪县生活污水处理厂主要建设内容</w:t>
      </w:r>
      <w:r>
        <w:rPr>
          <w:rFonts w:hint="eastAsia"/>
          <w:color w:val="auto"/>
        </w:rPr>
        <w:t>一览表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2"/>
        <w:gridCol w:w="1981"/>
        <w:gridCol w:w="2"/>
        <w:gridCol w:w="2338"/>
        <w:gridCol w:w="3174"/>
        <w:gridCol w:w="2"/>
      </w:tblGrid>
      <w:tr w14:paraId="793843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0" w:type="pct"/>
            <w:vMerge w:val="restart"/>
            <w:tcBorders>
              <w:tl2br w:val="nil"/>
              <w:tr2bl w:val="nil"/>
            </w:tcBorders>
            <w:vAlign w:val="center"/>
          </w:tcPr>
          <w:p w14:paraId="338D52B8">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bookmarkStart w:id="19" w:name="_Toc476314963"/>
            <w:bookmarkStart w:id="20" w:name="_Toc32703"/>
            <w:r>
              <w:rPr>
                <w:rFonts w:hint="eastAsia" w:ascii="Times New Roman" w:hAnsi="Times New Roman" w:eastAsia="宋体"/>
                <w:color w:val="auto"/>
                <w:sz w:val="21"/>
                <w:szCs w:val="21"/>
              </w:rPr>
              <w:t>工程类别</w:t>
            </w:r>
          </w:p>
        </w:tc>
        <w:tc>
          <w:tcPr>
            <w:tcW w:w="1163" w:type="pct"/>
            <w:gridSpan w:val="2"/>
            <w:vMerge w:val="restart"/>
            <w:tcBorders>
              <w:tl2br w:val="nil"/>
              <w:tr2bl w:val="nil"/>
            </w:tcBorders>
            <w:vAlign w:val="center"/>
          </w:tcPr>
          <w:p w14:paraId="3316207F">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p>
          <w:p w14:paraId="7DBF7510">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主要内容</w:t>
            </w:r>
          </w:p>
        </w:tc>
        <w:tc>
          <w:tcPr>
            <w:tcW w:w="3235" w:type="pct"/>
            <w:gridSpan w:val="3"/>
            <w:tcBorders>
              <w:tl2br w:val="nil"/>
              <w:tr2bl w:val="nil"/>
            </w:tcBorders>
            <w:vAlign w:val="center"/>
          </w:tcPr>
          <w:p w14:paraId="334CD35F">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环评建设内容</w:t>
            </w:r>
          </w:p>
        </w:tc>
      </w:tr>
      <w:tr w14:paraId="5D0E8C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0" w:type="pct"/>
            <w:vMerge w:val="continue"/>
            <w:tcBorders>
              <w:tl2br w:val="nil"/>
              <w:tr2bl w:val="nil"/>
            </w:tcBorders>
            <w:vAlign w:val="center"/>
          </w:tcPr>
          <w:p w14:paraId="36CB1717">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p>
        </w:tc>
        <w:tc>
          <w:tcPr>
            <w:tcW w:w="1163" w:type="pct"/>
            <w:gridSpan w:val="2"/>
            <w:vMerge w:val="continue"/>
            <w:tcBorders>
              <w:tl2br w:val="nil"/>
              <w:tr2bl w:val="nil"/>
            </w:tcBorders>
            <w:vAlign w:val="center"/>
          </w:tcPr>
          <w:p w14:paraId="715BE6B7">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p>
        </w:tc>
        <w:tc>
          <w:tcPr>
            <w:tcW w:w="1372" w:type="pct"/>
            <w:tcBorders>
              <w:tl2br w:val="nil"/>
              <w:tr2bl w:val="nil"/>
            </w:tcBorders>
            <w:vAlign w:val="center"/>
          </w:tcPr>
          <w:p w14:paraId="769E68BC">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改造前</w:t>
            </w:r>
          </w:p>
        </w:tc>
        <w:tc>
          <w:tcPr>
            <w:tcW w:w="1863" w:type="pct"/>
            <w:gridSpan w:val="2"/>
            <w:tcBorders>
              <w:tl2br w:val="nil"/>
              <w:tr2bl w:val="nil"/>
            </w:tcBorders>
            <w:vAlign w:val="center"/>
          </w:tcPr>
          <w:p w14:paraId="72459B73">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改造后</w:t>
            </w:r>
          </w:p>
        </w:tc>
      </w:tr>
      <w:tr w14:paraId="0CF5E7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0" w:type="pct"/>
            <w:vMerge w:val="restart"/>
            <w:tcBorders>
              <w:tl2br w:val="nil"/>
              <w:tr2bl w:val="nil"/>
            </w:tcBorders>
            <w:vAlign w:val="center"/>
          </w:tcPr>
          <w:p w14:paraId="4044CC9C">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p>
          <w:p w14:paraId="2EB4C433">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p>
          <w:p w14:paraId="307326B0">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p>
          <w:p w14:paraId="33E9BA4C">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p>
          <w:p w14:paraId="6ABAF705">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p>
          <w:p w14:paraId="42351804">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p>
          <w:p w14:paraId="3F0A83BC">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p>
          <w:p w14:paraId="34366205">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p>
          <w:p w14:paraId="0EE1DAD7">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p>
          <w:p w14:paraId="7F100F12">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主</w:t>
            </w:r>
          </w:p>
          <w:p w14:paraId="4BF5F5E2">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体</w:t>
            </w:r>
          </w:p>
          <w:p w14:paraId="6635D66D">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工</w:t>
            </w:r>
          </w:p>
          <w:p w14:paraId="470ED19E">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程</w:t>
            </w:r>
          </w:p>
        </w:tc>
        <w:tc>
          <w:tcPr>
            <w:tcW w:w="1163" w:type="pct"/>
            <w:gridSpan w:val="2"/>
            <w:tcBorders>
              <w:tl2br w:val="nil"/>
              <w:tr2bl w:val="nil"/>
            </w:tcBorders>
            <w:vAlign w:val="center"/>
          </w:tcPr>
          <w:p w14:paraId="7DFE7FA9">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粗格栅及进水泵站</w:t>
            </w:r>
          </w:p>
          <w:p w14:paraId="0970D6A9">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p>
        </w:tc>
        <w:tc>
          <w:tcPr>
            <w:tcW w:w="1372" w:type="pct"/>
            <w:tcBorders>
              <w:tl2br w:val="nil"/>
              <w:tr2bl w:val="nil"/>
            </w:tcBorders>
            <w:vAlign w:val="center"/>
          </w:tcPr>
          <w:p w14:paraId="32E92A10">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按</w:t>
            </w:r>
            <w:r>
              <w:rPr>
                <w:rFonts w:ascii="Times New Roman" w:hAnsi="Times New Roman" w:eastAsia="宋体"/>
                <w:color w:val="auto"/>
                <w:sz w:val="21"/>
                <w:szCs w:val="21"/>
              </w:rPr>
              <w:t>1.0万m</w:t>
            </w:r>
            <w:r>
              <w:rPr>
                <w:rFonts w:ascii="Times New Roman" w:hAnsi="Times New Roman" w:eastAsia="宋体"/>
                <w:color w:val="auto"/>
                <w:sz w:val="21"/>
                <w:szCs w:val="21"/>
                <w:vertAlign w:val="superscript"/>
              </w:rPr>
              <w:t>3</w:t>
            </w:r>
            <w:r>
              <w:rPr>
                <w:rFonts w:ascii="Times New Roman" w:hAnsi="Times New Roman" w:eastAsia="宋体"/>
                <w:color w:val="auto"/>
                <w:sz w:val="21"/>
                <w:szCs w:val="21"/>
              </w:rPr>
              <w:t>/d</w:t>
            </w:r>
            <w:r>
              <w:rPr>
                <w:rFonts w:hint="eastAsia" w:ascii="Times New Roman" w:hAnsi="Times New Roman" w:eastAsia="宋体"/>
                <w:color w:val="auto"/>
                <w:sz w:val="21"/>
                <w:szCs w:val="21"/>
              </w:rPr>
              <w:t>规模建成</w:t>
            </w:r>
          </w:p>
        </w:tc>
        <w:tc>
          <w:tcPr>
            <w:tcW w:w="1863" w:type="pct"/>
            <w:gridSpan w:val="2"/>
            <w:tcBorders>
              <w:tl2br w:val="nil"/>
              <w:tr2bl w:val="nil"/>
            </w:tcBorders>
            <w:vAlign w:val="center"/>
          </w:tcPr>
          <w:p w14:paraId="57D1EE99">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依托现有</w:t>
            </w:r>
            <w:r>
              <w:rPr>
                <w:rFonts w:ascii="Times New Roman" w:hAnsi="Times New Roman" w:eastAsia="宋体"/>
                <w:color w:val="auto"/>
                <w:sz w:val="21"/>
                <w:szCs w:val="21"/>
              </w:rPr>
              <w:t>粗格栅及进水泵站</w:t>
            </w:r>
          </w:p>
          <w:p w14:paraId="18890A6A">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p>
        </w:tc>
      </w:tr>
      <w:tr w14:paraId="36102A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0" w:type="pct"/>
            <w:vMerge w:val="continue"/>
            <w:tcBorders>
              <w:tl2br w:val="nil"/>
              <w:tr2bl w:val="nil"/>
            </w:tcBorders>
            <w:vAlign w:val="center"/>
          </w:tcPr>
          <w:p w14:paraId="7610E9AA">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p>
        </w:tc>
        <w:tc>
          <w:tcPr>
            <w:tcW w:w="1163" w:type="pct"/>
            <w:gridSpan w:val="2"/>
            <w:tcBorders>
              <w:tl2br w:val="nil"/>
              <w:tr2bl w:val="nil"/>
            </w:tcBorders>
            <w:vAlign w:val="center"/>
          </w:tcPr>
          <w:p w14:paraId="41CB8080">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细格栅及沉</w:t>
            </w:r>
          </w:p>
          <w:p w14:paraId="2E7C9EE0">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砂池</w:t>
            </w:r>
          </w:p>
          <w:p w14:paraId="28B9DAFA">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p>
        </w:tc>
        <w:tc>
          <w:tcPr>
            <w:tcW w:w="1372" w:type="pct"/>
            <w:tcBorders>
              <w:tl2br w:val="nil"/>
              <w:tr2bl w:val="nil"/>
            </w:tcBorders>
            <w:vAlign w:val="center"/>
          </w:tcPr>
          <w:p w14:paraId="167883FF">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按</w:t>
            </w:r>
            <w:r>
              <w:rPr>
                <w:rFonts w:ascii="Times New Roman" w:hAnsi="Times New Roman" w:eastAsia="宋体"/>
                <w:color w:val="auto"/>
                <w:sz w:val="21"/>
                <w:szCs w:val="21"/>
              </w:rPr>
              <w:t>1.0万m</w:t>
            </w:r>
            <w:r>
              <w:rPr>
                <w:rFonts w:ascii="Times New Roman" w:hAnsi="Times New Roman" w:eastAsia="宋体"/>
                <w:color w:val="auto"/>
                <w:sz w:val="21"/>
                <w:szCs w:val="21"/>
                <w:vertAlign w:val="superscript"/>
              </w:rPr>
              <w:t>3</w:t>
            </w:r>
            <w:r>
              <w:rPr>
                <w:rFonts w:ascii="Times New Roman" w:hAnsi="Times New Roman" w:eastAsia="宋体"/>
                <w:color w:val="auto"/>
                <w:sz w:val="21"/>
                <w:szCs w:val="21"/>
              </w:rPr>
              <w:t>/d</w:t>
            </w:r>
            <w:r>
              <w:rPr>
                <w:rFonts w:hint="eastAsia" w:ascii="Times New Roman" w:hAnsi="Times New Roman" w:eastAsia="宋体"/>
                <w:color w:val="auto"/>
                <w:sz w:val="21"/>
                <w:szCs w:val="21"/>
              </w:rPr>
              <w:t>规模建成</w:t>
            </w:r>
          </w:p>
        </w:tc>
        <w:tc>
          <w:tcPr>
            <w:tcW w:w="1863" w:type="pct"/>
            <w:gridSpan w:val="2"/>
            <w:tcBorders>
              <w:tl2br w:val="nil"/>
              <w:tr2bl w:val="nil"/>
            </w:tcBorders>
            <w:vAlign w:val="center"/>
          </w:tcPr>
          <w:p w14:paraId="5DB171BD">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依托现有</w:t>
            </w:r>
            <w:r>
              <w:rPr>
                <w:rFonts w:ascii="Times New Roman" w:hAnsi="Times New Roman" w:eastAsia="宋体"/>
                <w:color w:val="auto"/>
                <w:sz w:val="21"/>
                <w:szCs w:val="21"/>
              </w:rPr>
              <w:t>细格栅及沉砂池</w:t>
            </w:r>
          </w:p>
        </w:tc>
      </w:tr>
      <w:tr w14:paraId="606F73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0" w:type="pct"/>
            <w:vMerge w:val="continue"/>
            <w:tcBorders>
              <w:tl2br w:val="nil"/>
              <w:tr2bl w:val="nil"/>
            </w:tcBorders>
            <w:vAlign w:val="center"/>
          </w:tcPr>
          <w:p w14:paraId="7C880BD0">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p>
        </w:tc>
        <w:tc>
          <w:tcPr>
            <w:tcW w:w="1163" w:type="pct"/>
            <w:gridSpan w:val="2"/>
            <w:tcBorders>
              <w:tl2br w:val="nil"/>
              <w:tr2bl w:val="nil"/>
            </w:tcBorders>
            <w:vAlign w:val="center"/>
          </w:tcPr>
          <w:p w14:paraId="29ACDE73">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改良式氧化</w:t>
            </w:r>
            <w:r>
              <w:rPr>
                <w:rFonts w:hint="eastAsia" w:ascii="Times New Roman" w:hAnsi="Times New Roman" w:eastAsia="宋体"/>
                <w:color w:val="auto"/>
                <w:sz w:val="21"/>
                <w:szCs w:val="21"/>
              </w:rPr>
              <w:t>沟</w:t>
            </w:r>
          </w:p>
        </w:tc>
        <w:tc>
          <w:tcPr>
            <w:tcW w:w="1372" w:type="pct"/>
            <w:tcBorders>
              <w:tl2br w:val="nil"/>
              <w:tr2bl w:val="nil"/>
            </w:tcBorders>
            <w:vAlign w:val="center"/>
          </w:tcPr>
          <w:p w14:paraId="0823E334">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按0.5</w:t>
            </w:r>
            <w:r>
              <w:rPr>
                <w:rFonts w:ascii="Times New Roman" w:hAnsi="Times New Roman" w:eastAsia="宋体"/>
                <w:color w:val="auto"/>
                <w:sz w:val="21"/>
                <w:szCs w:val="21"/>
              </w:rPr>
              <w:t>万m</w:t>
            </w:r>
            <w:r>
              <w:rPr>
                <w:rFonts w:ascii="Times New Roman" w:hAnsi="Times New Roman" w:eastAsia="宋体"/>
                <w:color w:val="auto"/>
                <w:sz w:val="21"/>
                <w:szCs w:val="21"/>
                <w:vertAlign w:val="superscript"/>
              </w:rPr>
              <w:t>3</w:t>
            </w:r>
            <w:r>
              <w:rPr>
                <w:rFonts w:ascii="Times New Roman" w:hAnsi="Times New Roman" w:eastAsia="宋体"/>
                <w:color w:val="auto"/>
                <w:sz w:val="21"/>
                <w:szCs w:val="21"/>
              </w:rPr>
              <w:t>/d</w:t>
            </w:r>
            <w:r>
              <w:rPr>
                <w:rFonts w:hint="eastAsia" w:ascii="Times New Roman" w:hAnsi="Times New Roman" w:eastAsia="宋体"/>
                <w:color w:val="auto"/>
                <w:sz w:val="21"/>
                <w:szCs w:val="21"/>
              </w:rPr>
              <w:t>规模建成</w:t>
            </w:r>
          </w:p>
        </w:tc>
        <w:tc>
          <w:tcPr>
            <w:tcW w:w="1863" w:type="pct"/>
            <w:gridSpan w:val="2"/>
            <w:tcBorders>
              <w:tl2br w:val="nil"/>
              <w:tr2bl w:val="nil"/>
            </w:tcBorders>
            <w:vAlign w:val="center"/>
          </w:tcPr>
          <w:p w14:paraId="4C27D249">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新增1座0.5</w:t>
            </w:r>
            <w:r>
              <w:rPr>
                <w:rFonts w:ascii="Times New Roman" w:hAnsi="Times New Roman" w:eastAsia="宋体"/>
                <w:color w:val="auto"/>
                <w:sz w:val="21"/>
                <w:szCs w:val="21"/>
              </w:rPr>
              <w:t>万m</w:t>
            </w:r>
            <w:r>
              <w:rPr>
                <w:rFonts w:ascii="Times New Roman" w:hAnsi="Times New Roman" w:eastAsia="宋体"/>
                <w:color w:val="auto"/>
                <w:sz w:val="21"/>
                <w:szCs w:val="21"/>
                <w:vertAlign w:val="superscript"/>
              </w:rPr>
              <w:t>3</w:t>
            </w:r>
            <w:r>
              <w:rPr>
                <w:rFonts w:ascii="Times New Roman" w:hAnsi="Times New Roman" w:eastAsia="宋体"/>
                <w:color w:val="auto"/>
                <w:sz w:val="21"/>
                <w:szCs w:val="21"/>
              </w:rPr>
              <w:t>/d改良式氧化</w:t>
            </w:r>
            <w:r>
              <w:rPr>
                <w:rFonts w:hint="eastAsia" w:ascii="Times New Roman" w:hAnsi="Times New Roman" w:eastAsia="宋体"/>
                <w:color w:val="auto"/>
                <w:sz w:val="21"/>
                <w:szCs w:val="21"/>
              </w:rPr>
              <w:t>沟，平面尺寸：</w:t>
            </w:r>
            <w:r>
              <w:rPr>
                <w:rFonts w:ascii="Times New Roman" w:hAnsi="Times New Roman" w:eastAsia="宋体"/>
                <w:color w:val="auto"/>
                <w:sz w:val="21"/>
                <w:szCs w:val="21"/>
              </w:rPr>
              <w:t>72×13.1×4.5m</w:t>
            </w:r>
          </w:p>
        </w:tc>
      </w:tr>
      <w:tr w14:paraId="18E29F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0" w:type="pct"/>
            <w:vMerge w:val="continue"/>
            <w:tcBorders>
              <w:tl2br w:val="nil"/>
              <w:tr2bl w:val="nil"/>
            </w:tcBorders>
            <w:vAlign w:val="center"/>
          </w:tcPr>
          <w:p w14:paraId="60BB3242">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p>
        </w:tc>
        <w:tc>
          <w:tcPr>
            <w:tcW w:w="1163" w:type="pct"/>
            <w:gridSpan w:val="2"/>
            <w:tcBorders>
              <w:tl2br w:val="nil"/>
              <w:tr2bl w:val="nil"/>
            </w:tcBorders>
            <w:vAlign w:val="center"/>
          </w:tcPr>
          <w:p w14:paraId="7F99C280">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二沉池</w:t>
            </w:r>
          </w:p>
        </w:tc>
        <w:tc>
          <w:tcPr>
            <w:tcW w:w="1372" w:type="pct"/>
            <w:tcBorders>
              <w:tl2br w:val="nil"/>
              <w:tr2bl w:val="nil"/>
            </w:tcBorders>
            <w:vAlign w:val="center"/>
          </w:tcPr>
          <w:p w14:paraId="1B38933A">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按0.5</w:t>
            </w:r>
            <w:r>
              <w:rPr>
                <w:rFonts w:ascii="Times New Roman" w:hAnsi="Times New Roman" w:eastAsia="宋体"/>
                <w:color w:val="auto"/>
                <w:sz w:val="21"/>
                <w:szCs w:val="21"/>
              </w:rPr>
              <w:t>万m</w:t>
            </w:r>
            <w:r>
              <w:rPr>
                <w:rFonts w:ascii="Times New Roman" w:hAnsi="Times New Roman" w:eastAsia="宋体"/>
                <w:color w:val="auto"/>
                <w:sz w:val="21"/>
                <w:szCs w:val="21"/>
                <w:vertAlign w:val="superscript"/>
              </w:rPr>
              <w:t>3</w:t>
            </w:r>
            <w:r>
              <w:rPr>
                <w:rFonts w:ascii="Times New Roman" w:hAnsi="Times New Roman" w:eastAsia="宋体"/>
                <w:color w:val="auto"/>
                <w:sz w:val="21"/>
                <w:szCs w:val="21"/>
              </w:rPr>
              <w:t>/d</w:t>
            </w:r>
            <w:r>
              <w:rPr>
                <w:rFonts w:hint="eastAsia" w:ascii="Times New Roman" w:hAnsi="Times New Roman" w:eastAsia="宋体"/>
                <w:color w:val="auto"/>
                <w:sz w:val="21"/>
                <w:szCs w:val="21"/>
              </w:rPr>
              <w:t>规模建成</w:t>
            </w:r>
          </w:p>
        </w:tc>
        <w:tc>
          <w:tcPr>
            <w:tcW w:w="1863" w:type="pct"/>
            <w:gridSpan w:val="2"/>
            <w:tcBorders>
              <w:tl2br w:val="nil"/>
              <w:tr2bl w:val="nil"/>
            </w:tcBorders>
            <w:vAlign w:val="center"/>
          </w:tcPr>
          <w:p w14:paraId="4EBA4B01">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新增1座0.5</w:t>
            </w:r>
            <w:r>
              <w:rPr>
                <w:rFonts w:ascii="Times New Roman" w:hAnsi="Times New Roman" w:eastAsia="宋体"/>
                <w:color w:val="auto"/>
                <w:sz w:val="21"/>
                <w:szCs w:val="21"/>
              </w:rPr>
              <w:t>万m</w:t>
            </w:r>
            <w:r>
              <w:rPr>
                <w:rFonts w:ascii="Times New Roman" w:hAnsi="Times New Roman" w:eastAsia="宋体"/>
                <w:color w:val="auto"/>
                <w:sz w:val="21"/>
                <w:szCs w:val="21"/>
                <w:vertAlign w:val="superscript"/>
              </w:rPr>
              <w:t>3</w:t>
            </w:r>
            <w:r>
              <w:rPr>
                <w:rFonts w:ascii="Times New Roman" w:hAnsi="Times New Roman" w:eastAsia="宋体"/>
                <w:color w:val="auto"/>
                <w:sz w:val="21"/>
                <w:szCs w:val="21"/>
              </w:rPr>
              <w:t>/d</w:t>
            </w:r>
            <w:r>
              <w:rPr>
                <w:rFonts w:hint="eastAsia" w:ascii="Times New Roman" w:hAnsi="Times New Roman" w:eastAsia="宋体"/>
                <w:color w:val="auto"/>
                <w:sz w:val="21"/>
                <w:szCs w:val="21"/>
              </w:rPr>
              <w:t>二沉池，平面尺寸：</w:t>
            </w:r>
            <w:r>
              <w:rPr>
                <w:rFonts w:ascii="Times New Roman" w:hAnsi="Times New Roman" w:eastAsia="宋体"/>
                <w:color w:val="auto"/>
                <w:sz w:val="21"/>
                <w:szCs w:val="21"/>
              </w:rPr>
              <w:t>Ф24m</w:t>
            </w:r>
          </w:p>
        </w:tc>
      </w:tr>
      <w:tr w14:paraId="2178BC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0" w:type="pct"/>
            <w:vMerge w:val="continue"/>
            <w:tcBorders>
              <w:tl2br w:val="nil"/>
              <w:tr2bl w:val="nil"/>
            </w:tcBorders>
            <w:vAlign w:val="center"/>
          </w:tcPr>
          <w:p w14:paraId="727FBDFE">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p>
        </w:tc>
        <w:tc>
          <w:tcPr>
            <w:tcW w:w="1163" w:type="pct"/>
            <w:gridSpan w:val="2"/>
            <w:tcBorders>
              <w:tl2br w:val="nil"/>
              <w:tr2bl w:val="nil"/>
            </w:tcBorders>
            <w:vAlign w:val="center"/>
          </w:tcPr>
          <w:p w14:paraId="6871F945">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配水井及污泥泵房</w:t>
            </w:r>
          </w:p>
        </w:tc>
        <w:tc>
          <w:tcPr>
            <w:tcW w:w="1372" w:type="pct"/>
            <w:tcBorders>
              <w:tl2br w:val="nil"/>
              <w:tr2bl w:val="nil"/>
            </w:tcBorders>
            <w:vAlign w:val="center"/>
          </w:tcPr>
          <w:p w14:paraId="2485B52A">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按</w:t>
            </w:r>
            <w:r>
              <w:rPr>
                <w:rFonts w:ascii="Times New Roman" w:hAnsi="Times New Roman" w:eastAsia="宋体"/>
                <w:color w:val="auto"/>
                <w:sz w:val="21"/>
                <w:szCs w:val="21"/>
              </w:rPr>
              <w:t>1.0万m</w:t>
            </w:r>
            <w:r>
              <w:rPr>
                <w:rFonts w:ascii="Times New Roman" w:hAnsi="Times New Roman" w:eastAsia="宋体"/>
                <w:color w:val="auto"/>
                <w:sz w:val="21"/>
                <w:szCs w:val="21"/>
                <w:vertAlign w:val="superscript"/>
              </w:rPr>
              <w:t>3</w:t>
            </w:r>
            <w:r>
              <w:rPr>
                <w:rFonts w:ascii="Times New Roman" w:hAnsi="Times New Roman" w:eastAsia="宋体"/>
                <w:color w:val="auto"/>
                <w:sz w:val="21"/>
                <w:szCs w:val="21"/>
              </w:rPr>
              <w:t>/d</w:t>
            </w:r>
            <w:r>
              <w:rPr>
                <w:rFonts w:hint="eastAsia" w:ascii="Times New Roman" w:hAnsi="Times New Roman" w:eastAsia="宋体"/>
                <w:color w:val="auto"/>
                <w:sz w:val="21"/>
                <w:szCs w:val="21"/>
              </w:rPr>
              <w:t>规模建成</w:t>
            </w:r>
          </w:p>
        </w:tc>
        <w:tc>
          <w:tcPr>
            <w:tcW w:w="1863" w:type="pct"/>
            <w:gridSpan w:val="2"/>
            <w:tcBorders>
              <w:tl2br w:val="nil"/>
              <w:tr2bl w:val="nil"/>
            </w:tcBorders>
            <w:vAlign w:val="center"/>
          </w:tcPr>
          <w:p w14:paraId="2B4BBC0B">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依托现有配水井及污泥泵房</w:t>
            </w:r>
          </w:p>
        </w:tc>
      </w:tr>
      <w:tr w14:paraId="2D44EA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0" w:type="pct"/>
            <w:vMerge w:val="continue"/>
            <w:tcBorders>
              <w:tl2br w:val="nil"/>
              <w:tr2bl w:val="nil"/>
            </w:tcBorders>
            <w:vAlign w:val="center"/>
          </w:tcPr>
          <w:p w14:paraId="26FCB87E">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p>
        </w:tc>
        <w:tc>
          <w:tcPr>
            <w:tcW w:w="1163" w:type="pct"/>
            <w:gridSpan w:val="2"/>
            <w:tcBorders>
              <w:tl2br w:val="nil"/>
              <w:tr2bl w:val="nil"/>
            </w:tcBorders>
            <w:vAlign w:val="center"/>
          </w:tcPr>
          <w:p w14:paraId="6941C050">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污水中途提升泵站</w:t>
            </w:r>
          </w:p>
        </w:tc>
        <w:tc>
          <w:tcPr>
            <w:tcW w:w="1372" w:type="pct"/>
            <w:tcBorders>
              <w:tl2br w:val="nil"/>
              <w:tr2bl w:val="nil"/>
            </w:tcBorders>
            <w:vAlign w:val="center"/>
          </w:tcPr>
          <w:p w14:paraId="44F095DB">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未建</w:t>
            </w:r>
          </w:p>
        </w:tc>
        <w:tc>
          <w:tcPr>
            <w:tcW w:w="1863" w:type="pct"/>
            <w:gridSpan w:val="2"/>
            <w:tcBorders>
              <w:tl2br w:val="nil"/>
              <w:tr2bl w:val="nil"/>
            </w:tcBorders>
            <w:vAlign w:val="center"/>
          </w:tcPr>
          <w:p w14:paraId="11B82CAE">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新增 1 座中途提升泵房，</w:t>
            </w:r>
            <w:r>
              <w:rPr>
                <w:rFonts w:hint="eastAsia" w:ascii="Times New Roman" w:hAnsi="Times New Roman" w:eastAsia="宋体"/>
                <w:color w:val="auto"/>
                <w:sz w:val="21"/>
                <w:szCs w:val="21"/>
              </w:rPr>
              <w:t>平面尺寸：</w:t>
            </w:r>
            <w:r>
              <w:rPr>
                <w:rFonts w:ascii="Times New Roman" w:hAnsi="Times New Roman" w:eastAsia="宋体"/>
                <w:color w:val="auto"/>
                <w:sz w:val="21"/>
                <w:szCs w:val="21"/>
              </w:rPr>
              <w:t>9.0×8.1m</w:t>
            </w:r>
          </w:p>
        </w:tc>
      </w:tr>
      <w:tr w14:paraId="493A35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0" w:type="pct"/>
            <w:vMerge w:val="continue"/>
            <w:tcBorders>
              <w:tl2br w:val="nil"/>
              <w:tr2bl w:val="nil"/>
            </w:tcBorders>
            <w:vAlign w:val="center"/>
          </w:tcPr>
          <w:p w14:paraId="35D60C0F">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p>
        </w:tc>
        <w:tc>
          <w:tcPr>
            <w:tcW w:w="1163" w:type="pct"/>
            <w:gridSpan w:val="2"/>
            <w:tcBorders>
              <w:tl2br w:val="nil"/>
              <w:tr2bl w:val="nil"/>
            </w:tcBorders>
            <w:vAlign w:val="center"/>
          </w:tcPr>
          <w:p w14:paraId="55BA5117">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宋体"/>
                <w:color w:val="auto"/>
                <w:sz w:val="21"/>
                <w:szCs w:val="21"/>
              </w:rPr>
            </w:pPr>
          </w:p>
          <w:p w14:paraId="17189A46">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高效沉淀池</w:t>
            </w:r>
          </w:p>
          <w:p w14:paraId="23A34E4A">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p>
        </w:tc>
        <w:tc>
          <w:tcPr>
            <w:tcW w:w="1372" w:type="pct"/>
            <w:tcBorders>
              <w:tl2br w:val="nil"/>
              <w:tr2bl w:val="nil"/>
            </w:tcBorders>
            <w:vAlign w:val="center"/>
          </w:tcPr>
          <w:p w14:paraId="035BC555">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p>
          <w:p w14:paraId="238339FD">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未建</w:t>
            </w:r>
          </w:p>
        </w:tc>
        <w:tc>
          <w:tcPr>
            <w:tcW w:w="1863" w:type="pct"/>
            <w:gridSpan w:val="2"/>
            <w:tcBorders>
              <w:tl2br w:val="nil"/>
              <w:tr2bl w:val="nil"/>
            </w:tcBorders>
            <w:vAlign w:val="center"/>
          </w:tcPr>
          <w:p w14:paraId="5F6796BE">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新增 1 座1.0万m</w:t>
            </w:r>
            <w:r>
              <w:rPr>
                <w:rFonts w:ascii="Times New Roman" w:hAnsi="Times New Roman" w:eastAsia="宋体"/>
                <w:color w:val="auto"/>
                <w:sz w:val="21"/>
                <w:szCs w:val="21"/>
                <w:vertAlign w:val="superscript"/>
              </w:rPr>
              <w:t>3</w:t>
            </w:r>
            <w:r>
              <w:rPr>
                <w:rFonts w:ascii="Times New Roman" w:hAnsi="Times New Roman" w:eastAsia="宋体"/>
                <w:color w:val="auto"/>
                <w:sz w:val="21"/>
                <w:szCs w:val="21"/>
              </w:rPr>
              <w:t>/d高效沉淀池，</w:t>
            </w:r>
            <w:r>
              <w:rPr>
                <w:rFonts w:hint="eastAsia" w:ascii="Times New Roman" w:hAnsi="Times New Roman" w:eastAsia="宋体"/>
                <w:color w:val="auto"/>
                <w:sz w:val="21"/>
                <w:szCs w:val="21"/>
              </w:rPr>
              <w:t>平面尺寸：</w:t>
            </w:r>
            <w:r>
              <w:rPr>
                <w:rFonts w:ascii="Times New Roman" w:hAnsi="Times New Roman" w:eastAsia="宋体"/>
                <w:color w:val="auto"/>
                <w:sz w:val="21"/>
                <w:szCs w:val="21"/>
              </w:rPr>
              <w:t>18.4×11.7m</w:t>
            </w:r>
          </w:p>
        </w:tc>
      </w:tr>
      <w:tr w14:paraId="6D0AC5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0" w:type="pct"/>
            <w:vMerge w:val="continue"/>
            <w:tcBorders>
              <w:tl2br w:val="nil"/>
              <w:tr2bl w:val="nil"/>
            </w:tcBorders>
            <w:vAlign w:val="center"/>
          </w:tcPr>
          <w:p w14:paraId="3F2A5598">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p>
        </w:tc>
        <w:tc>
          <w:tcPr>
            <w:tcW w:w="1163" w:type="pct"/>
            <w:gridSpan w:val="2"/>
            <w:tcBorders>
              <w:tl2br w:val="nil"/>
              <w:tr2bl w:val="nil"/>
            </w:tcBorders>
            <w:vAlign w:val="center"/>
          </w:tcPr>
          <w:p w14:paraId="03322F98">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连续砂滤池</w:t>
            </w:r>
          </w:p>
        </w:tc>
        <w:tc>
          <w:tcPr>
            <w:tcW w:w="1372" w:type="pct"/>
            <w:tcBorders>
              <w:tl2br w:val="nil"/>
              <w:tr2bl w:val="nil"/>
            </w:tcBorders>
            <w:vAlign w:val="center"/>
          </w:tcPr>
          <w:p w14:paraId="79814D5E">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未建</w:t>
            </w:r>
          </w:p>
        </w:tc>
        <w:tc>
          <w:tcPr>
            <w:tcW w:w="1863" w:type="pct"/>
            <w:gridSpan w:val="2"/>
            <w:tcBorders>
              <w:tl2br w:val="nil"/>
              <w:tr2bl w:val="nil"/>
            </w:tcBorders>
            <w:vAlign w:val="center"/>
          </w:tcPr>
          <w:p w14:paraId="4FB42BB7">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新增 1 座1.0万m</w:t>
            </w:r>
            <w:r>
              <w:rPr>
                <w:rFonts w:ascii="Times New Roman" w:hAnsi="Times New Roman" w:eastAsia="宋体"/>
                <w:color w:val="auto"/>
                <w:sz w:val="21"/>
                <w:szCs w:val="21"/>
                <w:vertAlign w:val="superscript"/>
              </w:rPr>
              <w:t>3</w:t>
            </w:r>
            <w:r>
              <w:rPr>
                <w:rFonts w:ascii="Times New Roman" w:hAnsi="Times New Roman" w:eastAsia="宋体"/>
                <w:color w:val="auto"/>
                <w:sz w:val="21"/>
                <w:szCs w:val="21"/>
              </w:rPr>
              <w:t>/d</w:t>
            </w:r>
            <w:r>
              <w:rPr>
                <w:rFonts w:hint="eastAsia" w:ascii="Times New Roman" w:hAnsi="Times New Roman" w:eastAsia="宋体"/>
                <w:color w:val="auto"/>
                <w:sz w:val="21"/>
                <w:szCs w:val="21"/>
              </w:rPr>
              <w:t>连续砂滤池</w:t>
            </w:r>
            <w:r>
              <w:rPr>
                <w:rFonts w:ascii="Times New Roman" w:hAnsi="Times New Roman" w:eastAsia="宋体"/>
                <w:color w:val="auto"/>
                <w:sz w:val="21"/>
                <w:szCs w:val="21"/>
              </w:rPr>
              <w:t>，</w:t>
            </w:r>
            <w:r>
              <w:rPr>
                <w:rFonts w:hint="eastAsia" w:ascii="Times New Roman" w:hAnsi="Times New Roman" w:eastAsia="宋体"/>
                <w:color w:val="auto"/>
                <w:sz w:val="21"/>
                <w:szCs w:val="21"/>
              </w:rPr>
              <w:t>平面尺寸：</w:t>
            </w:r>
            <w:r>
              <w:rPr>
                <w:rFonts w:ascii="Times New Roman" w:hAnsi="Times New Roman" w:eastAsia="宋体"/>
                <w:color w:val="auto"/>
                <w:sz w:val="21"/>
                <w:szCs w:val="21"/>
              </w:rPr>
              <w:t>11.2×11m</w:t>
            </w:r>
          </w:p>
        </w:tc>
      </w:tr>
      <w:tr w14:paraId="5F0018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0" w:type="pct"/>
            <w:vMerge w:val="continue"/>
            <w:tcBorders>
              <w:tl2br w:val="nil"/>
              <w:tr2bl w:val="nil"/>
            </w:tcBorders>
            <w:vAlign w:val="center"/>
          </w:tcPr>
          <w:p w14:paraId="758C82E4">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p>
        </w:tc>
        <w:tc>
          <w:tcPr>
            <w:tcW w:w="1163" w:type="pct"/>
            <w:gridSpan w:val="2"/>
            <w:tcBorders>
              <w:tl2br w:val="nil"/>
              <w:tr2bl w:val="nil"/>
            </w:tcBorders>
            <w:vAlign w:val="center"/>
          </w:tcPr>
          <w:p w14:paraId="2C8A9F6E">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消毒池</w:t>
            </w:r>
          </w:p>
        </w:tc>
        <w:tc>
          <w:tcPr>
            <w:tcW w:w="1372" w:type="pct"/>
            <w:tcBorders>
              <w:tl2br w:val="nil"/>
              <w:tr2bl w:val="nil"/>
            </w:tcBorders>
            <w:vAlign w:val="center"/>
          </w:tcPr>
          <w:p w14:paraId="077609E7">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按0.5</w:t>
            </w:r>
            <w:r>
              <w:rPr>
                <w:rFonts w:ascii="Times New Roman" w:hAnsi="Times New Roman" w:eastAsia="宋体"/>
                <w:color w:val="auto"/>
                <w:sz w:val="21"/>
                <w:szCs w:val="21"/>
              </w:rPr>
              <w:t>万m</w:t>
            </w:r>
            <w:r>
              <w:rPr>
                <w:rFonts w:ascii="Times New Roman" w:hAnsi="Times New Roman" w:eastAsia="宋体"/>
                <w:color w:val="auto"/>
                <w:sz w:val="21"/>
                <w:szCs w:val="21"/>
                <w:vertAlign w:val="superscript"/>
              </w:rPr>
              <w:t>3</w:t>
            </w:r>
            <w:r>
              <w:rPr>
                <w:rFonts w:ascii="Times New Roman" w:hAnsi="Times New Roman" w:eastAsia="宋体"/>
                <w:color w:val="auto"/>
                <w:sz w:val="21"/>
                <w:szCs w:val="21"/>
              </w:rPr>
              <w:t>/d</w:t>
            </w:r>
            <w:r>
              <w:rPr>
                <w:rFonts w:hint="eastAsia" w:ascii="Times New Roman" w:hAnsi="Times New Roman" w:eastAsia="宋体"/>
                <w:color w:val="auto"/>
                <w:sz w:val="21"/>
                <w:szCs w:val="21"/>
              </w:rPr>
              <w:t>规模建成1座紫外消毒池</w:t>
            </w:r>
          </w:p>
        </w:tc>
        <w:tc>
          <w:tcPr>
            <w:tcW w:w="1863" w:type="pct"/>
            <w:gridSpan w:val="2"/>
            <w:tcBorders>
              <w:tl2br w:val="nil"/>
              <w:tr2bl w:val="nil"/>
            </w:tcBorders>
            <w:vAlign w:val="center"/>
          </w:tcPr>
          <w:p w14:paraId="34C1376F">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改造原有紫外消毒为次氯酸钠消毒，新增 1 座</w:t>
            </w:r>
          </w:p>
          <w:p w14:paraId="5F8406B7">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0.5 万 m³/d 接触消毒池</w:t>
            </w:r>
            <w:r>
              <w:rPr>
                <w:rFonts w:hint="eastAsia" w:ascii="Times New Roman" w:hAnsi="Times New Roman" w:eastAsia="宋体"/>
                <w:color w:val="auto"/>
                <w:sz w:val="21"/>
                <w:szCs w:val="21"/>
              </w:rPr>
              <w:t>，平面尺寸：</w:t>
            </w:r>
            <w:r>
              <w:rPr>
                <w:rFonts w:ascii="Times New Roman" w:hAnsi="Times New Roman" w:eastAsia="宋体"/>
                <w:color w:val="auto"/>
                <w:sz w:val="21"/>
                <w:szCs w:val="21"/>
              </w:rPr>
              <w:t>17.5×11.2×1.0m</w:t>
            </w:r>
          </w:p>
        </w:tc>
      </w:tr>
      <w:tr w14:paraId="4737C3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0" w:type="pct"/>
            <w:vMerge w:val="continue"/>
            <w:tcBorders>
              <w:tl2br w:val="nil"/>
              <w:tr2bl w:val="nil"/>
            </w:tcBorders>
            <w:vAlign w:val="center"/>
          </w:tcPr>
          <w:p w14:paraId="59DE9E95">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p>
        </w:tc>
        <w:tc>
          <w:tcPr>
            <w:tcW w:w="1163" w:type="pct"/>
            <w:gridSpan w:val="2"/>
            <w:tcBorders>
              <w:tl2br w:val="nil"/>
              <w:tr2bl w:val="nil"/>
            </w:tcBorders>
            <w:vAlign w:val="center"/>
          </w:tcPr>
          <w:p w14:paraId="2531F36D">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储泥池</w:t>
            </w:r>
          </w:p>
        </w:tc>
        <w:tc>
          <w:tcPr>
            <w:tcW w:w="1372" w:type="pct"/>
            <w:tcBorders>
              <w:tl2br w:val="nil"/>
              <w:tr2bl w:val="nil"/>
            </w:tcBorders>
            <w:vAlign w:val="center"/>
          </w:tcPr>
          <w:p w14:paraId="491C9535">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按0.5</w:t>
            </w:r>
            <w:r>
              <w:rPr>
                <w:rFonts w:ascii="Times New Roman" w:hAnsi="Times New Roman" w:eastAsia="宋体"/>
                <w:color w:val="auto"/>
                <w:sz w:val="21"/>
                <w:szCs w:val="21"/>
              </w:rPr>
              <w:t>万m</w:t>
            </w:r>
            <w:r>
              <w:rPr>
                <w:rFonts w:ascii="Times New Roman" w:hAnsi="Times New Roman" w:eastAsia="宋体"/>
                <w:color w:val="auto"/>
                <w:sz w:val="21"/>
                <w:szCs w:val="21"/>
                <w:vertAlign w:val="superscript"/>
              </w:rPr>
              <w:t>3</w:t>
            </w:r>
            <w:r>
              <w:rPr>
                <w:rFonts w:ascii="Times New Roman" w:hAnsi="Times New Roman" w:eastAsia="宋体"/>
                <w:color w:val="auto"/>
                <w:sz w:val="21"/>
                <w:szCs w:val="21"/>
              </w:rPr>
              <w:t>/d</w:t>
            </w:r>
            <w:r>
              <w:rPr>
                <w:rFonts w:hint="eastAsia" w:ascii="Times New Roman" w:hAnsi="Times New Roman" w:eastAsia="宋体"/>
                <w:color w:val="auto"/>
                <w:sz w:val="21"/>
                <w:szCs w:val="21"/>
              </w:rPr>
              <w:t>规模建成</w:t>
            </w:r>
          </w:p>
        </w:tc>
        <w:tc>
          <w:tcPr>
            <w:tcW w:w="1863" w:type="pct"/>
            <w:gridSpan w:val="2"/>
            <w:tcBorders>
              <w:tl2br w:val="nil"/>
              <w:tr2bl w:val="nil"/>
            </w:tcBorders>
            <w:vAlign w:val="center"/>
          </w:tcPr>
          <w:p w14:paraId="0E8B11B1">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新增1座0.5</w:t>
            </w:r>
            <w:r>
              <w:rPr>
                <w:rFonts w:ascii="Times New Roman" w:hAnsi="Times New Roman" w:eastAsia="宋体"/>
                <w:color w:val="auto"/>
                <w:sz w:val="21"/>
                <w:szCs w:val="21"/>
              </w:rPr>
              <w:t>万m</w:t>
            </w:r>
            <w:r>
              <w:rPr>
                <w:rFonts w:ascii="Times New Roman" w:hAnsi="Times New Roman" w:eastAsia="宋体"/>
                <w:color w:val="auto"/>
                <w:sz w:val="21"/>
                <w:szCs w:val="21"/>
                <w:vertAlign w:val="superscript"/>
              </w:rPr>
              <w:t>3</w:t>
            </w:r>
            <w:r>
              <w:rPr>
                <w:rFonts w:ascii="Times New Roman" w:hAnsi="Times New Roman" w:eastAsia="宋体"/>
                <w:color w:val="auto"/>
                <w:sz w:val="21"/>
                <w:szCs w:val="21"/>
              </w:rPr>
              <w:t>/d</w:t>
            </w:r>
            <w:r>
              <w:rPr>
                <w:rFonts w:hint="eastAsia" w:ascii="Times New Roman" w:hAnsi="Times New Roman" w:eastAsia="宋体"/>
                <w:color w:val="auto"/>
                <w:sz w:val="21"/>
                <w:szCs w:val="21"/>
              </w:rPr>
              <w:t>储泥池</w:t>
            </w:r>
          </w:p>
        </w:tc>
      </w:tr>
      <w:tr w14:paraId="010178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0" w:type="pct"/>
            <w:vMerge w:val="continue"/>
            <w:tcBorders>
              <w:tl2br w:val="nil"/>
              <w:tr2bl w:val="nil"/>
            </w:tcBorders>
            <w:vAlign w:val="center"/>
          </w:tcPr>
          <w:p w14:paraId="01FE79F2">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p>
        </w:tc>
        <w:tc>
          <w:tcPr>
            <w:tcW w:w="1163" w:type="pct"/>
            <w:gridSpan w:val="2"/>
            <w:tcBorders>
              <w:tl2br w:val="nil"/>
              <w:tr2bl w:val="nil"/>
            </w:tcBorders>
            <w:vAlign w:val="center"/>
          </w:tcPr>
          <w:p w14:paraId="1880C5DB">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浓缩脱水机房</w:t>
            </w:r>
          </w:p>
        </w:tc>
        <w:tc>
          <w:tcPr>
            <w:tcW w:w="1372" w:type="pct"/>
            <w:tcBorders>
              <w:tl2br w:val="nil"/>
              <w:tr2bl w:val="nil"/>
            </w:tcBorders>
            <w:vAlign w:val="center"/>
          </w:tcPr>
          <w:p w14:paraId="0CCFB823">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按</w:t>
            </w:r>
            <w:r>
              <w:rPr>
                <w:rFonts w:ascii="Times New Roman" w:hAnsi="Times New Roman" w:eastAsia="宋体"/>
                <w:color w:val="auto"/>
                <w:sz w:val="21"/>
                <w:szCs w:val="21"/>
              </w:rPr>
              <w:t>1.0万m</w:t>
            </w:r>
            <w:r>
              <w:rPr>
                <w:rFonts w:ascii="Times New Roman" w:hAnsi="Times New Roman" w:eastAsia="宋体"/>
                <w:color w:val="auto"/>
                <w:sz w:val="21"/>
                <w:szCs w:val="21"/>
                <w:vertAlign w:val="superscript"/>
              </w:rPr>
              <w:t>3</w:t>
            </w:r>
            <w:r>
              <w:rPr>
                <w:rFonts w:ascii="Times New Roman" w:hAnsi="Times New Roman" w:eastAsia="宋体"/>
                <w:color w:val="auto"/>
                <w:sz w:val="21"/>
                <w:szCs w:val="21"/>
              </w:rPr>
              <w:t>/d</w:t>
            </w:r>
            <w:r>
              <w:rPr>
                <w:rFonts w:hint="eastAsia" w:ascii="Times New Roman" w:hAnsi="Times New Roman" w:eastAsia="宋体"/>
                <w:color w:val="auto"/>
                <w:sz w:val="21"/>
                <w:szCs w:val="21"/>
              </w:rPr>
              <w:t>规模建成，但需进行改造</w:t>
            </w:r>
          </w:p>
        </w:tc>
        <w:tc>
          <w:tcPr>
            <w:tcW w:w="1863" w:type="pct"/>
            <w:gridSpan w:val="2"/>
            <w:tcBorders>
              <w:tl2br w:val="nil"/>
              <w:tr2bl w:val="nil"/>
            </w:tcBorders>
            <w:vAlign w:val="center"/>
          </w:tcPr>
          <w:p w14:paraId="765BB0DD">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将原来的带式压滤机的脱水工艺后增加 1套污泥低温干化工艺</w:t>
            </w:r>
          </w:p>
        </w:tc>
      </w:tr>
      <w:tr w14:paraId="3F4681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0" w:type="pct"/>
            <w:vMerge w:val="continue"/>
            <w:tcBorders>
              <w:tl2br w:val="nil"/>
              <w:tr2bl w:val="nil"/>
            </w:tcBorders>
            <w:vAlign w:val="center"/>
          </w:tcPr>
          <w:p w14:paraId="67345CF1">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p>
        </w:tc>
        <w:tc>
          <w:tcPr>
            <w:tcW w:w="1163" w:type="pct"/>
            <w:gridSpan w:val="2"/>
            <w:tcBorders>
              <w:tl2br w:val="nil"/>
              <w:tr2bl w:val="nil"/>
            </w:tcBorders>
            <w:vAlign w:val="center"/>
          </w:tcPr>
          <w:p w14:paraId="4F0AE9F9">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加药间及空压机房</w:t>
            </w:r>
          </w:p>
        </w:tc>
        <w:tc>
          <w:tcPr>
            <w:tcW w:w="1372" w:type="pct"/>
            <w:tcBorders>
              <w:tl2br w:val="nil"/>
              <w:tr2bl w:val="nil"/>
            </w:tcBorders>
            <w:vAlign w:val="center"/>
          </w:tcPr>
          <w:p w14:paraId="3A4D605D">
            <w:pPr>
              <w:keepNext w:val="0"/>
              <w:keepLines w:val="0"/>
              <w:pageBreakBefore w:val="0"/>
              <w:widowControl w:val="0"/>
              <w:tabs>
                <w:tab w:val="left" w:pos="944"/>
              </w:tabs>
              <w:kinsoku/>
              <w:wordWrap/>
              <w:overflowPunct/>
              <w:topLinePunct w:val="0"/>
              <w:bidi w:val="0"/>
              <w:snapToGrid w:val="0"/>
              <w:spacing w:line="240" w:lineRule="auto"/>
              <w:ind w:left="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未建</w:t>
            </w:r>
          </w:p>
        </w:tc>
        <w:tc>
          <w:tcPr>
            <w:tcW w:w="1863" w:type="pct"/>
            <w:gridSpan w:val="2"/>
            <w:tcBorders>
              <w:tl2br w:val="nil"/>
              <w:tr2bl w:val="nil"/>
            </w:tcBorders>
            <w:vAlign w:val="center"/>
          </w:tcPr>
          <w:p w14:paraId="550D2CCA">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新增 1 座加药间及空压机房</w:t>
            </w:r>
          </w:p>
        </w:tc>
      </w:tr>
      <w:tr w14:paraId="09BCDB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0" w:hRule="atLeast"/>
          <w:jc w:val="center"/>
        </w:trPr>
        <w:tc>
          <w:tcPr>
            <w:tcW w:w="600" w:type="pct"/>
            <w:vMerge w:val="restart"/>
            <w:tcBorders>
              <w:tl2br w:val="nil"/>
              <w:tr2bl w:val="nil"/>
            </w:tcBorders>
            <w:vAlign w:val="center"/>
          </w:tcPr>
          <w:p w14:paraId="3ADC683A">
            <w:pPr>
              <w:keepNext w:val="0"/>
              <w:keepLines w:val="0"/>
              <w:pageBreakBefore w:val="0"/>
              <w:widowControl w:val="0"/>
              <w:tabs>
                <w:tab w:val="left" w:pos="944"/>
              </w:tabs>
              <w:kinsoku/>
              <w:wordWrap/>
              <w:overflowPunct/>
              <w:topLinePunct w:val="0"/>
              <w:bidi w:val="0"/>
              <w:snapToGrid w:val="0"/>
              <w:spacing w:line="240" w:lineRule="auto"/>
              <w:ind w:firstLine="0" w:firstLineChars="0"/>
              <w:jc w:val="center"/>
              <w:textAlignment w:val="auto"/>
              <w:rPr>
                <w:rFonts w:ascii="Times New Roman" w:hAnsi="Times New Roman" w:eastAsia="宋体"/>
                <w:color w:val="auto"/>
                <w:sz w:val="21"/>
                <w:szCs w:val="21"/>
              </w:rPr>
            </w:pPr>
          </w:p>
          <w:p w14:paraId="0A5467BA">
            <w:pPr>
              <w:keepNext w:val="0"/>
              <w:keepLines w:val="0"/>
              <w:pageBreakBefore w:val="0"/>
              <w:widowControl w:val="0"/>
              <w:tabs>
                <w:tab w:val="left" w:pos="944"/>
              </w:tabs>
              <w:kinsoku/>
              <w:wordWrap/>
              <w:overflowPunct/>
              <w:topLinePunct w:val="0"/>
              <w:bidi w:val="0"/>
              <w:snapToGrid w:val="0"/>
              <w:spacing w:line="240" w:lineRule="auto"/>
              <w:ind w:firstLine="0" w:firstLineChars="0"/>
              <w:jc w:val="center"/>
              <w:textAlignment w:val="auto"/>
              <w:rPr>
                <w:rFonts w:ascii="Times New Roman" w:hAnsi="Times New Roman" w:eastAsia="宋体"/>
                <w:color w:val="auto"/>
                <w:sz w:val="21"/>
                <w:szCs w:val="21"/>
              </w:rPr>
            </w:pPr>
          </w:p>
          <w:p w14:paraId="2A014525">
            <w:pPr>
              <w:keepNext w:val="0"/>
              <w:keepLines w:val="0"/>
              <w:pageBreakBefore w:val="0"/>
              <w:widowControl w:val="0"/>
              <w:tabs>
                <w:tab w:val="left" w:pos="944"/>
              </w:tabs>
              <w:kinsoku/>
              <w:wordWrap/>
              <w:overflowPunct/>
              <w:topLinePunct w:val="0"/>
              <w:bidi w:val="0"/>
              <w:snapToGrid w:val="0"/>
              <w:spacing w:line="240" w:lineRule="auto"/>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辅</w:t>
            </w:r>
          </w:p>
          <w:p w14:paraId="6DD09E23">
            <w:pPr>
              <w:keepNext w:val="0"/>
              <w:keepLines w:val="0"/>
              <w:pageBreakBefore w:val="0"/>
              <w:widowControl w:val="0"/>
              <w:tabs>
                <w:tab w:val="left" w:pos="944"/>
              </w:tabs>
              <w:kinsoku/>
              <w:wordWrap/>
              <w:overflowPunct/>
              <w:topLinePunct w:val="0"/>
              <w:bidi w:val="0"/>
              <w:snapToGrid w:val="0"/>
              <w:spacing w:line="240" w:lineRule="auto"/>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助</w:t>
            </w:r>
          </w:p>
          <w:p w14:paraId="587D6B73">
            <w:pPr>
              <w:keepNext w:val="0"/>
              <w:keepLines w:val="0"/>
              <w:pageBreakBefore w:val="0"/>
              <w:widowControl w:val="0"/>
              <w:tabs>
                <w:tab w:val="left" w:pos="944"/>
              </w:tabs>
              <w:kinsoku/>
              <w:wordWrap/>
              <w:overflowPunct/>
              <w:topLinePunct w:val="0"/>
              <w:bidi w:val="0"/>
              <w:snapToGrid w:val="0"/>
              <w:spacing w:line="240" w:lineRule="auto"/>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工</w:t>
            </w:r>
          </w:p>
          <w:p w14:paraId="4C6682BC">
            <w:pPr>
              <w:keepNext w:val="0"/>
              <w:keepLines w:val="0"/>
              <w:pageBreakBefore w:val="0"/>
              <w:widowControl w:val="0"/>
              <w:tabs>
                <w:tab w:val="left" w:pos="944"/>
              </w:tabs>
              <w:kinsoku/>
              <w:wordWrap/>
              <w:overflowPunct/>
              <w:topLinePunct w:val="0"/>
              <w:bidi w:val="0"/>
              <w:snapToGrid w:val="0"/>
              <w:spacing w:line="240" w:lineRule="auto"/>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程</w:t>
            </w:r>
          </w:p>
        </w:tc>
        <w:tc>
          <w:tcPr>
            <w:tcW w:w="1162" w:type="pct"/>
            <w:tcBorders>
              <w:tl2br w:val="nil"/>
              <w:tr2bl w:val="nil"/>
            </w:tcBorders>
            <w:vAlign w:val="center"/>
          </w:tcPr>
          <w:p w14:paraId="25D96E44">
            <w:pPr>
              <w:keepNext w:val="0"/>
              <w:keepLines w:val="0"/>
              <w:pageBreakBefore w:val="0"/>
              <w:widowControl w:val="0"/>
              <w:tabs>
                <w:tab w:val="left" w:pos="944"/>
              </w:tabs>
              <w:kinsoku/>
              <w:wordWrap/>
              <w:overflowPunct/>
              <w:topLinePunct w:val="0"/>
              <w:bidi w:val="0"/>
              <w:snapToGrid w:val="0"/>
              <w:spacing w:line="240" w:lineRule="auto"/>
              <w:ind w:firstLine="0" w:firstLineChars="0"/>
              <w:jc w:val="center"/>
              <w:textAlignment w:val="auto"/>
              <w:rPr>
                <w:rFonts w:ascii="Times New Roman" w:hAnsi="Times New Roman" w:eastAsia="宋体"/>
                <w:color w:val="auto"/>
                <w:sz w:val="21"/>
                <w:szCs w:val="21"/>
              </w:rPr>
            </w:pPr>
          </w:p>
          <w:p w14:paraId="317DFC0D">
            <w:pPr>
              <w:keepNext w:val="0"/>
              <w:keepLines w:val="0"/>
              <w:pageBreakBefore w:val="0"/>
              <w:widowControl w:val="0"/>
              <w:tabs>
                <w:tab w:val="left" w:pos="944"/>
              </w:tabs>
              <w:kinsoku/>
              <w:wordWrap/>
              <w:overflowPunct/>
              <w:topLinePunct w:val="0"/>
              <w:bidi w:val="0"/>
              <w:snapToGrid w:val="0"/>
              <w:spacing w:line="240" w:lineRule="auto"/>
              <w:ind w:firstLine="0" w:firstLineChars="0"/>
              <w:jc w:val="center"/>
              <w:textAlignment w:val="auto"/>
              <w:rPr>
                <w:rFonts w:ascii="Times New Roman" w:hAnsi="Times New Roman" w:eastAsia="宋体"/>
                <w:color w:val="auto"/>
                <w:sz w:val="21"/>
                <w:szCs w:val="21"/>
              </w:rPr>
            </w:pPr>
          </w:p>
          <w:p w14:paraId="7708931E">
            <w:pPr>
              <w:keepNext w:val="0"/>
              <w:keepLines w:val="0"/>
              <w:pageBreakBefore w:val="0"/>
              <w:widowControl w:val="0"/>
              <w:tabs>
                <w:tab w:val="left" w:pos="944"/>
              </w:tabs>
              <w:kinsoku/>
              <w:wordWrap/>
              <w:overflowPunct/>
              <w:topLinePunct w:val="0"/>
              <w:bidi w:val="0"/>
              <w:snapToGrid w:val="0"/>
              <w:spacing w:line="240" w:lineRule="auto"/>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厂区排水口</w:t>
            </w:r>
          </w:p>
        </w:tc>
        <w:tc>
          <w:tcPr>
            <w:tcW w:w="1373" w:type="pct"/>
            <w:gridSpan w:val="2"/>
            <w:tcBorders>
              <w:tl2br w:val="nil"/>
              <w:tr2bl w:val="nil"/>
            </w:tcBorders>
            <w:vAlign w:val="center"/>
          </w:tcPr>
          <w:p w14:paraId="0C906F5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原污水排放口位置坐标为：东经117°03'22.84"；北纬 27°42'47.91"</w:t>
            </w:r>
          </w:p>
        </w:tc>
        <w:tc>
          <w:tcPr>
            <w:tcW w:w="1862" w:type="pct"/>
            <w:tcBorders>
              <w:tl2br w:val="nil"/>
              <w:tr2bl w:val="nil"/>
            </w:tcBorders>
            <w:vAlign w:val="center"/>
          </w:tcPr>
          <w:p w14:paraId="0F818DB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新增出水井，排放口位置坐标为东117°03'22.68"北纬27°42'47.69"</w:t>
            </w:r>
          </w:p>
        </w:tc>
      </w:tr>
      <w:tr w14:paraId="2723CB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0" w:hRule="atLeast"/>
          <w:jc w:val="center"/>
        </w:trPr>
        <w:tc>
          <w:tcPr>
            <w:tcW w:w="600" w:type="pct"/>
            <w:vMerge w:val="continue"/>
            <w:tcBorders>
              <w:tl2br w:val="nil"/>
              <w:tr2bl w:val="nil"/>
            </w:tcBorders>
            <w:vAlign w:val="center"/>
          </w:tcPr>
          <w:p w14:paraId="706A9E4C">
            <w:pPr>
              <w:keepNext w:val="0"/>
              <w:keepLines w:val="0"/>
              <w:pageBreakBefore w:val="0"/>
              <w:widowControl w:val="0"/>
              <w:tabs>
                <w:tab w:val="left" w:pos="944"/>
              </w:tabs>
              <w:kinsoku/>
              <w:wordWrap/>
              <w:overflowPunct/>
              <w:topLinePunct w:val="0"/>
              <w:bidi w:val="0"/>
              <w:snapToGrid w:val="0"/>
              <w:spacing w:line="240" w:lineRule="auto"/>
              <w:ind w:firstLine="0" w:firstLineChars="0"/>
              <w:jc w:val="center"/>
              <w:textAlignment w:val="auto"/>
              <w:rPr>
                <w:rFonts w:ascii="Times New Roman" w:hAnsi="Times New Roman" w:eastAsia="宋体"/>
                <w:color w:val="auto"/>
                <w:sz w:val="21"/>
                <w:szCs w:val="21"/>
              </w:rPr>
            </w:pPr>
          </w:p>
        </w:tc>
        <w:tc>
          <w:tcPr>
            <w:tcW w:w="1162" w:type="pct"/>
            <w:tcBorders>
              <w:tl2br w:val="nil"/>
              <w:tr2bl w:val="nil"/>
            </w:tcBorders>
            <w:vAlign w:val="center"/>
          </w:tcPr>
          <w:p w14:paraId="502E1244">
            <w:pPr>
              <w:keepNext w:val="0"/>
              <w:keepLines w:val="0"/>
              <w:pageBreakBefore w:val="0"/>
              <w:widowControl w:val="0"/>
              <w:tabs>
                <w:tab w:val="left" w:pos="944"/>
              </w:tabs>
              <w:kinsoku/>
              <w:wordWrap/>
              <w:overflowPunct/>
              <w:topLinePunct w:val="0"/>
              <w:bidi w:val="0"/>
              <w:snapToGrid w:val="0"/>
              <w:spacing w:line="240" w:lineRule="auto"/>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配电间</w:t>
            </w:r>
          </w:p>
        </w:tc>
        <w:tc>
          <w:tcPr>
            <w:tcW w:w="1373" w:type="pct"/>
            <w:gridSpan w:val="2"/>
            <w:tcBorders>
              <w:tl2br w:val="nil"/>
              <w:tr2bl w:val="nil"/>
            </w:tcBorders>
            <w:vAlign w:val="center"/>
          </w:tcPr>
          <w:p w14:paraId="33FE83AD">
            <w:pPr>
              <w:keepNext w:val="0"/>
              <w:keepLines w:val="0"/>
              <w:pageBreakBefore w:val="0"/>
              <w:widowControl w:val="0"/>
              <w:tabs>
                <w:tab w:val="left" w:pos="944"/>
              </w:tabs>
              <w:kinsoku/>
              <w:wordWrap/>
              <w:overflowPunct/>
              <w:topLinePunct w:val="0"/>
              <w:bidi w:val="0"/>
              <w:snapToGrid w:val="0"/>
              <w:spacing w:line="240" w:lineRule="auto"/>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按</w:t>
            </w:r>
            <w:r>
              <w:rPr>
                <w:rFonts w:ascii="Times New Roman" w:hAnsi="Times New Roman" w:eastAsia="宋体"/>
                <w:color w:val="auto"/>
                <w:sz w:val="21"/>
                <w:szCs w:val="21"/>
              </w:rPr>
              <w:t>1.0万m</w:t>
            </w:r>
            <w:r>
              <w:rPr>
                <w:rFonts w:ascii="Times New Roman" w:hAnsi="Times New Roman" w:eastAsia="宋体"/>
                <w:color w:val="auto"/>
                <w:sz w:val="21"/>
                <w:szCs w:val="21"/>
                <w:vertAlign w:val="superscript"/>
              </w:rPr>
              <w:t>3</w:t>
            </w:r>
            <w:r>
              <w:rPr>
                <w:rFonts w:ascii="Times New Roman" w:hAnsi="Times New Roman" w:eastAsia="宋体"/>
                <w:color w:val="auto"/>
                <w:sz w:val="21"/>
                <w:szCs w:val="21"/>
              </w:rPr>
              <w:t>/d</w:t>
            </w:r>
            <w:r>
              <w:rPr>
                <w:rFonts w:hint="eastAsia" w:ascii="Times New Roman" w:hAnsi="Times New Roman" w:eastAsia="宋体"/>
                <w:color w:val="auto"/>
                <w:sz w:val="21"/>
                <w:szCs w:val="21"/>
              </w:rPr>
              <w:t>规模建成</w:t>
            </w:r>
          </w:p>
        </w:tc>
        <w:tc>
          <w:tcPr>
            <w:tcW w:w="1862" w:type="pct"/>
            <w:tcBorders>
              <w:tl2br w:val="nil"/>
              <w:tr2bl w:val="nil"/>
            </w:tcBorders>
            <w:vAlign w:val="center"/>
          </w:tcPr>
          <w:p w14:paraId="437CA96B">
            <w:pPr>
              <w:keepNext w:val="0"/>
              <w:keepLines w:val="0"/>
              <w:pageBreakBefore w:val="0"/>
              <w:widowControl w:val="0"/>
              <w:tabs>
                <w:tab w:val="left" w:pos="944"/>
              </w:tabs>
              <w:kinsoku/>
              <w:wordWrap/>
              <w:overflowPunct/>
              <w:topLinePunct w:val="0"/>
              <w:bidi w:val="0"/>
              <w:snapToGrid w:val="0"/>
              <w:spacing w:line="240" w:lineRule="auto"/>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依托现有配电间</w:t>
            </w:r>
          </w:p>
        </w:tc>
      </w:tr>
      <w:tr w14:paraId="62F7F3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0" w:hRule="atLeast"/>
          <w:jc w:val="center"/>
        </w:trPr>
        <w:tc>
          <w:tcPr>
            <w:tcW w:w="600" w:type="pct"/>
            <w:vMerge w:val="continue"/>
            <w:tcBorders>
              <w:tl2br w:val="nil"/>
              <w:tr2bl w:val="nil"/>
            </w:tcBorders>
            <w:vAlign w:val="center"/>
          </w:tcPr>
          <w:p w14:paraId="19316519">
            <w:pPr>
              <w:keepNext w:val="0"/>
              <w:keepLines w:val="0"/>
              <w:pageBreakBefore w:val="0"/>
              <w:widowControl w:val="0"/>
              <w:tabs>
                <w:tab w:val="left" w:pos="944"/>
              </w:tabs>
              <w:kinsoku/>
              <w:wordWrap/>
              <w:overflowPunct/>
              <w:topLinePunct w:val="0"/>
              <w:bidi w:val="0"/>
              <w:snapToGrid w:val="0"/>
              <w:spacing w:line="240" w:lineRule="auto"/>
              <w:ind w:firstLine="0" w:firstLineChars="0"/>
              <w:jc w:val="center"/>
              <w:textAlignment w:val="auto"/>
              <w:rPr>
                <w:rFonts w:ascii="Times New Roman" w:hAnsi="Times New Roman" w:eastAsia="宋体"/>
                <w:color w:val="auto"/>
                <w:sz w:val="21"/>
                <w:szCs w:val="21"/>
              </w:rPr>
            </w:pPr>
          </w:p>
        </w:tc>
        <w:tc>
          <w:tcPr>
            <w:tcW w:w="1162" w:type="pct"/>
            <w:tcBorders>
              <w:tl2br w:val="nil"/>
              <w:tr2bl w:val="nil"/>
            </w:tcBorders>
            <w:vAlign w:val="center"/>
          </w:tcPr>
          <w:p w14:paraId="0402B746">
            <w:pPr>
              <w:keepNext w:val="0"/>
              <w:keepLines w:val="0"/>
              <w:pageBreakBefore w:val="0"/>
              <w:widowControl w:val="0"/>
              <w:tabs>
                <w:tab w:val="left" w:pos="944"/>
              </w:tabs>
              <w:kinsoku/>
              <w:wordWrap/>
              <w:overflowPunct/>
              <w:topLinePunct w:val="0"/>
              <w:bidi w:val="0"/>
              <w:snapToGrid w:val="0"/>
              <w:spacing w:line="240" w:lineRule="auto"/>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综合楼</w:t>
            </w:r>
          </w:p>
        </w:tc>
        <w:tc>
          <w:tcPr>
            <w:tcW w:w="1373" w:type="pct"/>
            <w:gridSpan w:val="2"/>
            <w:tcBorders>
              <w:tl2br w:val="nil"/>
              <w:tr2bl w:val="nil"/>
            </w:tcBorders>
            <w:vAlign w:val="center"/>
          </w:tcPr>
          <w:p w14:paraId="43CDDD80">
            <w:pPr>
              <w:keepNext w:val="0"/>
              <w:keepLines w:val="0"/>
              <w:pageBreakBefore w:val="0"/>
              <w:widowControl w:val="0"/>
              <w:tabs>
                <w:tab w:val="left" w:pos="944"/>
              </w:tabs>
              <w:kinsoku/>
              <w:wordWrap/>
              <w:overflowPunct/>
              <w:topLinePunct w:val="0"/>
              <w:bidi w:val="0"/>
              <w:snapToGrid w:val="0"/>
              <w:spacing w:line="240" w:lineRule="auto"/>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已建成</w:t>
            </w:r>
          </w:p>
        </w:tc>
        <w:tc>
          <w:tcPr>
            <w:tcW w:w="1862" w:type="pct"/>
            <w:tcBorders>
              <w:tl2br w:val="nil"/>
              <w:tr2bl w:val="nil"/>
            </w:tcBorders>
            <w:vAlign w:val="center"/>
          </w:tcPr>
          <w:p w14:paraId="588BC181">
            <w:pPr>
              <w:keepNext w:val="0"/>
              <w:keepLines w:val="0"/>
              <w:pageBreakBefore w:val="0"/>
              <w:widowControl w:val="0"/>
              <w:tabs>
                <w:tab w:val="left" w:pos="944"/>
              </w:tabs>
              <w:kinsoku/>
              <w:wordWrap/>
              <w:overflowPunct/>
              <w:topLinePunct w:val="0"/>
              <w:bidi w:val="0"/>
              <w:snapToGrid w:val="0"/>
              <w:spacing w:line="240" w:lineRule="auto"/>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依托现有综合楼</w:t>
            </w:r>
          </w:p>
        </w:tc>
      </w:tr>
      <w:tr w14:paraId="70749A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0" w:hRule="atLeast"/>
          <w:jc w:val="center"/>
        </w:trPr>
        <w:tc>
          <w:tcPr>
            <w:tcW w:w="600" w:type="pct"/>
            <w:vMerge w:val="restart"/>
            <w:tcBorders>
              <w:tl2br w:val="nil"/>
              <w:tr2bl w:val="nil"/>
            </w:tcBorders>
            <w:vAlign w:val="center"/>
          </w:tcPr>
          <w:p w14:paraId="1075B404">
            <w:pPr>
              <w:keepNext w:val="0"/>
              <w:keepLines w:val="0"/>
              <w:pageBreakBefore w:val="0"/>
              <w:widowControl w:val="0"/>
              <w:tabs>
                <w:tab w:val="left" w:pos="944"/>
              </w:tabs>
              <w:kinsoku/>
              <w:wordWrap/>
              <w:overflowPunct/>
              <w:topLinePunct w:val="0"/>
              <w:bidi w:val="0"/>
              <w:snapToGrid w:val="0"/>
              <w:spacing w:line="240" w:lineRule="auto"/>
              <w:ind w:firstLine="0" w:firstLineChars="0"/>
              <w:jc w:val="center"/>
              <w:textAlignment w:val="auto"/>
              <w:rPr>
                <w:rFonts w:ascii="Times New Roman" w:hAnsi="Times New Roman" w:eastAsia="宋体"/>
                <w:color w:val="auto"/>
                <w:sz w:val="21"/>
                <w:szCs w:val="21"/>
              </w:rPr>
            </w:pPr>
          </w:p>
          <w:p w14:paraId="0CCF0C65">
            <w:pPr>
              <w:keepNext w:val="0"/>
              <w:keepLines w:val="0"/>
              <w:pageBreakBefore w:val="0"/>
              <w:widowControl w:val="0"/>
              <w:tabs>
                <w:tab w:val="left" w:pos="944"/>
              </w:tabs>
              <w:kinsoku/>
              <w:wordWrap/>
              <w:overflowPunct/>
              <w:topLinePunct w:val="0"/>
              <w:bidi w:val="0"/>
              <w:snapToGrid w:val="0"/>
              <w:spacing w:line="240" w:lineRule="auto"/>
              <w:ind w:firstLine="0" w:firstLineChars="0"/>
              <w:jc w:val="center"/>
              <w:textAlignment w:val="auto"/>
              <w:rPr>
                <w:rFonts w:ascii="Times New Roman" w:hAnsi="Times New Roman" w:eastAsia="宋体"/>
                <w:color w:val="auto"/>
                <w:sz w:val="21"/>
                <w:szCs w:val="21"/>
              </w:rPr>
            </w:pPr>
          </w:p>
          <w:p w14:paraId="2F55FB84">
            <w:pPr>
              <w:keepNext w:val="0"/>
              <w:keepLines w:val="0"/>
              <w:pageBreakBefore w:val="0"/>
              <w:widowControl w:val="0"/>
              <w:tabs>
                <w:tab w:val="left" w:pos="944"/>
              </w:tabs>
              <w:kinsoku/>
              <w:wordWrap/>
              <w:overflowPunct/>
              <w:topLinePunct w:val="0"/>
              <w:bidi w:val="0"/>
              <w:snapToGrid w:val="0"/>
              <w:spacing w:line="240" w:lineRule="auto"/>
              <w:ind w:firstLine="0" w:firstLineChars="0"/>
              <w:jc w:val="center"/>
              <w:textAlignment w:val="auto"/>
              <w:rPr>
                <w:rFonts w:ascii="Times New Roman" w:hAnsi="Times New Roman" w:eastAsia="宋体"/>
                <w:color w:val="auto"/>
                <w:sz w:val="21"/>
                <w:szCs w:val="21"/>
              </w:rPr>
            </w:pPr>
          </w:p>
          <w:p w14:paraId="32CB3FEA">
            <w:pPr>
              <w:keepNext w:val="0"/>
              <w:keepLines w:val="0"/>
              <w:pageBreakBefore w:val="0"/>
              <w:widowControl w:val="0"/>
              <w:tabs>
                <w:tab w:val="left" w:pos="944"/>
              </w:tabs>
              <w:kinsoku/>
              <w:wordWrap/>
              <w:overflowPunct/>
              <w:topLinePunct w:val="0"/>
              <w:bidi w:val="0"/>
              <w:snapToGrid w:val="0"/>
              <w:spacing w:line="240" w:lineRule="auto"/>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环</w:t>
            </w:r>
          </w:p>
          <w:p w14:paraId="34324290">
            <w:pPr>
              <w:keepNext w:val="0"/>
              <w:keepLines w:val="0"/>
              <w:pageBreakBefore w:val="0"/>
              <w:widowControl w:val="0"/>
              <w:tabs>
                <w:tab w:val="left" w:pos="944"/>
              </w:tabs>
              <w:kinsoku/>
              <w:wordWrap/>
              <w:overflowPunct/>
              <w:topLinePunct w:val="0"/>
              <w:bidi w:val="0"/>
              <w:snapToGrid w:val="0"/>
              <w:spacing w:line="240" w:lineRule="auto"/>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保</w:t>
            </w:r>
          </w:p>
          <w:p w14:paraId="46E458CF">
            <w:pPr>
              <w:keepNext w:val="0"/>
              <w:keepLines w:val="0"/>
              <w:pageBreakBefore w:val="0"/>
              <w:widowControl w:val="0"/>
              <w:tabs>
                <w:tab w:val="left" w:pos="944"/>
              </w:tabs>
              <w:kinsoku/>
              <w:wordWrap/>
              <w:overflowPunct/>
              <w:topLinePunct w:val="0"/>
              <w:bidi w:val="0"/>
              <w:snapToGrid w:val="0"/>
              <w:spacing w:line="240" w:lineRule="auto"/>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工</w:t>
            </w:r>
          </w:p>
          <w:p w14:paraId="63F0F932">
            <w:pPr>
              <w:keepNext w:val="0"/>
              <w:keepLines w:val="0"/>
              <w:pageBreakBefore w:val="0"/>
              <w:widowControl w:val="0"/>
              <w:tabs>
                <w:tab w:val="left" w:pos="944"/>
              </w:tabs>
              <w:kinsoku/>
              <w:wordWrap/>
              <w:overflowPunct/>
              <w:topLinePunct w:val="0"/>
              <w:bidi w:val="0"/>
              <w:snapToGrid w:val="0"/>
              <w:spacing w:line="240" w:lineRule="auto"/>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程</w:t>
            </w:r>
          </w:p>
        </w:tc>
        <w:tc>
          <w:tcPr>
            <w:tcW w:w="1162" w:type="pct"/>
            <w:tcBorders>
              <w:tl2br w:val="nil"/>
              <w:tr2bl w:val="nil"/>
            </w:tcBorders>
            <w:vAlign w:val="center"/>
          </w:tcPr>
          <w:p w14:paraId="5FD95D9C">
            <w:pPr>
              <w:keepNext w:val="0"/>
              <w:keepLines w:val="0"/>
              <w:pageBreakBefore w:val="0"/>
              <w:widowControl w:val="0"/>
              <w:tabs>
                <w:tab w:val="left" w:pos="944"/>
              </w:tabs>
              <w:kinsoku/>
              <w:wordWrap/>
              <w:overflowPunct/>
              <w:topLinePunct w:val="0"/>
              <w:bidi w:val="0"/>
              <w:snapToGrid w:val="0"/>
              <w:spacing w:line="240" w:lineRule="auto"/>
              <w:ind w:firstLine="0" w:firstLineChars="0"/>
              <w:jc w:val="center"/>
              <w:textAlignment w:val="auto"/>
              <w:rPr>
                <w:rFonts w:ascii="Times New Roman" w:hAnsi="Times New Roman" w:eastAsia="宋体"/>
                <w:color w:val="auto"/>
                <w:sz w:val="21"/>
                <w:szCs w:val="21"/>
              </w:rPr>
            </w:pPr>
          </w:p>
          <w:p w14:paraId="56EF3FC7">
            <w:pPr>
              <w:keepNext w:val="0"/>
              <w:keepLines w:val="0"/>
              <w:pageBreakBefore w:val="0"/>
              <w:widowControl w:val="0"/>
              <w:tabs>
                <w:tab w:val="left" w:pos="944"/>
              </w:tabs>
              <w:kinsoku/>
              <w:wordWrap/>
              <w:overflowPunct/>
              <w:topLinePunct w:val="0"/>
              <w:bidi w:val="0"/>
              <w:snapToGrid w:val="0"/>
              <w:spacing w:line="240" w:lineRule="auto"/>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废水处理工程</w:t>
            </w:r>
          </w:p>
        </w:tc>
        <w:tc>
          <w:tcPr>
            <w:tcW w:w="3235" w:type="pct"/>
            <w:gridSpan w:val="3"/>
            <w:tcBorders>
              <w:tl2br w:val="nil"/>
              <w:tr2bl w:val="nil"/>
            </w:tcBorders>
            <w:vAlign w:val="center"/>
          </w:tcPr>
          <w:p w14:paraId="5F32A8E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粗格栅+细格栅沉砂池+氧化沟+二沉池+高密度沉淀池+连续砂滤池+次氯酸钠消毒</w:t>
            </w:r>
            <w:r>
              <w:rPr>
                <w:rFonts w:hint="eastAsia" w:ascii="Times New Roman" w:hAnsi="Times New Roman" w:eastAsia="宋体"/>
                <w:color w:val="auto"/>
                <w:sz w:val="21"/>
                <w:szCs w:val="21"/>
              </w:rPr>
              <w:t>处理工艺，日处理能力1万吨/日，尾水达到《城镇污水处理厂污染物排放标准》（GB18918-2002）一级 A 标准</w:t>
            </w:r>
          </w:p>
        </w:tc>
      </w:tr>
      <w:tr w14:paraId="6EFD30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0" w:hRule="atLeast"/>
          <w:jc w:val="center"/>
        </w:trPr>
        <w:tc>
          <w:tcPr>
            <w:tcW w:w="600" w:type="pct"/>
            <w:vMerge w:val="continue"/>
            <w:tcBorders>
              <w:tl2br w:val="nil"/>
              <w:tr2bl w:val="nil"/>
            </w:tcBorders>
            <w:vAlign w:val="center"/>
          </w:tcPr>
          <w:p w14:paraId="058E5F6F">
            <w:pPr>
              <w:keepNext w:val="0"/>
              <w:keepLines w:val="0"/>
              <w:pageBreakBefore w:val="0"/>
              <w:widowControl w:val="0"/>
              <w:tabs>
                <w:tab w:val="left" w:pos="944"/>
              </w:tabs>
              <w:kinsoku/>
              <w:wordWrap/>
              <w:overflowPunct/>
              <w:topLinePunct w:val="0"/>
              <w:bidi w:val="0"/>
              <w:snapToGrid w:val="0"/>
              <w:spacing w:line="240" w:lineRule="auto"/>
              <w:ind w:firstLine="0" w:firstLineChars="0"/>
              <w:jc w:val="center"/>
              <w:textAlignment w:val="auto"/>
              <w:rPr>
                <w:rFonts w:ascii="Times New Roman" w:hAnsi="Times New Roman" w:eastAsia="宋体"/>
                <w:color w:val="auto"/>
                <w:sz w:val="21"/>
                <w:szCs w:val="21"/>
              </w:rPr>
            </w:pPr>
          </w:p>
        </w:tc>
        <w:tc>
          <w:tcPr>
            <w:tcW w:w="1162" w:type="pct"/>
            <w:tcBorders>
              <w:tl2br w:val="nil"/>
              <w:tr2bl w:val="nil"/>
            </w:tcBorders>
            <w:vAlign w:val="center"/>
          </w:tcPr>
          <w:p w14:paraId="20B554F3">
            <w:pPr>
              <w:keepNext w:val="0"/>
              <w:keepLines w:val="0"/>
              <w:pageBreakBefore w:val="0"/>
              <w:widowControl w:val="0"/>
              <w:tabs>
                <w:tab w:val="left" w:pos="944"/>
              </w:tabs>
              <w:kinsoku/>
              <w:wordWrap/>
              <w:overflowPunct/>
              <w:topLinePunct w:val="0"/>
              <w:bidi w:val="0"/>
              <w:snapToGrid w:val="0"/>
              <w:spacing w:line="240" w:lineRule="auto"/>
              <w:ind w:firstLine="0" w:firstLineChars="0"/>
              <w:jc w:val="center"/>
              <w:textAlignment w:val="auto"/>
              <w:rPr>
                <w:rFonts w:ascii="Times New Roman" w:hAnsi="Times New Roman" w:eastAsia="宋体"/>
                <w:color w:val="auto"/>
                <w:sz w:val="21"/>
                <w:szCs w:val="21"/>
              </w:rPr>
            </w:pPr>
          </w:p>
          <w:p w14:paraId="36732F9F">
            <w:pPr>
              <w:keepNext w:val="0"/>
              <w:keepLines w:val="0"/>
              <w:pageBreakBefore w:val="0"/>
              <w:widowControl w:val="0"/>
              <w:tabs>
                <w:tab w:val="left" w:pos="944"/>
              </w:tabs>
              <w:kinsoku/>
              <w:wordWrap/>
              <w:overflowPunct/>
              <w:topLinePunct w:val="0"/>
              <w:bidi w:val="0"/>
              <w:snapToGrid w:val="0"/>
              <w:spacing w:line="240" w:lineRule="auto"/>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固废治理措施</w:t>
            </w:r>
          </w:p>
        </w:tc>
        <w:tc>
          <w:tcPr>
            <w:tcW w:w="3235" w:type="pct"/>
            <w:gridSpan w:val="3"/>
            <w:tcBorders>
              <w:tl2br w:val="nil"/>
              <w:tr2bl w:val="nil"/>
            </w:tcBorders>
            <w:vAlign w:val="center"/>
          </w:tcPr>
          <w:p w14:paraId="0F9B677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污泥处理在原有污泥脱水机房后建污泥低温干化工艺，脱水后污泥采用外运卫生填埋，其他固废委托环卫部门统一处理，不外排</w:t>
            </w:r>
          </w:p>
        </w:tc>
      </w:tr>
      <w:tr w14:paraId="1EBF2A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0" w:hRule="atLeast"/>
          <w:jc w:val="center"/>
        </w:trPr>
        <w:tc>
          <w:tcPr>
            <w:tcW w:w="600" w:type="pct"/>
            <w:vMerge w:val="continue"/>
            <w:tcBorders>
              <w:tl2br w:val="nil"/>
              <w:tr2bl w:val="nil"/>
            </w:tcBorders>
            <w:vAlign w:val="center"/>
          </w:tcPr>
          <w:p w14:paraId="5B827778">
            <w:pPr>
              <w:keepNext w:val="0"/>
              <w:keepLines w:val="0"/>
              <w:pageBreakBefore w:val="0"/>
              <w:widowControl w:val="0"/>
              <w:tabs>
                <w:tab w:val="left" w:pos="944"/>
              </w:tabs>
              <w:kinsoku/>
              <w:wordWrap/>
              <w:overflowPunct/>
              <w:topLinePunct w:val="0"/>
              <w:bidi w:val="0"/>
              <w:snapToGrid w:val="0"/>
              <w:spacing w:line="240" w:lineRule="auto"/>
              <w:ind w:firstLine="0" w:firstLineChars="0"/>
              <w:jc w:val="center"/>
              <w:textAlignment w:val="auto"/>
              <w:rPr>
                <w:rFonts w:ascii="Times New Roman" w:hAnsi="Times New Roman" w:eastAsia="宋体"/>
                <w:color w:val="auto"/>
                <w:sz w:val="21"/>
                <w:szCs w:val="21"/>
              </w:rPr>
            </w:pPr>
          </w:p>
        </w:tc>
        <w:tc>
          <w:tcPr>
            <w:tcW w:w="1162" w:type="pct"/>
            <w:tcBorders>
              <w:tl2br w:val="nil"/>
              <w:tr2bl w:val="nil"/>
            </w:tcBorders>
            <w:vAlign w:val="center"/>
          </w:tcPr>
          <w:p w14:paraId="60550E56">
            <w:pPr>
              <w:keepNext w:val="0"/>
              <w:keepLines w:val="0"/>
              <w:pageBreakBefore w:val="0"/>
              <w:widowControl w:val="0"/>
              <w:tabs>
                <w:tab w:val="left" w:pos="944"/>
              </w:tabs>
              <w:kinsoku/>
              <w:wordWrap/>
              <w:overflowPunct/>
              <w:topLinePunct w:val="0"/>
              <w:bidi w:val="0"/>
              <w:snapToGrid w:val="0"/>
              <w:spacing w:line="240" w:lineRule="auto"/>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噪声治理措施</w:t>
            </w:r>
          </w:p>
        </w:tc>
        <w:tc>
          <w:tcPr>
            <w:tcW w:w="3235" w:type="pct"/>
            <w:gridSpan w:val="3"/>
            <w:tcBorders>
              <w:tl2br w:val="nil"/>
              <w:tr2bl w:val="nil"/>
            </w:tcBorders>
            <w:vAlign w:val="center"/>
          </w:tcPr>
          <w:p w14:paraId="5B6BDE6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设备减振、厂区围墙隔声、距离衰减</w:t>
            </w:r>
          </w:p>
        </w:tc>
      </w:tr>
      <w:tr w14:paraId="2B1384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0" w:hRule="atLeast"/>
          <w:jc w:val="center"/>
        </w:trPr>
        <w:tc>
          <w:tcPr>
            <w:tcW w:w="600" w:type="pct"/>
            <w:vMerge w:val="continue"/>
            <w:tcBorders>
              <w:tl2br w:val="nil"/>
              <w:tr2bl w:val="nil"/>
            </w:tcBorders>
            <w:vAlign w:val="center"/>
          </w:tcPr>
          <w:p w14:paraId="7B7F9A6F">
            <w:pPr>
              <w:keepNext w:val="0"/>
              <w:keepLines w:val="0"/>
              <w:pageBreakBefore w:val="0"/>
              <w:widowControl w:val="0"/>
              <w:tabs>
                <w:tab w:val="left" w:pos="944"/>
              </w:tabs>
              <w:kinsoku/>
              <w:wordWrap/>
              <w:overflowPunct/>
              <w:topLinePunct w:val="0"/>
              <w:bidi w:val="0"/>
              <w:snapToGrid w:val="0"/>
              <w:spacing w:line="240" w:lineRule="auto"/>
              <w:ind w:firstLine="0" w:firstLineChars="0"/>
              <w:jc w:val="center"/>
              <w:textAlignment w:val="auto"/>
              <w:rPr>
                <w:rFonts w:ascii="Times New Roman" w:hAnsi="Times New Roman" w:eastAsia="宋体"/>
                <w:color w:val="auto"/>
                <w:sz w:val="21"/>
                <w:szCs w:val="21"/>
              </w:rPr>
            </w:pPr>
          </w:p>
        </w:tc>
        <w:tc>
          <w:tcPr>
            <w:tcW w:w="1162" w:type="pct"/>
            <w:tcBorders>
              <w:tl2br w:val="nil"/>
              <w:tr2bl w:val="nil"/>
            </w:tcBorders>
            <w:vAlign w:val="center"/>
          </w:tcPr>
          <w:p w14:paraId="40AE6B6E">
            <w:pPr>
              <w:keepNext w:val="0"/>
              <w:keepLines w:val="0"/>
              <w:pageBreakBefore w:val="0"/>
              <w:widowControl w:val="0"/>
              <w:tabs>
                <w:tab w:val="left" w:pos="944"/>
              </w:tabs>
              <w:kinsoku/>
              <w:wordWrap/>
              <w:overflowPunct/>
              <w:topLinePunct w:val="0"/>
              <w:bidi w:val="0"/>
              <w:snapToGrid w:val="0"/>
              <w:spacing w:line="240" w:lineRule="auto"/>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废气治理措施</w:t>
            </w:r>
          </w:p>
        </w:tc>
        <w:tc>
          <w:tcPr>
            <w:tcW w:w="3235" w:type="pct"/>
            <w:gridSpan w:val="3"/>
            <w:tcBorders>
              <w:tl2br w:val="nil"/>
              <w:tr2bl w:val="nil"/>
            </w:tcBorders>
            <w:vAlign w:val="center"/>
          </w:tcPr>
          <w:p w14:paraId="6D3BF489">
            <w:pPr>
              <w:keepNext w:val="0"/>
              <w:keepLines w:val="0"/>
              <w:pageBreakBefore w:val="0"/>
              <w:widowControl w:val="0"/>
              <w:tabs>
                <w:tab w:val="left" w:pos="944"/>
              </w:tabs>
              <w:kinsoku/>
              <w:wordWrap/>
              <w:overflowPunct/>
              <w:topLinePunct w:val="0"/>
              <w:bidi w:val="0"/>
              <w:snapToGrid w:val="0"/>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厂</w:t>
            </w:r>
            <w:r>
              <w:rPr>
                <w:rFonts w:hint="eastAsia" w:ascii="Times New Roman" w:hAnsi="Times New Roman" w:eastAsia="宋体"/>
                <w:color w:val="auto"/>
                <w:sz w:val="21"/>
                <w:szCs w:val="21"/>
              </w:rPr>
              <w:t>区</w:t>
            </w:r>
            <w:r>
              <w:rPr>
                <w:rFonts w:ascii="Times New Roman" w:hAnsi="Times New Roman" w:eastAsia="宋体"/>
                <w:color w:val="auto"/>
                <w:sz w:val="21"/>
                <w:szCs w:val="21"/>
              </w:rPr>
              <w:t>四周设置绿化带，种植可以吸收气味的常绿乔木；</w:t>
            </w:r>
            <w:r>
              <w:rPr>
                <w:rFonts w:hint="eastAsia" w:ascii="Times New Roman" w:hAnsi="Times New Roman" w:eastAsia="宋体"/>
                <w:color w:val="auto"/>
                <w:sz w:val="21"/>
                <w:szCs w:val="21"/>
              </w:rPr>
              <w:t>污泥和栅渣及时清运</w:t>
            </w:r>
          </w:p>
        </w:tc>
      </w:tr>
    </w:tbl>
    <w:p w14:paraId="3150818D">
      <w:pPr>
        <w:pStyle w:val="5"/>
        <w:spacing w:before="156" w:after="156"/>
        <w:rPr>
          <w:color w:val="auto"/>
        </w:rPr>
      </w:pPr>
      <w:r>
        <w:rPr>
          <w:rFonts w:hint="eastAsia"/>
          <w:color w:val="auto"/>
        </w:rPr>
        <w:t>2.2生产的基本情况</w:t>
      </w:r>
      <w:bookmarkEnd w:id="19"/>
      <w:bookmarkEnd w:id="20"/>
    </w:p>
    <w:p w14:paraId="27F6060B">
      <w:pPr>
        <w:pStyle w:val="2"/>
        <w:spacing w:line="360" w:lineRule="auto"/>
        <w:ind w:firstLine="480" w:firstLineChars="200"/>
        <w:rPr>
          <w:color w:val="auto"/>
        </w:rPr>
      </w:pPr>
      <w:r>
        <w:rPr>
          <w:rFonts w:hint="eastAsia"/>
          <w:color w:val="auto"/>
          <w:lang w:eastAsia="zh-CN"/>
        </w:rPr>
        <w:t>项目</w:t>
      </w:r>
      <w:r>
        <w:rPr>
          <w:rFonts w:hint="eastAsia"/>
          <w:color w:val="auto"/>
        </w:rPr>
        <w:t>采用</w:t>
      </w:r>
      <w:r>
        <w:rPr>
          <w:rFonts w:hint="eastAsia" w:ascii="Times New Roman" w:hAnsi="Times New Roman" w:eastAsia="宋体"/>
          <w:bCs/>
          <w:color w:val="auto"/>
          <w:sz w:val="24"/>
          <w:lang w:eastAsia="zh-CN"/>
        </w:rPr>
        <w:t>改良式氧化沟</w:t>
      </w:r>
      <w:r>
        <w:rPr>
          <w:rFonts w:hint="eastAsia" w:ascii="宋体" w:hAnsi="宋体" w:eastAsia="宋体" w:cs="宋体"/>
          <w:color w:val="auto"/>
          <w:kern w:val="0"/>
          <w:sz w:val="24"/>
          <w:szCs w:val="24"/>
          <w:lang w:eastAsia="zh-CN"/>
        </w:rPr>
        <w:t>污水处理</w:t>
      </w:r>
      <w:r>
        <w:rPr>
          <w:rFonts w:hint="eastAsia"/>
          <w:color w:val="auto"/>
        </w:rPr>
        <w:t>工艺</w:t>
      </w:r>
      <w:r>
        <w:rPr>
          <w:rFonts w:hint="eastAsia" w:ascii="宋体" w:hAnsi="宋体" w:eastAsia="宋体" w:cs="宋体"/>
          <w:color w:val="auto"/>
          <w:lang w:eastAsia="zh-CN"/>
        </w:rPr>
        <w:t>，</w:t>
      </w:r>
      <w:r>
        <w:rPr>
          <w:rFonts w:hint="eastAsia"/>
          <w:color w:val="auto"/>
        </w:rPr>
        <w:t>污水厂进出水水质要求见表2.2-1。</w:t>
      </w:r>
    </w:p>
    <w:p w14:paraId="158AE543">
      <w:pPr>
        <w:pStyle w:val="32"/>
        <w:spacing w:before="156"/>
        <w:rPr>
          <w:rFonts w:ascii="Arial" w:hAnsi="Arial" w:cs="Arial"/>
          <w:color w:val="auto"/>
          <w:sz w:val="21"/>
          <w:szCs w:val="21"/>
        </w:rPr>
      </w:pPr>
      <w:r>
        <w:rPr>
          <w:rFonts w:hint="eastAsia"/>
          <w:color w:val="auto"/>
        </w:rPr>
        <w:t>表2.2-1</w:t>
      </w:r>
      <w:r>
        <w:rPr>
          <w:rFonts w:hint="eastAsia"/>
          <w:color w:val="auto"/>
          <w:szCs w:val="24"/>
          <w:lang w:eastAsia="zh-CN"/>
        </w:rPr>
        <w:t>资溪县生活污水处理厂</w:t>
      </w:r>
      <w:r>
        <w:rPr>
          <w:rFonts w:hint="eastAsia"/>
          <w:color w:val="auto"/>
        </w:rPr>
        <w:t xml:space="preserve">进出水水质要求 </w:t>
      </w:r>
      <w:r>
        <w:rPr>
          <w:rFonts w:hint="eastAsia" w:ascii="Arial" w:hAnsi="Arial" w:cs="Arial"/>
          <w:color w:val="auto"/>
          <w:sz w:val="21"/>
          <w:szCs w:val="21"/>
        </w:rPr>
        <w:t>单位：</w:t>
      </w:r>
      <w:r>
        <w:rPr>
          <w:rFonts w:ascii="Arial" w:hAnsi="Arial" w:cs="Arial"/>
          <w:color w:val="auto"/>
          <w:sz w:val="21"/>
          <w:szCs w:val="21"/>
        </w:rPr>
        <w:t>mg/L</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07"/>
        <w:gridCol w:w="1050"/>
        <w:gridCol w:w="1050"/>
        <w:gridCol w:w="1047"/>
        <w:gridCol w:w="1055"/>
        <w:gridCol w:w="597"/>
        <w:gridCol w:w="956"/>
        <w:gridCol w:w="957"/>
      </w:tblGrid>
      <w:tr w14:paraId="2C871A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2" w:hRule="atLeast"/>
          <w:jc w:val="center"/>
        </w:trPr>
        <w:tc>
          <w:tcPr>
            <w:tcW w:w="1060" w:type="pct"/>
            <w:tcBorders>
              <w:top w:val="single" w:color="auto" w:sz="12" w:space="0"/>
              <w:bottom w:val="single" w:color="auto" w:sz="4" w:space="0"/>
              <w:tl2br w:val="single" w:color="auto" w:sz="4" w:space="0"/>
            </w:tcBorders>
            <w:vAlign w:val="top"/>
          </w:tcPr>
          <w:p w14:paraId="08F14958">
            <w:pPr>
              <w:keepNext w:val="0"/>
              <w:keepLines w:val="0"/>
              <w:pageBreakBefore w:val="0"/>
              <w:widowControl w:val="0"/>
              <w:tabs>
                <w:tab w:val="left" w:pos="3225"/>
              </w:tabs>
              <w:kinsoku/>
              <w:wordWrap/>
              <w:overflowPunct/>
              <w:topLinePunct w:val="0"/>
              <w:autoSpaceDE/>
              <w:autoSpaceDN/>
              <w:bidi w:val="0"/>
              <w:adjustRightInd/>
              <w:snapToGrid w:val="0"/>
              <w:spacing w:line="240" w:lineRule="auto"/>
              <w:ind w:firstLine="0" w:firstLineChars="0"/>
              <w:jc w:val="center"/>
              <w:textAlignment w:val="auto"/>
              <w:rPr>
                <w:b/>
                <w:color w:val="auto"/>
                <w:sz w:val="21"/>
                <w:szCs w:val="21"/>
              </w:rPr>
            </w:pPr>
            <w:r>
              <w:rPr>
                <w:rFonts w:hint="eastAsia"/>
                <w:b/>
                <w:color w:val="auto"/>
                <w:sz w:val="21"/>
                <w:szCs w:val="21"/>
              </w:rPr>
              <w:t xml:space="preserve">       </w:t>
            </w:r>
            <w:r>
              <w:rPr>
                <w:b/>
                <w:color w:val="auto"/>
                <w:sz w:val="21"/>
                <w:szCs w:val="21"/>
              </w:rPr>
              <w:t>水质指标</w:t>
            </w:r>
          </w:p>
          <w:p w14:paraId="5AAD4073">
            <w:pPr>
              <w:keepNext w:val="0"/>
              <w:keepLines w:val="0"/>
              <w:pageBreakBefore w:val="0"/>
              <w:widowControl w:val="0"/>
              <w:tabs>
                <w:tab w:val="left" w:pos="3225"/>
              </w:tabs>
              <w:kinsoku/>
              <w:wordWrap/>
              <w:overflowPunct/>
              <w:topLinePunct w:val="0"/>
              <w:autoSpaceDE/>
              <w:autoSpaceDN/>
              <w:bidi w:val="0"/>
              <w:adjustRightInd/>
              <w:snapToGrid w:val="0"/>
              <w:spacing w:line="240" w:lineRule="auto"/>
              <w:ind w:firstLine="0" w:firstLineChars="0"/>
              <w:jc w:val="both"/>
              <w:textAlignment w:val="auto"/>
              <w:rPr>
                <w:b/>
                <w:color w:val="auto"/>
                <w:sz w:val="21"/>
                <w:szCs w:val="21"/>
              </w:rPr>
            </w:pPr>
            <w:r>
              <w:rPr>
                <w:b/>
                <w:color w:val="auto"/>
                <w:sz w:val="21"/>
                <w:szCs w:val="21"/>
              </w:rPr>
              <w:t>类别</w:t>
            </w:r>
          </w:p>
        </w:tc>
        <w:tc>
          <w:tcPr>
            <w:tcW w:w="616" w:type="pct"/>
            <w:tcBorders>
              <w:top w:val="single" w:color="auto" w:sz="12" w:space="0"/>
              <w:bottom w:val="single" w:color="auto" w:sz="4" w:space="0"/>
            </w:tcBorders>
            <w:vAlign w:val="center"/>
          </w:tcPr>
          <w:p w14:paraId="2D9DCEC8">
            <w:pPr>
              <w:keepNext w:val="0"/>
              <w:keepLines w:val="0"/>
              <w:pageBreakBefore w:val="0"/>
              <w:widowControl w:val="0"/>
              <w:tabs>
                <w:tab w:val="left" w:pos="3225"/>
              </w:tabs>
              <w:kinsoku/>
              <w:wordWrap/>
              <w:overflowPunct/>
              <w:topLinePunct w:val="0"/>
              <w:autoSpaceDE/>
              <w:autoSpaceDN/>
              <w:bidi w:val="0"/>
              <w:adjustRightInd/>
              <w:spacing w:line="240" w:lineRule="auto"/>
              <w:ind w:firstLine="0" w:firstLineChars="0"/>
              <w:jc w:val="center"/>
              <w:textAlignment w:val="auto"/>
              <w:rPr>
                <w:b/>
                <w:color w:val="auto"/>
                <w:sz w:val="21"/>
                <w:szCs w:val="21"/>
              </w:rPr>
            </w:pPr>
            <w:r>
              <w:rPr>
                <w:b/>
                <w:color w:val="auto"/>
                <w:sz w:val="21"/>
                <w:szCs w:val="21"/>
              </w:rPr>
              <w:t>SS</w:t>
            </w:r>
          </w:p>
        </w:tc>
        <w:tc>
          <w:tcPr>
            <w:tcW w:w="616" w:type="pct"/>
            <w:tcBorders>
              <w:top w:val="single" w:color="auto" w:sz="12" w:space="0"/>
              <w:bottom w:val="single" w:color="auto" w:sz="4" w:space="0"/>
            </w:tcBorders>
            <w:vAlign w:val="center"/>
          </w:tcPr>
          <w:p w14:paraId="2C47ED43">
            <w:pPr>
              <w:keepNext w:val="0"/>
              <w:keepLines w:val="0"/>
              <w:pageBreakBefore w:val="0"/>
              <w:widowControl w:val="0"/>
              <w:tabs>
                <w:tab w:val="left" w:pos="3225"/>
              </w:tabs>
              <w:kinsoku/>
              <w:wordWrap/>
              <w:overflowPunct/>
              <w:topLinePunct w:val="0"/>
              <w:autoSpaceDE/>
              <w:autoSpaceDN/>
              <w:bidi w:val="0"/>
              <w:adjustRightInd/>
              <w:spacing w:line="240" w:lineRule="auto"/>
              <w:ind w:firstLine="0" w:firstLineChars="0"/>
              <w:jc w:val="center"/>
              <w:textAlignment w:val="auto"/>
              <w:rPr>
                <w:b/>
                <w:color w:val="auto"/>
                <w:sz w:val="21"/>
                <w:szCs w:val="21"/>
              </w:rPr>
            </w:pPr>
            <w:r>
              <w:rPr>
                <w:b/>
                <w:color w:val="auto"/>
                <w:sz w:val="21"/>
                <w:szCs w:val="21"/>
              </w:rPr>
              <w:t>COD</w:t>
            </w:r>
          </w:p>
        </w:tc>
        <w:tc>
          <w:tcPr>
            <w:tcW w:w="614" w:type="pct"/>
            <w:tcBorders>
              <w:top w:val="single" w:color="auto" w:sz="12" w:space="0"/>
              <w:bottom w:val="single" w:color="auto" w:sz="4" w:space="0"/>
            </w:tcBorders>
            <w:vAlign w:val="center"/>
          </w:tcPr>
          <w:p w14:paraId="070C4A34">
            <w:pPr>
              <w:keepNext w:val="0"/>
              <w:keepLines w:val="0"/>
              <w:pageBreakBefore w:val="0"/>
              <w:widowControl w:val="0"/>
              <w:tabs>
                <w:tab w:val="left" w:pos="3225"/>
              </w:tabs>
              <w:kinsoku/>
              <w:wordWrap/>
              <w:overflowPunct/>
              <w:topLinePunct w:val="0"/>
              <w:autoSpaceDE/>
              <w:autoSpaceDN/>
              <w:bidi w:val="0"/>
              <w:adjustRightInd/>
              <w:spacing w:line="240" w:lineRule="auto"/>
              <w:ind w:firstLine="0" w:firstLineChars="0"/>
              <w:jc w:val="center"/>
              <w:textAlignment w:val="auto"/>
              <w:rPr>
                <w:b/>
                <w:color w:val="auto"/>
                <w:sz w:val="21"/>
                <w:szCs w:val="21"/>
              </w:rPr>
            </w:pPr>
            <w:r>
              <w:rPr>
                <w:b/>
                <w:color w:val="auto"/>
                <w:sz w:val="21"/>
                <w:szCs w:val="21"/>
              </w:rPr>
              <w:t>BOD</w:t>
            </w:r>
            <w:r>
              <w:rPr>
                <w:b/>
                <w:color w:val="auto"/>
                <w:sz w:val="21"/>
                <w:szCs w:val="21"/>
                <w:vertAlign w:val="subscript"/>
              </w:rPr>
              <w:t>5</w:t>
            </w:r>
          </w:p>
        </w:tc>
        <w:tc>
          <w:tcPr>
            <w:tcW w:w="619" w:type="pct"/>
            <w:tcBorders>
              <w:top w:val="single" w:color="auto" w:sz="12" w:space="0"/>
              <w:bottom w:val="single" w:color="auto" w:sz="4" w:space="0"/>
            </w:tcBorders>
            <w:vAlign w:val="center"/>
          </w:tcPr>
          <w:p w14:paraId="0E230DEE">
            <w:pPr>
              <w:keepNext w:val="0"/>
              <w:keepLines w:val="0"/>
              <w:pageBreakBefore w:val="0"/>
              <w:widowControl w:val="0"/>
              <w:tabs>
                <w:tab w:val="left" w:pos="3225"/>
              </w:tabs>
              <w:kinsoku/>
              <w:wordWrap/>
              <w:overflowPunct/>
              <w:topLinePunct w:val="0"/>
              <w:autoSpaceDE/>
              <w:autoSpaceDN/>
              <w:bidi w:val="0"/>
              <w:adjustRightInd/>
              <w:spacing w:line="240" w:lineRule="auto"/>
              <w:ind w:firstLine="0" w:firstLineChars="0"/>
              <w:jc w:val="center"/>
              <w:textAlignment w:val="auto"/>
              <w:rPr>
                <w:b/>
                <w:color w:val="auto"/>
                <w:sz w:val="21"/>
                <w:szCs w:val="21"/>
              </w:rPr>
            </w:pPr>
            <w:r>
              <w:rPr>
                <w:b/>
                <w:color w:val="auto"/>
                <w:sz w:val="21"/>
                <w:szCs w:val="21"/>
              </w:rPr>
              <w:t>NH</w:t>
            </w:r>
            <w:r>
              <w:rPr>
                <w:b/>
                <w:color w:val="auto"/>
                <w:sz w:val="21"/>
                <w:szCs w:val="21"/>
                <w:vertAlign w:val="subscript"/>
              </w:rPr>
              <w:t>3</w:t>
            </w:r>
            <w:r>
              <w:rPr>
                <w:b/>
                <w:color w:val="auto"/>
                <w:sz w:val="21"/>
                <w:szCs w:val="21"/>
              </w:rPr>
              <w:t>-N</w:t>
            </w:r>
          </w:p>
        </w:tc>
        <w:tc>
          <w:tcPr>
            <w:tcW w:w="350" w:type="pct"/>
            <w:tcBorders>
              <w:top w:val="single" w:color="auto" w:sz="12" w:space="0"/>
              <w:bottom w:val="single" w:color="auto" w:sz="4" w:space="0"/>
            </w:tcBorders>
            <w:vAlign w:val="center"/>
          </w:tcPr>
          <w:p w14:paraId="72FB7162">
            <w:pPr>
              <w:keepNext w:val="0"/>
              <w:keepLines w:val="0"/>
              <w:pageBreakBefore w:val="0"/>
              <w:widowControl w:val="0"/>
              <w:tabs>
                <w:tab w:val="left" w:pos="3225"/>
              </w:tabs>
              <w:kinsoku/>
              <w:wordWrap/>
              <w:overflowPunct/>
              <w:topLinePunct w:val="0"/>
              <w:autoSpaceDE/>
              <w:autoSpaceDN/>
              <w:bidi w:val="0"/>
              <w:adjustRightInd/>
              <w:spacing w:line="240" w:lineRule="auto"/>
              <w:ind w:firstLine="0" w:firstLineChars="0"/>
              <w:jc w:val="center"/>
              <w:textAlignment w:val="auto"/>
              <w:rPr>
                <w:b/>
                <w:color w:val="auto"/>
                <w:sz w:val="21"/>
                <w:szCs w:val="21"/>
              </w:rPr>
            </w:pPr>
            <w:r>
              <w:rPr>
                <w:b/>
                <w:color w:val="auto"/>
                <w:sz w:val="21"/>
                <w:szCs w:val="21"/>
              </w:rPr>
              <w:t>TP</w:t>
            </w:r>
          </w:p>
        </w:tc>
        <w:tc>
          <w:tcPr>
            <w:tcW w:w="561" w:type="pct"/>
            <w:tcBorders>
              <w:top w:val="single" w:color="auto" w:sz="12" w:space="0"/>
              <w:bottom w:val="single" w:color="auto" w:sz="4" w:space="0"/>
            </w:tcBorders>
            <w:vAlign w:val="center"/>
          </w:tcPr>
          <w:p w14:paraId="2FDA8726">
            <w:pPr>
              <w:keepNext w:val="0"/>
              <w:keepLines w:val="0"/>
              <w:pageBreakBefore w:val="0"/>
              <w:widowControl w:val="0"/>
              <w:tabs>
                <w:tab w:val="left" w:pos="3225"/>
              </w:tabs>
              <w:kinsoku/>
              <w:wordWrap/>
              <w:overflowPunct/>
              <w:topLinePunct w:val="0"/>
              <w:autoSpaceDE/>
              <w:autoSpaceDN/>
              <w:bidi w:val="0"/>
              <w:adjustRightInd/>
              <w:spacing w:line="240" w:lineRule="auto"/>
              <w:ind w:firstLine="0" w:firstLineChars="0"/>
              <w:jc w:val="center"/>
              <w:textAlignment w:val="auto"/>
              <w:rPr>
                <w:rFonts w:hint="eastAsia"/>
                <w:b/>
                <w:color w:val="auto"/>
                <w:sz w:val="21"/>
                <w:szCs w:val="21"/>
              </w:rPr>
            </w:pPr>
            <w:r>
              <w:rPr>
                <w:rFonts w:hint="eastAsia"/>
                <w:b/>
                <w:color w:val="auto"/>
                <w:sz w:val="21"/>
                <w:szCs w:val="21"/>
              </w:rPr>
              <w:t>TN</w:t>
            </w:r>
          </w:p>
        </w:tc>
        <w:tc>
          <w:tcPr>
            <w:tcW w:w="561" w:type="pct"/>
            <w:tcBorders>
              <w:top w:val="single" w:color="auto" w:sz="12" w:space="0"/>
              <w:bottom w:val="single" w:color="auto" w:sz="4" w:space="0"/>
            </w:tcBorders>
            <w:vAlign w:val="center"/>
          </w:tcPr>
          <w:p w14:paraId="191009BB">
            <w:pPr>
              <w:keepNext w:val="0"/>
              <w:keepLines w:val="0"/>
              <w:pageBreakBefore w:val="0"/>
              <w:widowControl w:val="0"/>
              <w:tabs>
                <w:tab w:val="left" w:pos="3225"/>
              </w:tabs>
              <w:kinsoku/>
              <w:wordWrap/>
              <w:overflowPunct/>
              <w:topLinePunct w:val="0"/>
              <w:autoSpaceDE/>
              <w:autoSpaceDN/>
              <w:bidi w:val="0"/>
              <w:adjustRightInd/>
              <w:spacing w:line="240" w:lineRule="auto"/>
              <w:ind w:firstLine="0" w:firstLineChars="0"/>
              <w:jc w:val="center"/>
              <w:textAlignment w:val="auto"/>
              <w:rPr>
                <w:rFonts w:hint="default" w:eastAsia="宋体"/>
                <w:b/>
                <w:color w:val="auto"/>
                <w:sz w:val="21"/>
                <w:szCs w:val="21"/>
                <w:lang w:val="en-US" w:eastAsia="zh-CN"/>
              </w:rPr>
            </w:pPr>
            <w:r>
              <w:rPr>
                <w:rFonts w:hint="eastAsia"/>
                <w:b/>
                <w:color w:val="auto"/>
                <w:sz w:val="21"/>
                <w:szCs w:val="21"/>
                <w:lang w:val="en-US" w:eastAsia="zh-CN"/>
              </w:rPr>
              <w:t>pH</w:t>
            </w:r>
          </w:p>
        </w:tc>
      </w:tr>
      <w:tr w14:paraId="745517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060" w:type="pct"/>
            <w:tcBorders>
              <w:top w:val="single" w:color="auto" w:sz="4" w:space="0"/>
              <w:bottom w:val="single" w:color="auto" w:sz="4" w:space="0"/>
            </w:tcBorders>
            <w:vAlign w:val="center"/>
          </w:tcPr>
          <w:p w14:paraId="7F695265">
            <w:pPr>
              <w:keepNext w:val="0"/>
              <w:keepLines w:val="0"/>
              <w:pageBreakBefore w:val="0"/>
              <w:widowControl w:val="0"/>
              <w:tabs>
                <w:tab w:val="left" w:pos="3225"/>
              </w:tabs>
              <w:kinsoku/>
              <w:wordWrap/>
              <w:overflowPunct/>
              <w:topLinePunct w:val="0"/>
              <w:autoSpaceDE/>
              <w:autoSpaceDN/>
              <w:bidi w:val="0"/>
              <w:adjustRightInd/>
              <w:spacing w:line="240" w:lineRule="auto"/>
              <w:ind w:firstLine="0" w:firstLineChars="0"/>
              <w:jc w:val="center"/>
              <w:textAlignment w:val="auto"/>
              <w:rPr>
                <w:color w:val="auto"/>
                <w:sz w:val="21"/>
                <w:szCs w:val="21"/>
              </w:rPr>
            </w:pPr>
            <w:r>
              <w:rPr>
                <w:color w:val="auto"/>
                <w:sz w:val="21"/>
                <w:szCs w:val="21"/>
              </w:rPr>
              <w:t>进水水质</w:t>
            </w:r>
          </w:p>
        </w:tc>
        <w:tc>
          <w:tcPr>
            <w:tcW w:w="616" w:type="pct"/>
            <w:tcBorders>
              <w:top w:val="single" w:color="auto" w:sz="4" w:space="0"/>
              <w:bottom w:val="single" w:color="auto" w:sz="4" w:space="0"/>
            </w:tcBorders>
            <w:vAlign w:val="center"/>
          </w:tcPr>
          <w:p w14:paraId="127A5F67">
            <w:pPr>
              <w:keepNext w:val="0"/>
              <w:keepLines w:val="0"/>
              <w:pageBreakBefore w:val="0"/>
              <w:widowControl w:val="0"/>
              <w:tabs>
                <w:tab w:val="left" w:pos="3225"/>
              </w:tabs>
              <w:kinsoku/>
              <w:wordWrap/>
              <w:overflowPunct/>
              <w:topLinePunct w:val="0"/>
              <w:autoSpaceDE/>
              <w:autoSpaceDN/>
              <w:bidi w:val="0"/>
              <w:adjustRightInd/>
              <w:spacing w:line="240" w:lineRule="auto"/>
              <w:ind w:firstLine="0" w:firstLineChars="0"/>
              <w:jc w:val="center"/>
              <w:textAlignment w:val="auto"/>
              <w:rPr>
                <w:color w:val="auto"/>
                <w:sz w:val="21"/>
                <w:szCs w:val="21"/>
              </w:rPr>
            </w:pPr>
            <w:r>
              <w:rPr>
                <w:color w:val="auto"/>
                <w:sz w:val="21"/>
                <w:szCs w:val="21"/>
              </w:rPr>
              <w:t>200</w:t>
            </w:r>
          </w:p>
        </w:tc>
        <w:tc>
          <w:tcPr>
            <w:tcW w:w="616" w:type="pct"/>
            <w:tcBorders>
              <w:top w:val="single" w:color="auto" w:sz="4" w:space="0"/>
              <w:bottom w:val="single" w:color="auto" w:sz="4" w:space="0"/>
            </w:tcBorders>
            <w:vAlign w:val="center"/>
          </w:tcPr>
          <w:p w14:paraId="40AABF99">
            <w:pPr>
              <w:keepNext w:val="0"/>
              <w:keepLines w:val="0"/>
              <w:pageBreakBefore w:val="0"/>
              <w:widowControl w:val="0"/>
              <w:tabs>
                <w:tab w:val="left" w:pos="3225"/>
              </w:tabs>
              <w:kinsoku/>
              <w:wordWrap/>
              <w:overflowPunct/>
              <w:topLinePunct w:val="0"/>
              <w:autoSpaceDE/>
              <w:autoSpaceDN/>
              <w:bidi w:val="0"/>
              <w:adjustRightInd/>
              <w:spacing w:line="240" w:lineRule="auto"/>
              <w:ind w:firstLine="0" w:firstLineChars="0"/>
              <w:jc w:val="center"/>
              <w:textAlignment w:val="auto"/>
              <w:rPr>
                <w:color w:val="auto"/>
                <w:sz w:val="21"/>
                <w:szCs w:val="21"/>
              </w:rPr>
            </w:pPr>
            <w:r>
              <w:rPr>
                <w:rFonts w:hint="eastAsia"/>
                <w:color w:val="auto"/>
                <w:sz w:val="21"/>
                <w:szCs w:val="21"/>
              </w:rPr>
              <w:t>2</w:t>
            </w:r>
            <w:r>
              <w:rPr>
                <w:rFonts w:hint="eastAsia"/>
                <w:color w:val="auto"/>
                <w:sz w:val="21"/>
                <w:szCs w:val="21"/>
                <w:lang w:val="en-US" w:eastAsia="zh-CN"/>
              </w:rPr>
              <w:t>2</w:t>
            </w:r>
            <w:r>
              <w:rPr>
                <w:rFonts w:hint="eastAsia"/>
                <w:color w:val="auto"/>
                <w:sz w:val="21"/>
                <w:szCs w:val="21"/>
              </w:rPr>
              <w:t>0</w:t>
            </w:r>
          </w:p>
        </w:tc>
        <w:tc>
          <w:tcPr>
            <w:tcW w:w="614" w:type="pct"/>
            <w:tcBorders>
              <w:top w:val="single" w:color="auto" w:sz="4" w:space="0"/>
              <w:bottom w:val="single" w:color="auto" w:sz="4" w:space="0"/>
            </w:tcBorders>
            <w:vAlign w:val="center"/>
          </w:tcPr>
          <w:p w14:paraId="5F10F086">
            <w:pPr>
              <w:keepNext w:val="0"/>
              <w:keepLines w:val="0"/>
              <w:pageBreakBefore w:val="0"/>
              <w:widowControl w:val="0"/>
              <w:tabs>
                <w:tab w:val="left" w:pos="3225"/>
              </w:tabs>
              <w:kinsoku/>
              <w:wordWrap/>
              <w:overflowPunct/>
              <w:topLinePunct w:val="0"/>
              <w:autoSpaceDE/>
              <w:autoSpaceDN/>
              <w:bidi w:val="0"/>
              <w:adjustRightInd/>
              <w:spacing w:line="240" w:lineRule="auto"/>
              <w:ind w:firstLine="0" w:firstLineChars="0"/>
              <w:jc w:val="center"/>
              <w:textAlignment w:val="auto"/>
              <w:rPr>
                <w:color w:val="auto"/>
                <w:sz w:val="21"/>
                <w:szCs w:val="21"/>
              </w:rPr>
            </w:pPr>
            <w:r>
              <w:rPr>
                <w:rFonts w:hint="eastAsia"/>
                <w:color w:val="auto"/>
                <w:sz w:val="21"/>
                <w:szCs w:val="21"/>
              </w:rPr>
              <w:t>1</w:t>
            </w:r>
            <w:r>
              <w:rPr>
                <w:rFonts w:hint="eastAsia"/>
                <w:color w:val="auto"/>
                <w:sz w:val="21"/>
                <w:szCs w:val="21"/>
                <w:lang w:val="en-US" w:eastAsia="zh-CN"/>
              </w:rPr>
              <w:t>2</w:t>
            </w:r>
            <w:r>
              <w:rPr>
                <w:rFonts w:hint="eastAsia"/>
                <w:color w:val="auto"/>
                <w:sz w:val="21"/>
                <w:szCs w:val="21"/>
              </w:rPr>
              <w:t>0</w:t>
            </w:r>
          </w:p>
        </w:tc>
        <w:tc>
          <w:tcPr>
            <w:tcW w:w="619" w:type="pct"/>
            <w:tcBorders>
              <w:top w:val="single" w:color="auto" w:sz="4" w:space="0"/>
              <w:bottom w:val="single" w:color="auto" w:sz="4" w:space="0"/>
            </w:tcBorders>
            <w:vAlign w:val="center"/>
          </w:tcPr>
          <w:p w14:paraId="21F2A46B">
            <w:pPr>
              <w:keepNext w:val="0"/>
              <w:keepLines w:val="0"/>
              <w:pageBreakBefore w:val="0"/>
              <w:widowControl w:val="0"/>
              <w:tabs>
                <w:tab w:val="left" w:pos="3225"/>
              </w:tabs>
              <w:kinsoku/>
              <w:wordWrap/>
              <w:overflowPunct/>
              <w:topLinePunct w:val="0"/>
              <w:autoSpaceDE/>
              <w:autoSpaceDN/>
              <w:bidi w:val="0"/>
              <w:adjustRightInd/>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25</w:t>
            </w:r>
          </w:p>
        </w:tc>
        <w:tc>
          <w:tcPr>
            <w:tcW w:w="350" w:type="pct"/>
            <w:tcBorders>
              <w:top w:val="single" w:color="auto" w:sz="4" w:space="0"/>
              <w:bottom w:val="single" w:color="auto" w:sz="4" w:space="0"/>
            </w:tcBorders>
            <w:vAlign w:val="center"/>
          </w:tcPr>
          <w:p w14:paraId="7A3EAC45">
            <w:pPr>
              <w:keepNext w:val="0"/>
              <w:keepLines w:val="0"/>
              <w:pageBreakBefore w:val="0"/>
              <w:widowControl w:val="0"/>
              <w:tabs>
                <w:tab w:val="left" w:pos="3225"/>
              </w:tabs>
              <w:kinsoku/>
              <w:wordWrap/>
              <w:overflowPunct/>
              <w:topLinePunct w:val="0"/>
              <w:autoSpaceDE/>
              <w:autoSpaceDN/>
              <w:bidi w:val="0"/>
              <w:adjustRightInd/>
              <w:spacing w:line="240" w:lineRule="auto"/>
              <w:ind w:firstLine="0" w:firstLineChars="0"/>
              <w:jc w:val="center"/>
              <w:textAlignment w:val="auto"/>
              <w:rPr>
                <w:color w:val="auto"/>
                <w:sz w:val="21"/>
                <w:szCs w:val="21"/>
              </w:rPr>
            </w:pPr>
            <w:r>
              <w:rPr>
                <w:rFonts w:hint="eastAsia"/>
                <w:color w:val="auto"/>
                <w:sz w:val="21"/>
                <w:szCs w:val="21"/>
              </w:rPr>
              <w:t>3</w:t>
            </w:r>
          </w:p>
        </w:tc>
        <w:tc>
          <w:tcPr>
            <w:tcW w:w="561" w:type="pct"/>
            <w:tcBorders>
              <w:top w:val="single" w:color="auto" w:sz="4" w:space="0"/>
              <w:bottom w:val="single" w:color="auto" w:sz="4" w:space="0"/>
            </w:tcBorders>
            <w:vAlign w:val="center"/>
          </w:tcPr>
          <w:p w14:paraId="3BAA78DE">
            <w:pPr>
              <w:keepNext w:val="0"/>
              <w:keepLines w:val="0"/>
              <w:pageBreakBefore w:val="0"/>
              <w:widowControl w:val="0"/>
              <w:tabs>
                <w:tab w:val="left" w:pos="3225"/>
              </w:tabs>
              <w:kinsoku/>
              <w:wordWrap/>
              <w:overflowPunct/>
              <w:topLinePunct w:val="0"/>
              <w:autoSpaceDE/>
              <w:autoSpaceDN/>
              <w:bidi w:val="0"/>
              <w:adjustRightInd/>
              <w:spacing w:line="240" w:lineRule="auto"/>
              <w:ind w:firstLine="0" w:firstLineChars="0"/>
              <w:jc w:val="center"/>
              <w:textAlignment w:val="auto"/>
              <w:rPr>
                <w:rFonts w:hint="eastAsia"/>
                <w:color w:val="auto"/>
                <w:sz w:val="21"/>
                <w:szCs w:val="21"/>
              </w:rPr>
            </w:pPr>
            <w:r>
              <w:rPr>
                <w:rFonts w:hint="eastAsia"/>
                <w:color w:val="auto"/>
                <w:sz w:val="21"/>
                <w:szCs w:val="21"/>
              </w:rPr>
              <w:t>35</w:t>
            </w:r>
          </w:p>
        </w:tc>
        <w:tc>
          <w:tcPr>
            <w:tcW w:w="561" w:type="pct"/>
            <w:tcBorders>
              <w:top w:val="single" w:color="auto" w:sz="4" w:space="0"/>
              <w:bottom w:val="single" w:color="auto" w:sz="4" w:space="0"/>
            </w:tcBorders>
            <w:vAlign w:val="center"/>
          </w:tcPr>
          <w:p w14:paraId="3F6E26A7">
            <w:pPr>
              <w:keepNext w:val="0"/>
              <w:keepLines w:val="0"/>
              <w:pageBreakBefore w:val="0"/>
              <w:widowControl w:val="0"/>
              <w:tabs>
                <w:tab w:val="left" w:pos="3225"/>
              </w:tabs>
              <w:kinsoku/>
              <w:wordWrap/>
              <w:overflowPunct/>
              <w:topLinePunct w:val="0"/>
              <w:autoSpaceDE/>
              <w:autoSpaceDN/>
              <w:bidi w:val="0"/>
              <w:adjustRightInd/>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6~9</w:t>
            </w:r>
          </w:p>
        </w:tc>
      </w:tr>
      <w:tr w14:paraId="7426A5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91" w:hRule="atLeast"/>
          <w:jc w:val="center"/>
        </w:trPr>
        <w:tc>
          <w:tcPr>
            <w:tcW w:w="1060" w:type="pct"/>
            <w:tcBorders>
              <w:top w:val="single" w:color="auto" w:sz="4" w:space="0"/>
              <w:bottom w:val="single" w:color="auto" w:sz="12" w:space="0"/>
            </w:tcBorders>
            <w:vAlign w:val="center"/>
          </w:tcPr>
          <w:p w14:paraId="1C4992B0">
            <w:pPr>
              <w:keepNext w:val="0"/>
              <w:keepLines w:val="0"/>
              <w:pageBreakBefore w:val="0"/>
              <w:widowControl w:val="0"/>
              <w:tabs>
                <w:tab w:val="left" w:pos="3225"/>
              </w:tabs>
              <w:kinsoku/>
              <w:wordWrap/>
              <w:overflowPunct/>
              <w:topLinePunct w:val="0"/>
              <w:autoSpaceDE/>
              <w:autoSpaceDN/>
              <w:bidi w:val="0"/>
              <w:adjustRightInd/>
              <w:spacing w:line="240" w:lineRule="auto"/>
              <w:ind w:firstLine="0" w:firstLineChars="0"/>
              <w:jc w:val="center"/>
              <w:textAlignment w:val="auto"/>
              <w:rPr>
                <w:color w:val="auto"/>
                <w:sz w:val="21"/>
                <w:szCs w:val="21"/>
              </w:rPr>
            </w:pPr>
            <w:r>
              <w:rPr>
                <w:color w:val="auto"/>
                <w:sz w:val="21"/>
                <w:szCs w:val="21"/>
              </w:rPr>
              <w:t>出水水质</w:t>
            </w:r>
          </w:p>
        </w:tc>
        <w:tc>
          <w:tcPr>
            <w:tcW w:w="616" w:type="pct"/>
            <w:tcBorders>
              <w:top w:val="single" w:color="auto" w:sz="4" w:space="0"/>
              <w:bottom w:val="single" w:color="auto" w:sz="12" w:space="0"/>
            </w:tcBorders>
            <w:vAlign w:val="center"/>
          </w:tcPr>
          <w:p w14:paraId="1C8EBD28">
            <w:pPr>
              <w:keepNext w:val="0"/>
              <w:keepLines w:val="0"/>
              <w:pageBreakBefore w:val="0"/>
              <w:widowControl w:val="0"/>
              <w:tabs>
                <w:tab w:val="left" w:pos="3225"/>
              </w:tabs>
              <w:kinsoku/>
              <w:wordWrap/>
              <w:overflowPunct/>
              <w:topLinePunct w:val="0"/>
              <w:autoSpaceDE/>
              <w:autoSpaceDN/>
              <w:bidi w:val="0"/>
              <w:adjustRightInd/>
              <w:spacing w:line="240" w:lineRule="auto"/>
              <w:ind w:firstLine="0" w:firstLineChars="0"/>
              <w:jc w:val="center"/>
              <w:textAlignment w:val="auto"/>
              <w:rPr>
                <w:color w:val="auto"/>
                <w:sz w:val="21"/>
                <w:szCs w:val="21"/>
              </w:rPr>
            </w:pPr>
            <w:r>
              <w:rPr>
                <w:color w:val="auto"/>
                <w:sz w:val="21"/>
                <w:szCs w:val="21"/>
              </w:rPr>
              <w:t>10</w:t>
            </w:r>
          </w:p>
        </w:tc>
        <w:tc>
          <w:tcPr>
            <w:tcW w:w="616" w:type="pct"/>
            <w:tcBorders>
              <w:top w:val="single" w:color="auto" w:sz="4" w:space="0"/>
              <w:bottom w:val="single" w:color="auto" w:sz="12" w:space="0"/>
            </w:tcBorders>
            <w:vAlign w:val="center"/>
          </w:tcPr>
          <w:p w14:paraId="36255264">
            <w:pPr>
              <w:keepNext w:val="0"/>
              <w:keepLines w:val="0"/>
              <w:pageBreakBefore w:val="0"/>
              <w:widowControl w:val="0"/>
              <w:tabs>
                <w:tab w:val="left" w:pos="3225"/>
              </w:tabs>
              <w:kinsoku/>
              <w:wordWrap/>
              <w:overflowPunct/>
              <w:topLinePunct w:val="0"/>
              <w:autoSpaceDE/>
              <w:autoSpaceDN/>
              <w:bidi w:val="0"/>
              <w:adjustRightInd/>
              <w:spacing w:line="240" w:lineRule="auto"/>
              <w:ind w:firstLine="0" w:firstLineChars="0"/>
              <w:jc w:val="center"/>
              <w:textAlignment w:val="auto"/>
              <w:rPr>
                <w:color w:val="auto"/>
                <w:sz w:val="21"/>
                <w:szCs w:val="21"/>
              </w:rPr>
            </w:pPr>
            <w:r>
              <w:rPr>
                <w:color w:val="auto"/>
                <w:sz w:val="21"/>
                <w:szCs w:val="21"/>
              </w:rPr>
              <w:t>50</w:t>
            </w:r>
          </w:p>
        </w:tc>
        <w:tc>
          <w:tcPr>
            <w:tcW w:w="614" w:type="pct"/>
            <w:tcBorders>
              <w:top w:val="single" w:color="auto" w:sz="4" w:space="0"/>
              <w:bottom w:val="single" w:color="auto" w:sz="12" w:space="0"/>
            </w:tcBorders>
            <w:vAlign w:val="center"/>
          </w:tcPr>
          <w:p w14:paraId="75F14062">
            <w:pPr>
              <w:keepNext w:val="0"/>
              <w:keepLines w:val="0"/>
              <w:pageBreakBefore w:val="0"/>
              <w:widowControl w:val="0"/>
              <w:tabs>
                <w:tab w:val="left" w:pos="3225"/>
              </w:tabs>
              <w:kinsoku/>
              <w:wordWrap/>
              <w:overflowPunct/>
              <w:topLinePunct w:val="0"/>
              <w:autoSpaceDE/>
              <w:autoSpaceDN/>
              <w:bidi w:val="0"/>
              <w:adjustRightInd/>
              <w:spacing w:line="240" w:lineRule="auto"/>
              <w:ind w:firstLine="0" w:firstLineChars="0"/>
              <w:jc w:val="center"/>
              <w:textAlignment w:val="auto"/>
              <w:rPr>
                <w:color w:val="auto"/>
                <w:sz w:val="21"/>
                <w:szCs w:val="21"/>
              </w:rPr>
            </w:pPr>
            <w:r>
              <w:rPr>
                <w:color w:val="auto"/>
                <w:sz w:val="21"/>
                <w:szCs w:val="21"/>
              </w:rPr>
              <w:t>10</w:t>
            </w:r>
          </w:p>
        </w:tc>
        <w:tc>
          <w:tcPr>
            <w:tcW w:w="619" w:type="pct"/>
            <w:tcBorders>
              <w:top w:val="single" w:color="auto" w:sz="4" w:space="0"/>
              <w:bottom w:val="single" w:color="auto" w:sz="12" w:space="0"/>
            </w:tcBorders>
            <w:vAlign w:val="center"/>
          </w:tcPr>
          <w:p w14:paraId="53EBCC26">
            <w:pPr>
              <w:keepNext w:val="0"/>
              <w:keepLines w:val="0"/>
              <w:pageBreakBefore w:val="0"/>
              <w:widowControl w:val="0"/>
              <w:tabs>
                <w:tab w:val="left" w:pos="3225"/>
              </w:tabs>
              <w:kinsoku/>
              <w:wordWrap/>
              <w:overflowPunct/>
              <w:topLinePunct w:val="0"/>
              <w:autoSpaceDE/>
              <w:autoSpaceDN/>
              <w:bidi w:val="0"/>
              <w:adjustRightInd/>
              <w:spacing w:line="240" w:lineRule="auto"/>
              <w:ind w:firstLine="0" w:firstLineChars="0"/>
              <w:jc w:val="center"/>
              <w:textAlignment w:val="auto"/>
              <w:rPr>
                <w:color w:val="auto"/>
                <w:sz w:val="21"/>
                <w:szCs w:val="21"/>
              </w:rPr>
            </w:pPr>
            <w:r>
              <w:rPr>
                <w:color w:val="auto"/>
                <w:sz w:val="21"/>
                <w:szCs w:val="21"/>
              </w:rPr>
              <w:t>5</w:t>
            </w:r>
          </w:p>
        </w:tc>
        <w:tc>
          <w:tcPr>
            <w:tcW w:w="350" w:type="pct"/>
            <w:tcBorders>
              <w:top w:val="single" w:color="auto" w:sz="4" w:space="0"/>
              <w:bottom w:val="single" w:color="auto" w:sz="12" w:space="0"/>
            </w:tcBorders>
            <w:vAlign w:val="center"/>
          </w:tcPr>
          <w:p w14:paraId="297FB59B">
            <w:pPr>
              <w:keepNext w:val="0"/>
              <w:keepLines w:val="0"/>
              <w:pageBreakBefore w:val="0"/>
              <w:widowControl w:val="0"/>
              <w:tabs>
                <w:tab w:val="left" w:pos="3225"/>
              </w:tabs>
              <w:kinsoku/>
              <w:wordWrap/>
              <w:overflowPunct/>
              <w:topLinePunct w:val="0"/>
              <w:autoSpaceDE/>
              <w:autoSpaceDN/>
              <w:bidi w:val="0"/>
              <w:adjustRightInd/>
              <w:spacing w:line="240" w:lineRule="auto"/>
              <w:ind w:firstLine="0" w:firstLineChars="0"/>
              <w:jc w:val="center"/>
              <w:textAlignment w:val="auto"/>
              <w:rPr>
                <w:color w:val="auto"/>
                <w:sz w:val="21"/>
                <w:szCs w:val="21"/>
              </w:rPr>
            </w:pPr>
            <w:r>
              <w:rPr>
                <w:color w:val="auto"/>
                <w:sz w:val="21"/>
                <w:szCs w:val="21"/>
              </w:rPr>
              <w:t>0.5</w:t>
            </w:r>
          </w:p>
        </w:tc>
        <w:tc>
          <w:tcPr>
            <w:tcW w:w="561" w:type="pct"/>
            <w:tcBorders>
              <w:top w:val="single" w:color="auto" w:sz="4" w:space="0"/>
              <w:bottom w:val="single" w:color="auto" w:sz="12" w:space="0"/>
            </w:tcBorders>
            <w:vAlign w:val="center"/>
          </w:tcPr>
          <w:p w14:paraId="7DE0BE45">
            <w:pPr>
              <w:keepNext w:val="0"/>
              <w:keepLines w:val="0"/>
              <w:pageBreakBefore w:val="0"/>
              <w:widowControl w:val="0"/>
              <w:tabs>
                <w:tab w:val="left" w:pos="3225"/>
              </w:tabs>
              <w:kinsoku/>
              <w:wordWrap/>
              <w:overflowPunct/>
              <w:topLinePunct w:val="0"/>
              <w:autoSpaceDE/>
              <w:autoSpaceDN/>
              <w:bidi w:val="0"/>
              <w:adjustRightInd/>
              <w:spacing w:line="240" w:lineRule="auto"/>
              <w:ind w:firstLine="0" w:firstLineChars="0"/>
              <w:jc w:val="center"/>
              <w:textAlignment w:val="auto"/>
              <w:rPr>
                <w:color w:val="auto"/>
                <w:sz w:val="21"/>
                <w:szCs w:val="21"/>
              </w:rPr>
            </w:pPr>
            <w:r>
              <w:rPr>
                <w:rFonts w:hint="eastAsia"/>
                <w:color w:val="auto"/>
                <w:sz w:val="21"/>
                <w:szCs w:val="21"/>
              </w:rPr>
              <w:t>15</w:t>
            </w:r>
          </w:p>
        </w:tc>
        <w:tc>
          <w:tcPr>
            <w:tcW w:w="561" w:type="pct"/>
            <w:tcBorders>
              <w:top w:val="single" w:color="auto" w:sz="4" w:space="0"/>
              <w:bottom w:val="single" w:color="auto" w:sz="12" w:space="0"/>
            </w:tcBorders>
            <w:vAlign w:val="center"/>
          </w:tcPr>
          <w:p w14:paraId="1A9C343D">
            <w:pPr>
              <w:keepNext w:val="0"/>
              <w:keepLines w:val="0"/>
              <w:pageBreakBefore w:val="0"/>
              <w:widowControl w:val="0"/>
              <w:tabs>
                <w:tab w:val="left" w:pos="3225"/>
              </w:tabs>
              <w:kinsoku/>
              <w:wordWrap/>
              <w:overflowPunct/>
              <w:topLinePunct w:val="0"/>
              <w:autoSpaceDE/>
              <w:autoSpaceDN/>
              <w:bidi w:val="0"/>
              <w:adjustRightInd/>
              <w:spacing w:line="240" w:lineRule="auto"/>
              <w:ind w:firstLine="0" w:firstLineChars="0"/>
              <w:jc w:val="center"/>
              <w:textAlignment w:val="auto"/>
              <w:rPr>
                <w:rFonts w:hint="eastAsia"/>
                <w:color w:val="auto"/>
                <w:sz w:val="21"/>
                <w:szCs w:val="21"/>
              </w:rPr>
            </w:pPr>
            <w:r>
              <w:rPr>
                <w:rFonts w:hint="eastAsia"/>
                <w:color w:val="auto"/>
                <w:sz w:val="21"/>
                <w:szCs w:val="21"/>
                <w:lang w:val="en-US" w:eastAsia="zh-CN"/>
              </w:rPr>
              <w:t>6~9</w:t>
            </w:r>
          </w:p>
        </w:tc>
      </w:tr>
    </w:tbl>
    <w:p w14:paraId="17E00AE7">
      <w:pPr>
        <w:pStyle w:val="6"/>
        <w:spacing w:before="156" w:after="156"/>
        <w:rPr>
          <w:color w:val="auto"/>
        </w:rPr>
      </w:pPr>
      <w:r>
        <w:rPr>
          <w:rFonts w:hint="eastAsia"/>
          <w:color w:val="auto"/>
        </w:rPr>
        <w:t>2.2.1主要原辅材料</w:t>
      </w:r>
    </w:p>
    <w:p w14:paraId="110FFD4F">
      <w:pPr>
        <w:pStyle w:val="31"/>
        <w:rPr>
          <w:color w:val="auto"/>
        </w:rPr>
      </w:pPr>
      <w:r>
        <w:rPr>
          <w:rFonts w:hint="eastAsia"/>
          <w:color w:val="auto"/>
          <w:lang w:eastAsia="zh-CN"/>
        </w:rPr>
        <w:t>资溪县污水处理厂</w:t>
      </w:r>
      <w:r>
        <w:rPr>
          <w:rFonts w:hint="eastAsia"/>
          <w:color w:val="auto"/>
        </w:rPr>
        <w:t>涉及使用的原辅材料主要为絮凝剂PAM(聚丙烯酰胺</w:t>
      </w:r>
      <w:r>
        <w:rPr>
          <w:rFonts w:hint="eastAsia"/>
          <w:color w:val="auto"/>
          <w:lang w:eastAsia="zh-CN"/>
        </w:rPr>
        <w:t>）</w:t>
      </w:r>
      <w:r>
        <w:rPr>
          <w:rFonts w:hint="eastAsia"/>
          <w:color w:val="auto"/>
        </w:rPr>
        <w:t>等，主要原辅材料使用情况见表2.2-2。</w:t>
      </w:r>
    </w:p>
    <w:p w14:paraId="2619F4B2">
      <w:pPr>
        <w:pStyle w:val="32"/>
        <w:spacing w:before="156"/>
        <w:rPr>
          <w:rFonts w:hint="eastAsia"/>
          <w:color w:val="auto"/>
        </w:rPr>
      </w:pPr>
      <w:r>
        <w:rPr>
          <w:rFonts w:hint="eastAsia"/>
          <w:color w:val="auto"/>
        </w:rPr>
        <w:t>表2.2-2   主要原辅材料情况一览表</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14"/>
        <w:gridCol w:w="1489"/>
        <w:gridCol w:w="652"/>
        <w:gridCol w:w="803"/>
        <w:gridCol w:w="801"/>
        <w:gridCol w:w="932"/>
        <w:gridCol w:w="1014"/>
        <w:gridCol w:w="1076"/>
        <w:gridCol w:w="1076"/>
      </w:tblGrid>
      <w:tr w14:paraId="6F812E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07" w:type="pct"/>
            <w:tcBorders>
              <w:bottom w:val="double" w:color="auto" w:sz="4" w:space="0"/>
            </w:tcBorders>
            <w:vAlign w:val="center"/>
          </w:tcPr>
          <w:p w14:paraId="480EB23B">
            <w:pPr>
              <w:pStyle w:val="34"/>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auto"/>
                <w:lang w:val="zh-CN"/>
              </w:rPr>
            </w:pPr>
            <w:r>
              <w:rPr>
                <w:rFonts w:hint="eastAsia"/>
                <w:color w:val="auto"/>
                <w:lang w:val="zh-CN"/>
              </w:rPr>
              <w:t>序号</w:t>
            </w:r>
          </w:p>
        </w:tc>
        <w:tc>
          <w:tcPr>
            <w:tcW w:w="890" w:type="pct"/>
            <w:tcBorders>
              <w:bottom w:val="double" w:color="auto" w:sz="4" w:space="0"/>
            </w:tcBorders>
            <w:vAlign w:val="center"/>
          </w:tcPr>
          <w:p w14:paraId="23397FC6">
            <w:pPr>
              <w:pStyle w:val="34"/>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auto"/>
                <w:lang w:val="zh-CN"/>
              </w:rPr>
            </w:pPr>
            <w:r>
              <w:rPr>
                <w:rFonts w:hint="eastAsia"/>
                <w:color w:val="auto"/>
                <w:lang w:val="zh-CN"/>
              </w:rPr>
              <w:t>名称</w:t>
            </w:r>
          </w:p>
        </w:tc>
        <w:tc>
          <w:tcPr>
            <w:tcW w:w="390" w:type="pct"/>
            <w:tcBorders>
              <w:bottom w:val="double" w:color="auto" w:sz="4" w:space="0"/>
            </w:tcBorders>
            <w:vAlign w:val="center"/>
          </w:tcPr>
          <w:p w14:paraId="38979CA0">
            <w:pPr>
              <w:pStyle w:val="34"/>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auto"/>
                <w:lang w:val="zh-CN"/>
              </w:rPr>
            </w:pPr>
            <w:r>
              <w:rPr>
                <w:rFonts w:hint="eastAsia"/>
                <w:color w:val="auto"/>
                <w:lang w:val="zh-CN"/>
              </w:rPr>
              <w:t>状态</w:t>
            </w:r>
          </w:p>
        </w:tc>
        <w:tc>
          <w:tcPr>
            <w:tcW w:w="480" w:type="pct"/>
            <w:tcBorders>
              <w:bottom w:val="double" w:color="auto" w:sz="4" w:space="0"/>
            </w:tcBorders>
            <w:vAlign w:val="center"/>
          </w:tcPr>
          <w:p w14:paraId="5E674706">
            <w:pPr>
              <w:pStyle w:val="34"/>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auto"/>
                <w:lang w:val="zh-CN"/>
              </w:rPr>
            </w:pPr>
            <w:r>
              <w:rPr>
                <w:rFonts w:hint="eastAsia"/>
                <w:color w:val="auto"/>
                <w:lang w:val="zh-CN"/>
              </w:rPr>
              <w:t>储存方式</w:t>
            </w:r>
          </w:p>
        </w:tc>
        <w:tc>
          <w:tcPr>
            <w:tcW w:w="479" w:type="pct"/>
            <w:tcBorders>
              <w:bottom w:val="double" w:color="auto" w:sz="4" w:space="0"/>
            </w:tcBorders>
            <w:vAlign w:val="center"/>
          </w:tcPr>
          <w:p w14:paraId="5CEACF1B">
            <w:pPr>
              <w:pStyle w:val="34"/>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auto"/>
                <w:lang w:val="zh-CN"/>
              </w:rPr>
            </w:pPr>
            <w:r>
              <w:rPr>
                <w:rFonts w:hint="eastAsia"/>
                <w:color w:val="auto"/>
                <w:lang w:val="zh-CN"/>
              </w:rPr>
              <w:t>包装规格</w:t>
            </w:r>
          </w:p>
        </w:tc>
        <w:tc>
          <w:tcPr>
            <w:tcW w:w="557" w:type="pct"/>
            <w:tcBorders>
              <w:bottom w:val="double" w:color="auto" w:sz="4" w:space="0"/>
            </w:tcBorders>
            <w:vAlign w:val="center"/>
          </w:tcPr>
          <w:p w14:paraId="20A87811">
            <w:pPr>
              <w:pStyle w:val="34"/>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auto"/>
                <w:lang w:val="zh-CN"/>
              </w:rPr>
            </w:pPr>
            <w:r>
              <w:rPr>
                <w:rFonts w:hint="eastAsia"/>
                <w:color w:val="auto"/>
                <w:lang w:val="zh-CN"/>
              </w:rPr>
              <w:t>储存地点</w:t>
            </w:r>
          </w:p>
        </w:tc>
        <w:tc>
          <w:tcPr>
            <w:tcW w:w="606" w:type="pct"/>
            <w:tcBorders>
              <w:bottom w:val="double" w:color="auto" w:sz="4" w:space="0"/>
            </w:tcBorders>
            <w:vAlign w:val="center"/>
          </w:tcPr>
          <w:p w14:paraId="0017F903">
            <w:pPr>
              <w:pStyle w:val="34"/>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auto"/>
                <w:lang w:val="zh-CN"/>
              </w:rPr>
            </w:pPr>
            <w:r>
              <w:rPr>
                <w:rFonts w:hint="eastAsia"/>
                <w:color w:val="auto"/>
                <w:lang w:val="zh-CN"/>
              </w:rPr>
              <w:t>最大储存量</w:t>
            </w:r>
          </w:p>
        </w:tc>
        <w:tc>
          <w:tcPr>
            <w:tcW w:w="643" w:type="pct"/>
            <w:tcBorders>
              <w:bottom w:val="double" w:color="auto" w:sz="4" w:space="0"/>
            </w:tcBorders>
            <w:vAlign w:val="center"/>
          </w:tcPr>
          <w:p w14:paraId="57F3E94C">
            <w:pPr>
              <w:pStyle w:val="34"/>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auto"/>
              </w:rPr>
            </w:pPr>
            <w:r>
              <w:rPr>
                <w:rFonts w:hint="eastAsia"/>
                <w:color w:val="auto"/>
              </w:rPr>
              <w:t>是否为环境</w:t>
            </w:r>
          </w:p>
          <w:p w14:paraId="619117F7">
            <w:pPr>
              <w:pStyle w:val="34"/>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auto"/>
                <w:lang w:val="zh-CN"/>
              </w:rPr>
            </w:pPr>
            <w:r>
              <w:rPr>
                <w:rFonts w:hint="eastAsia"/>
                <w:color w:val="auto"/>
              </w:rPr>
              <w:t>风险物质</w:t>
            </w:r>
          </w:p>
        </w:tc>
        <w:tc>
          <w:tcPr>
            <w:tcW w:w="643" w:type="pct"/>
            <w:tcBorders>
              <w:bottom w:val="double" w:color="auto" w:sz="4" w:space="0"/>
            </w:tcBorders>
            <w:vAlign w:val="center"/>
          </w:tcPr>
          <w:p w14:paraId="6AAF2CC6">
            <w:pPr>
              <w:pStyle w:val="34"/>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color w:val="auto"/>
                <w:lang w:eastAsia="zh-CN"/>
              </w:rPr>
            </w:pPr>
            <w:r>
              <w:rPr>
                <w:rFonts w:hint="eastAsia"/>
                <w:color w:val="auto"/>
                <w:lang w:eastAsia="zh-CN"/>
              </w:rPr>
              <w:t>用途</w:t>
            </w:r>
          </w:p>
        </w:tc>
      </w:tr>
      <w:tr w14:paraId="67970D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3" w:hRule="atLeast"/>
          <w:jc w:val="center"/>
        </w:trPr>
        <w:tc>
          <w:tcPr>
            <w:tcW w:w="307" w:type="pct"/>
            <w:tcBorders>
              <w:tl2br w:val="nil"/>
              <w:tr2bl w:val="nil"/>
            </w:tcBorders>
            <w:vAlign w:val="center"/>
          </w:tcPr>
          <w:p w14:paraId="512139EB">
            <w:pPr>
              <w:pStyle w:val="34"/>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color w:val="auto"/>
                <w:lang w:val="zh-CN" w:eastAsia="zh-CN"/>
              </w:rPr>
            </w:pPr>
            <w:r>
              <w:rPr>
                <w:rFonts w:hint="eastAsia"/>
                <w:color w:val="auto"/>
                <w:lang w:val="en-US" w:eastAsia="zh-CN"/>
              </w:rPr>
              <w:t>1</w:t>
            </w:r>
          </w:p>
        </w:tc>
        <w:tc>
          <w:tcPr>
            <w:tcW w:w="890" w:type="pct"/>
            <w:tcBorders>
              <w:tl2br w:val="nil"/>
              <w:tr2bl w:val="nil"/>
            </w:tcBorders>
            <w:vAlign w:val="center"/>
          </w:tcPr>
          <w:p w14:paraId="175AFCED">
            <w:pPr>
              <w:pStyle w:val="3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lang w:val="zh-CN"/>
              </w:rPr>
            </w:pPr>
            <w:r>
              <w:rPr>
                <w:rFonts w:hint="eastAsia"/>
                <w:color w:val="auto"/>
                <w:lang w:val="zh-CN"/>
              </w:rPr>
              <w:t>PAM</w:t>
            </w:r>
          </w:p>
        </w:tc>
        <w:tc>
          <w:tcPr>
            <w:tcW w:w="390" w:type="pct"/>
            <w:tcBorders>
              <w:tl2br w:val="nil"/>
              <w:tr2bl w:val="nil"/>
            </w:tcBorders>
            <w:vAlign w:val="center"/>
          </w:tcPr>
          <w:p w14:paraId="674C8771">
            <w:pPr>
              <w:pStyle w:val="3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lang w:val="zh-CN"/>
              </w:rPr>
            </w:pPr>
            <w:r>
              <w:rPr>
                <w:rFonts w:hint="eastAsia"/>
                <w:color w:val="auto"/>
                <w:lang w:val="zh-CN"/>
              </w:rPr>
              <w:t>固态</w:t>
            </w:r>
          </w:p>
        </w:tc>
        <w:tc>
          <w:tcPr>
            <w:tcW w:w="480" w:type="pct"/>
            <w:tcBorders>
              <w:tl2br w:val="nil"/>
              <w:tr2bl w:val="nil"/>
            </w:tcBorders>
            <w:vAlign w:val="center"/>
          </w:tcPr>
          <w:p w14:paraId="5C25E2A5">
            <w:pPr>
              <w:pStyle w:val="3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lang w:val="zh-CN"/>
              </w:rPr>
            </w:pPr>
            <w:r>
              <w:rPr>
                <w:rFonts w:hint="eastAsia"/>
                <w:color w:val="auto"/>
                <w:lang w:val="zh-CN"/>
              </w:rPr>
              <w:t>袋装</w:t>
            </w:r>
          </w:p>
        </w:tc>
        <w:tc>
          <w:tcPr>
            <w:tcW w:w="479" w:type="pct"/>
            <w:tcBorders>
              <w:tl2br w:val="nil"/>
              <w:tr2bl w:val="nil"/>
            </w:tcBorders>
            <w:vAlign w:val="center"/>
          </w:tcPr>
          <w:p w14:paraId="69DE8267">
            <w:pPr>
              <w:pStyle w:val="3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lang w:val="zh-CN"/>
              </w:rPr>
            </w:pPr>
            <w:r>
              <w:rPr>
                <w:rFonts w:hint="eastAsia"/>
                <w:color w:val="auto"/>
              </w:rPr>
              <w:t>25kg</w:t>
            </w:r>
          </w:p>
        </w:tc>
        <w:tc>
          <w:tcPr>
            <w:tcW w:w="557" w:type="pct"/>
            <w:tcBorders>
              <w:tl2br w:val="nil"/>
              <w:tr2bl w:val="nil"/>
            </w:tcBorders>
            <w:vAlign w:val="center"/>
          </w:tcPr>
          <w:p w14:paraId="26CFAF78">
            <w:pPr>
              <w:pStyle w:val="3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rPr>
            </w:pPr>
            <w:r>
              <w:rPr>
                <w:rFonts w:hint="eastAsia"/>
                <w:color w:val="auto"/>
                <w:lang w:val="zh-CN"/>
              </w:rPr>
              <w:t>储药间</w:t>
            </w:r>
          </w:p>
        </w:tc>
        <w:tc>
          <w:tcPr>
            <w:tcW w:w="606" w:type="pct"/>
            <w:tcBorders>
              <w:tl2br w:val="nil"/>
              <w:tr2bl w:val="nil"/>
            </w:tcBorders>
            <w:vAlign w:val="center"/>
          </w:tcPr>
          <w:p w14:paraId="3B0B66EF">
            <w:pPr>
              <w:pStyle w:val="3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rPr>
            </w:pPr>
            <w:r>
              <w:rPr>
                <w:rFonts w:hint="eastAsia"/>
                <w:color w:val="auto"/>
                <w:lang w:val="en-US" w:eastAsia="zh-CN"/>
              </w:rPr>
              <w:t>1.5</w:t>
            </w:r>
            <w:r>
              <w:rPr>
                <w:rFonts w:hint="eastAsia"/>
                <w:color w:val="auto"/>
              </w:rPr>
              <w:t>t</w:t>
            </w:r>
          </w:p>
        </w:tc>
        <w:tc>
          <w:tcPr>
            <w:tcW w:w="643" w:type="pct"/>
            <w:tcBorders>
              <w:tl2br w:val="nil"/>
              <w:tr2bl w:val="nil"/>
            </w:tcBorders>
            <w:vAlign w:val="center"/>
          </w:tcPr>
          <w:p w14:paraId="3103F749">
            <w:pPr>
              <w:pStyle w:val="3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rPr>
            </w:pPr>
            <w:r>
              <w:rPr>
                <w:rFonts w:hint="eastAsia"/>
                <w:color w:val="auto"/>
                <w:lang w:val="zh-CN"/>
              </w:rPr>
              <w:t>否</w:t>
            </w:r>
          </w:p>
        </w:tc>
        <w:tc>
          <w:tcPr>
            <w:tcW w:w="643" w:type="pct"/>
            <w:vMerge w:val="restart"/>
            <w:tcBorders>
              <w:tl2br w:val="nil"/>
              <w:tr2bl w:val="nil"/>
            </w:tcBorders>
            <w:vAlign w:val="center"/>
          </w:tcPr>
          <w:p w14:paraId="3D5874A2">
            <w:pPr>
              <w:pStyle w:val="3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olor w:val="auto"/>
                <w:lang w:val="zh-CN"/>
              </w:rPr>
            </w:pPr>
            <w:r>
              <w:rPr>
                <w:rFonts w:hint="eastAsia"/>
                <w:color w:val="auto"/>
                <w:lang w:val="zh-CN"/>
              </w:rPr>
              <w:t>污水处理</w:t>
            </w:r>
          </w:p>
        </w:tc>
      </w:tr>
      <w:tr w14:paraId="584D4F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07" w:type="pct"/>
            <w:tcBorders>
              <w:tl2br w:val="nil"/>
              <w:tr2bl w:val="nil"/>
            </w:tcBorders>
            <w:vAlign w:val="center"/>
          </w:tcPr>
          <w:p w14:paraId="78EA81E9">
            <w:pPr>
              <w:pStyle w:val="34"/>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color w:val="auto"/>
                <w:lang w:val="en-US" w:eastAsia="zh-CN"/>
              </w:rPr>
            </w:pPr>
            <w:r>
              <w:rPr>
                <w:rFonts w:hint="eastAsia"/>
                <w:color w:val="auto"/>
                <w:lang w:val="en-US" w:eastAsia="zh-CN"/>
              </w:rPr>
              <w:t>2</w:t>
            </w:r>
          </w:p>
        </w:tc>
        <w:tc>
          <w:tcPr>
            <w:tcW w:w="890" w:type="pct"/>
            <w:tcBorders>
              <w:tl2br w:val="nil"/>
              <w:tr2bl w:val="nil"/>
            </w:tcBorders>
            <w:vAlign w:val="center"/>
          </w:tcPr>
          <w:p w14:paraId="263CA67C">
            <w:pPr>
              <w:pStyle w:val="3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olor w:val="auto"/>
                <w:lang w:val="zh-CN"/>
              </w:rPr>
            </w:pPr>
            <w:r>
              <w:rPr>
                <w:rFonts w:hint="eastAsia"/>
                <w:color w:val="auto"/>
                <w:lang w:val="zh-CN"/>
              </w:rPr>
              <w:t>PAC</w:t>
            </w:r>
          </w:p>
        </w:tc>
        <w:tc>
          <w:tcPr>
            <w:tcW w:w="390" w:type="pct"/>
            <w:tcBorders>
              <w:tl2br w:val="nil"/>
              <w:tr2bl w:val="nil"/>
            </w:tcBorders>
            <w:vAlign w:val="center"/>
          </w:tcPr>
          <w:p w14:paraId="6544F5FE">
            <w:pPr>
              <w:pStyle w:val="3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olor w:val="auto"/>
                <w:lang w:val="zh-CN"/>
              </w:rPr>
            </w:pPr>
            <w:r>
              <w:rPr>
                <w:rFonts w:hint="eastAsia"/>
                <w:color w:val="auto"/>
                <w:lang w:val="zh-CN"/>
              </w:rPr>
              <w:t>固态</w:t>
            </w:r>
          </w:p>
        </w:tc>
        <w:tc>
          <w:tcPr>
            <w:tcW w:w="480" w:type="pct"/>
            <w:tcBorders>
              <w:tl2br w:val="nil"/>
              <w:tr2bl w:val="nil"/>
            </w:tcBorders>
            <w:vAlign w:val="center"/>
          </w:tcPr>
          <w:p w14:paraId="6CF5F11A">
            <w:pPr>
              <w:keepNext w:val="0"/>
              <w:keepLines w:val="0"/>
              <w:pageBreakBefore w:val="0"/>
              <w:widowControl w:val="0"/>
              <w:kinsoku/>
              <w:wordWrap/>
              <w:overflowPunct/>
              <w:topLinePunct w:val="0"/>
              <w:autoSpaceDE/>
              <w:autoSpaceDN/>
              <w:bidi w:val="0"/>
              <w:adjustRightInd/>
              <w:snapToGrid w:val="0"/>
              <w:spacing w:line="240" w:lineRule="auto"/>
              <w:ind w:left="0" w:leftChars="0" w:firstLine="210" w:firstLineChars="100"/>
              <w:jc w:val="center"/>
              <w:textAlignment w:val="auto"/>
              <w:rPr>
                <w:rFonts w:hint="eastAsia"/>
                <w:color w:val="auto"/>
                <w:lang w:val="zh-CN"/>
              </w:rPr>
            </w:pPr>
            <w:r>
              <w:rPr>
                <w:rFonts w:hint="eastAsia"/>
                <w:color w:val="auto"/>
                <w:sz w:val="21"/>
                <w:szCs w:val="21"/>
                <w:lang w:val="zh-CN"/>
              </w:rPr>
              <w:t>袋装</w:t>
            </w:r>
          </w:p>
        </w:tc>
        <w:tc>
          <w:tcPr>
            <w:tcW w:w="479" w:type="pct"/>
            <w:tcBorders>
              <w:tl2br w:val="nil"/>
              <w:tr2bl w:val="nil"/>
            </w:tcBorders>
            <w:vAlign w:val="center"/>
          </w:tcPr>
          <w:p w14:paraId="086D6F7A">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olor w:val="auto"/>
              </w:rPr>
            </w:pPr>
            <w:r>
              <w:rPr>
                <w:rFonts w:hint="eastAsia"/>
                <w:color w:val="auto"/>
                <w:sz w:val="21"/>
                <w:szCs w:val="21"/>
              </w:rPr>
              <w:t>25kg</w:t>
            </w:r>
          </w:p>
        </w:tc>
        <w:tc>
          <w:tcPr>
            <w:tcW w:w="557" w:type="pct"/>
            <w:tcBorders>
              <w:tl2br w:val="nil"/>
              <w:tr2bl w:val="nil"/>
            </w:tcBorders>
            <w:vAlign w:val="center"/>
          </w:tcPr>
          <w:p w14:paraId="44707601">
            <w:pPr>
              <w:pStyle w:val="3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olor w:val="auto"/>
              </w:rPr>
            </w:pPr>
            <w:r>
              <w:rPr>
                <w:rFonts w:hint="eastAsia"/>
                <w:color w:val="auto"/>
                <w:lang w:val="zh-CN"/>
              </w:rPr>
              <w:t>储药间</w:t>
            </w:r>
          </w:p>
        </w:tc>
        <w:tc>
          <w:tcPr>
            <w:tcW w:w="606" w:type="pct"/>
            <w:tcBorders>
              <w:tl2br w:val="nil"/>
              <w:tr2bl w:val="nil"/>
            </w:tcBorders>
            <w:vAlign w:val="center"/>
          </w:tcPr>
          <w:p w14:paraId="327B2139">
            <w:pPr>
              <w:pStyle w:val="3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olor w:val="auto"/>
              </w:rPr>
            </w:pPr>
            <w:r>
              <w:rPr>
                <w:rFonts w:hint="eastAsia"/>
                <w:color w:val="auto"/>
                <w:lang w:val="en-US" w:eastAsia="zh-CN"/>
              </w:rPr>
              <w:t>7.5t</w:t>
            </w:r>
          </w:p>
        </w:tc>
        <w:tc>
          <w:tcPr>
            <w:tcW w:w="643" w:type="pct"/>
            <w:tcBorders>
              <w:tl2br w:val="nil"/>
              <w:tr2bl w:val="nil"/>
            </w:tcBorders>
            <w:vAlign w:val="center"/>
          </w:tcPr>
          <w:p w14:paraId="379EEC94">
            <w:pPr>
              <w:pStyle w:val="3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olor w:val="auto"/>
                <w:lang w:val="zh-CN"/>
              </w:rPr>
            </w:pPr>
            <w:r>
              <w:rPr>
                <w:rFonts w:hint="eastAsia"/>
                <w:color w:val="auto"/>
                <w:lang w:val="zh-CN"/>
              </w:rPr>
              <w:t>否</w:t>
            </w:r>
          </w:p>
        </w:tc>
        <w:tc>
          <w:tcPr>
            <w:tcW w:w="643" w:type="pct"/>
            <w:vMerge w:val="continue"/>
            <w:tcBorders>
              <w:tl2br w:val="nil"/>
              <w:tr2bl w:val="nil"/>
            </w:tcBorders>
            <w:vAlign w:val="center"/>
          </w:tcPr>
          <w:p w14:paraId="49823588">
            <w:pPr>
              <w:pStyle w:val="3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olor w:val="auto"/>
                <w:lang w:val="zh-CN"/>
              </w:rPr>
            </w:pPr>
          </w:p>
        </w:tc>
      </w:tr>
      <w:tr w14:paraId="6EDE50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07" w:type="pct"/>
            <w:tcBorders>
              <w:tl2br w:val="nil"/>
              <w:tr2bl w:val="nil"/>
            </w:tcBorders>
            <w:vAlign w:val="center"/>
          </w:tcPr>
          <w:p w14:paraId="529922FE">
            <w:pPr>
              <w:pStyle w:val="34"/>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olor w:val="auto"/>
                <w:lang w:val="en-US" w:eastAsia="zh-CN"/>
              </w:rPr>
            </w:pPr>
            <w:r>
              <w:rPr>
                <w:rFonts w:hint="eastAsia"/>
                <w:color w:val="auto"/>
                <w:lang w:val="en-US" w:eastAsia="zh-CN"/>
              </w:rPr>
              <w:t>3</w:t>
            </w:r>
          </w:p>
        </w:tc>
        <w:tc>
          <w:tcPr>
            <w:tcW w:w="890" w:type="pct"/>
            <w:tcBorders>
              <w:tl2br w:val="nil"/>
              <w:tr2bl w:val="nil"/>
            </w:tcBorders>
            <w:vAlign w:val="center"/>
          </w:tcPr>
          <w:p w14:paraId="29A07D2A">
            <w:pPr>
              <w:pStyle w:val="3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color w:val="auto"/>
                <w:lang w:val="en-US" w:eastAsia="zh-CN"/>
              </w:rPr>
            </w:pPr>
            <w:r>
              <w:rPr>
                <w:rFonts w:hint="eastAsia"/>
                <w:color w:val="auto"/>
                <w:lang w:val="en-US" w:eastAsia="zh-CN"/>
              </w:rPr>
              <w:t>10%次氯酸钠溶液</w:t>
            </w:r>
          </w:p>
        </w:tc>
        <w:tc>
          <w:tcPr>
            <w:tcW w:w="390" w:type="pct"/>
            <w:tcBorders>
              <w:tl2br w:val="nil"/>
              <w:tr2bl w:val="nil"/>
            </w:tcBorders>
            <w:vAlign w:val="center"/>
          </w:tcPr>
          <w:p w14:paraId="63342655">
            <w:pPr>
              <w:pStyle w:val="3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lang w:val="zh-CN" w:eastAsia="zh-CN" w:bidi="ar-SA"/>
              </w:rPr>
            </w:pPr>
            <w:r>
              <w:rPr>
                <w:rFonts w:hint="eastAsia" w:cstheme="minorBidi"/>
                <w:color w:val="auto"/>
                <w:kern w:val="2"/>
                <w:sz w:val="21"/>
                <w:szCs w:val="21"/>
                <w:lang w:val="zh-CN" w:eastAsia="zh-CN" w:bidi="ar-SA"/>
              </w:rPr>
              <w:t>液态</w:t>
            </w:r>
          </w:p>
        </w:tc>
        <w:tc>
          <w:tcPr>
            <w:tcW w:w="480" w:type="pct"/>
            <w:tcBorders>
              <w:tl2br w:val="nil"/>
              <w:tr2bl w:val="nil"/>
            </w:tcBorders>
            <w:vAlign w:val="center"/>
          </w:tcPr>
          <w:p w14:paraId="2C26FC78">
            <w:pPr>
              <w:pStyle w:val="3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lang w:val="zh-CN" w:eastAsia="zh-CN" w:bidi="ar-SA"/>
              </w:rPr>
            </w:pPr>
            <w:r>
              <w:rPr>
                <w:rFonts w:hint="eastAsia" w:cstheme="minorBidi"/>
                <w:color w:val="auto"/>
                <w:kern w:val="2"/>
                <w:sz w:val="21"/>
                <w:szCs w:val="21"/>
                <w:lang w:val="zh-CN" w:eastAsia="zh-CN" w:bidi="ar-SA"/>
              </w:rPr>
              <w:t>桶装</w:t>
            </w:r>
          </w:p>
        </w:tc>
        <w:tc>
          <w:tcPr>
            <w:tcW w:w="479" w:type="pct"/>
            <w:tcBorders>
              <w:tl2br w:val="nil"/>
              <w:tr2bl w:val="nil"/>
            </w:tcBorders>
            <w:vAlign w:val="center"/>
          </w:tcPr>
          <w:p w14:paraId="4E43C695">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olor w:val="auto"/>
                <w:sz w:val="21"/>
                <w:szCs w:val="21"/>
              </w:rPr>
            </w:pPr>
            <w:r>
              <w:rPr>
                <w:rFonts w:hint="eastAsia" w:cstheme="minorBidi"/>
                <w:color w:val="auto"/>
                <w:kern w:val="2"/>
                <w:sz w:val="21"/>
                <w:szCs w:val="21"/>
                <w:lang w:val="en-US" w:eastAsia="zh-CN" w:bidi="ar-SA"/>
              </w:rPr>
              <w:t>1t</w:t>
            </w:r>
          </w:p>
        </w:tc>
        <w:tc>
          <w:tcPr>
            <w:tcW w:w="557" w:type="pct"/>
            <w:tcBorders>
              <w:tl2br w:val="nil"/>
              <w:tr2bl w:val="nil"/>
            </w:tcBorders>
            <w:vAlign w:val="center"/>
          </w:tcPr>
          <w:p w14:paraId="5A022FBA">
            <w:pPr>
              <w:pStyle w:val="3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olor w:val="auto"/>
                <w:lang w:val="zh-CN"/>
              </w:rPr>
            </w:pPr>
            <w:r>
              <w:rPr>
                <w:rFonts w:hint="eastAsia"/>
                <w:color w:val="auto"/>
                <w:lang w:val="zh-CN"/>
              </w:rPr>
              <w:t>储药间</w:t>
            </w:r>
          </w:p>
        </w:tc>
        <w:tc>
          <w:tcPr>
            <w:tcW w:w="606" w:type="pct"/>
            <w:tcBorders>
              <w:tl2br w:val="nil"/>
              <w:tr2bl w:val="nil"/>
            </w:tcBorders>
            <w:vAlign w:val="center"/>
          </w:tcPr>
          <w:p w14:paraId="1CB67C5A">
            <w:pPr>
              <w:pStyle w:val="3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olor w:val="auto"/>
                <w:lang w:val="en-US" w:eastAsia="zh-CN"/>
              </w:rPr>
            </w:pPr>
            <w:r>
              <w:rPr>
                <w:rFonts w:hint="eastAsia"/>
                <w:color w:val="auto"/>
                <w:lang w:val="en-US" w:eastAsia="zh-CN"/>
              </w:rPr>
              <w:t>2t</w:t>
            </w:r>
          </w:p>
        </w:tc>
        <w:tc>
          <w:tcPr>
            <w:tcW w:w="643" w:type="pct"/>
            <w:tcBorders>
              <w:tl2br w:val="nil"/>
              <w:tr2bl w:val="nil"/>
            </w:tcBorders>
            <w:vAlign w:val="center"/>
          </w:tcPr>
          <w:p w14:paraId="3F240F07">
            <w:pPr>
              <w:pStyle w:val="3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color w:val="auto"/>
                <w:lang w:val="en-US" w:eastAsia="zh-CN"/>
              </w:rPr>
            </w:pPr>
            <w:r>
              <w:rPr>
                <w:rFonts w:hint="eastAsia"/>
                <w:color w:val="auto"/>
                <w:lang w:val="en-US" w:eastAsia="zh-CN"/>
              </w:rPr>
              <w:t>是</w:t>
            </w:r>
          </w:p>
        </w:tc>
        <w:tc>
          <w:tcPr>
            <w:tcW w:w="643" w:type="pct"/>
            <w:vMerge w:val="continue"/>
            <w:tcBorders>
              <w:tl2br w:val="nil"/>
              <w:tr2bl w:val="nil"/>
            </w:tcBorders>
            <w:vAlign w:val="center"/>
          </w:tcPr>
          <w:p w14:paraId="57E5BBE9">
            <w:pPr>
              <w:pStyle w:val="3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olor w:val="auto"/>
                <w:lang w:val="en-US" w:eastAsia="zh-CN"/>
              </w:rPr>
            </w:pPr>
          </w:p>
        </w:tc>
      </w:tr>
      <w:tr w14:paraId="7A1B42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07" w:type="pct"/>
            <w:tcBorders>
              <w:tl2br w:val="nil"/>
              <w:tr2bl w:val="nil"/>
            </w:tcBorders>
            <w:vAlign w:val="center"/>
          </w:tcPr>
          <w:p w14:paraId="180B1E0F">
            <w:pPr>
              <w:pStyle w:val="34"/>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olor w:val="auto"/>
                <w:lang w:val="en-US" w:eastAsia="zh-CN"/>
              </w:rPr>
            </w:pPr>
            <w:r>
              <w:rPr>
                <w:rFonts w:hint="eastAsia"/>
                <w:color w:val="auto"/>
                <w:lang w:val="en-US" w:eastAsia="zh-CN"/>
              </w:rPr>
              <w:t>4</w:t>
            </w:r>
          </w:p>
        </w:tc>
        <w:tc>
          <w:tcPr>
            <w:tcW w:w="890" w:type="pct"/>
            <w:tcBorders>
              <w:tl2br w:val="nil"/>
              <w:tr2bl w:val="nil"/>
            </w:tcBorders>
            <w:vAlign w:val="center"/>
          </w:tcPr>
          <w:p w14:paraId="1746B5A9">
            <w:pPr>
              <w:pStyle w:val="3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olor w:val="auto"/>
                <w:lang w:val="en-US" w:eastAsia="zh-CN"/>
              </w:rPr>
            </w:pPr>
            <w:r>
              <w:rPr>
                <w:rFonts w:hint="eastAsia"/>
                <w:color w:val="auto"/>
                <w:lang w:val="en-US" w:eastAsia="zh-CN"/>
              </w:rPr>
              <w:t>硝酸</w:t>
            </w:r>
          </w:p>
        </w:tc>
        <w:tc>
          <w:tcPr>
            <w:tcW w:w="390" w:type="pct"/>
            <w:tcBorders>
              <w:tl2br w:val="nil"/>
              <w:tr2bl w:val="nil"/>
            </w:tcBorders>
            <w:vAlign w:val="center"/>
          </w:tcPr>
          <w:p w14:paraId="23A0CC5F">
            <w:pPr>
              <w:pStyle w:val="3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stheme="minorBidi"/>
                <w:color w:val="auto"/>
                <w:kern w:val="2"/>
                <w:sz w:val="21"/>
                <w:szCs w:val="21"/>
                <w:lang w:val="zh-CN" w:eastAsia="zh-CN" w:bidi="ar-SA"/>
              </w:rPr>
            </w:pPr>
            <w:r>
              <w:rPr>
                <w:rFonts w:hint="eastAsia" w:cstheme="minorBidi"/>
                <w:color w:val="auto"/>
                <w:kern w:val="2"/>
                <w:sz w:val="21"/>
                <w:szCs w:val="21"/>
                <w:lang w:val="zh-CN" w:eastAsia="zh-CN" w:bidi="ar-SA"/>
              </w:rPr>
              <w:t>液态</w:t>
            </w:r>
          </w:p>
        </w:tc>
        <w:tc>
          <w:tcPr>
            <w:tcW w:w="480" w:type="pct"/>
            <w:tcBorders>
              <w:tl2br w:val="nil"/>
              <w:tr2bl w:val="nil"/>
            </w:tcBorders>
            <w:vAlign w:val="center"/>
          </w:tcPr>
          <w:p w14:paraId="5A8CADA9">
            <w:pPr>
              <w:pStyle w:val="3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stheme="minorBidi"/>
                <w:color w:val="auto"/>
                <w:kern w:val="2"/>
                <w:sz w:val="21"/>
                <w:szCs w:val="21"/>
                <w:lang w:val="zh-CN" w:eastAsia="zh-CN" w:bidi="ar-SA"/>
              </w:rPr>
            </w:pPr>
            <w:r>
              <w:rPr>
                <w:rFonts w:hint="eastAsia" w:cstheme="minorBidi"/>
                <w:color w:val="auto"/>
                <w:kern w:val="2"/>
                <w:sz w:val="21"/>
                <w:szCs w:val="21"/>
                <w:lang w:val="zh-CN" w:eastAsia="zh-CN" w:bidi="ar-SA"/>
              </w:rPr>
              <w:t>试剂瓶</w:t>
            </w:r>
          </w:p>
        </w:tc>
        <w:tc>
          <w:tcPr>
            <w:tcW w:w="479" w:type="pct"/>
            <w:tcBorders>
              <w:tl2br w:val="nil"/>
              <w:tr2bl w:val="nil"/>
            </w:tcBorders>
            <w:vAlign w:val="center"/>
          </w:tcPr>
          <w:p w14:paraId="771069C2">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stheme="minorBidi"/>
                <w:color w:val="auto"/>
                <w:kern w:val="2"/>
                <w:sz w:val="21"/>
                <w:szCs w:val="21"/>
                <w:lang w:val="en-US" w:eastAsia="zh-CN" w:bidi="ar-SA"/>
              </w:rPr>
            </w:pPr>
            <w:r>
              <w:rPr>
                <w:rFonts w:hint="eastAsia" w:cstheme="minorBidi"/>
                <w:color w:val="auto"/>
                <w:kern w:val="2"/>
                <w:sz w:val="21"/>
                <w:szCs w:val="21"/>
                <w:lang w:val="en-US" w:eastAsia="zh-CN" w:bidi="ar-SA"/>
              </w:rPr>
              <w:t>2500ml</w:t>
            </w:r>
          </w:p>
        </w:tc>
        <w:tc>
          <w:tcPr>
            <w:tcW w:w="557" w:type="pct"/>
            <w:tcBorders>
              <w:tl2br w:val="nil"/>
              <w:tr2bl w:val="nil"/>
            </w:tcBorders>
            <w:vAlign w:val="center"/>
          </w:tcPr>
          <w:p w14:paraId="4775A710">
            <w:pPr>
              <w:pStyle w:val="3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olor w:val="auto"/>
                <w:lang w:val="zh-CN"/>
              </w:rPr>
            </w:pPr>
            <w:r>
              <w:rPr>
                <w:rFonts w:hint="eastAsia"/>
                <w:color w:val="auto"/>
                <w:lang w:val="zh-CN"/>
              </w:rPr>
              <w:t>实验室</w:t>
            </w:r>
          </w:p>
        </w:tc>
        <w:tc>
          <w:tcPr>
            <w:tcW w:w="606" w:type="pct"/>
            <w:tcBorders>
              <w:tl2br w:val="nil"/>
              <w:tr2bl w:val="nil"/>
            </w:tcBorders>
            <w:vAlign w:val="center"/>
          </w:tcPr>
          <w:p w14:paraId="28223B99">
            <w:pPr>
              <w:pStyle w:val="3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olor w:val="auto"/>
                <w:lang w:val="en-US" w:eastAsia="zh-CN"/>
              </w:rPr>
            </w:pPr>
            <w:r>
              <w:rPr>
                <w:rFonts w:hint="eastAsia"/>
                <w:color w:val="auto"/>
                <w:lang w:val="en-US" w:eastAsia="zh-CN"/>
              </w:rPr>
              <w:t>0.003</w:t>
            </w:r>
          </w:p>
        </w:tc>
        <w:tc>
          <w:tcPr>
            <w:tcW w:w="643" w:type="pct"/>
            <w:tcBorders>
              <w:tl2br w:val="nil"/>
              <w:tr2bl w:val="nil"/>
            </w:tcBorders>
            <w:vAlign w:val="center"/>
          </w:tcPr>
          <w:p w14:paraId="1A60A881">
            <w:pPr>
              <w:pStyle w:val="3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olor w:val="auto"/>
                <w:lang w:val="en-US" w:eastAsia="zh-CN"/>
              </w:rPr>
            </w:pPr>
            <w:r>
              <w:rPr>
                <w:rFonts w:hint="eastAsia"/>
                <w:color w:val="auto"/>
                <w:lang w:val="en-US" w:eastAsia="zh-CN"/>
              </w:rPr>
              <w:t>是</w:t>
            </w:r>
          </w:p>
        </w:tc>
        <w:tc>
          <w:tcPr>
            <w:tcW w:w="643" w:type="pct"/>
            <w:vMerge w:val="restart"/>
            <w:tcBorders>
              <w:tl2br w:val="nil"/>
              <w:tr2bl w:val="nil"/>
            </w:tcBorders>
            <w:vAlign w:val="center"/>
          </w:tcPr>
          <w:p w14:paraId="6597C52A">
            <w:pPr>
              <w:pStyle w:val="3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olor w:val="auto"/>
                <w:lang w:val="en-US" w:eastAsia="zh-CN"/>
              </w:rPr>
            </w:pPr>
            <w:r>
              <w:rPr>
                <w:rFonts w:hint="eastAsia"/>
                <w:color w:val="auto"/>
                <w:lang w:val="en-US" w:eastAsia="zh-CN"/>
              </w:rPr>
              <w:t>化验</w:t>
            </w:r>
          </w:p>
        </w:tc>
      </w:tr>
      <w:tr w14:paraId="2567E0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07" w:type="pct"/>
            <w:tcBorders>
              <w:tl2br w:val="nil"/>
              <w:tr2bl w:val="nil"/>
            </w:tcBorders>
            <w:vAlign w:val="center"/>
          </w:tcPr>
          <w:p w14:paraId="59763189">
            <w:pPr>
              <w:pStyle w:val="34"/>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olor w:val="auto"/>
                <w:lang w:val="en-US" w:eastAsia="zh-CN"/>
              </w:rPr>
            </w:pPr>
            <w:r>
              <w:rPr>
                <w:rFonts w:hint="eastAsia"/>
                <w:color w:val="auto"/>
                <w:lang w:val="en-US" w:eastAsia="zh-CN"/>
              </w:rPr>
              <w:t>5</w:t>
            </w:r>
          </w:p>
        </w:tc>
        <w:tc>
          <w:tcPr>
            <w:tcW w:w="890" w:type="pct"/>
            <w:tcBorders>
              <w:tl2br w:val="nil"/>
              <w:tr2bl w:val="nil"/>
            </w:tcBorders>
            <w:vAlign w:val="center"/>
          </w:tcPr>
          <w:p w14:paraId="5E363AC6">
            <w:pPr>
              <w:pStyle w:val="3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olor w:val="auto"/>
                <w:lang w:val="en-US" w:eastAsia="zh-CN"/>
              </w:rPr>
            </w:pPr>
            <w:r>
              <w:rPr>
                <w:rFonts w:hint="eastAsia"/>
                <w:color w:val="auto"/>
                <w:lang w:val="en-US" w:eastAsia="zh-CN"/>
              </w:rPr>
              <w:t>盐酸</w:t>
            </w:r>
          </w:p>
        </w:tc>
        <w:tc>
          <w:tcPr>
            <w:tcW w:w="390" w:type="pct"/>
            <w:tcBorders>
              <w:tl2br w:val="nil"/>
              <w:tr2bl w:val="nil"/>
            </w:tcBorders>
            <w:vAlign w:val="center"/>
          </w:tcPr>
          <w:p w14:paraId="16A2F454">
            <w:pPr>
              <w:pStyle w:val="3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stheme="minorBidi"/>
                <w:color w:val="auto"/>
                <w:kern w:val="2"/>
                <w:sz w:val="21"/>
                <w:szCs w:val="21"/>
                <w:lang w:val="zh-CN" w:eastAsia="zh-CN" w:bidi="ar-SA"/>
              </w:rPr>
            </w:pPr>
            <w:r>
              <w:rPr>
                <w:rFonts w:hint="eastAsia" w:cstheme="minorBidi"/>
                <w:color w:val="auto"/>
                <w:kern w:val="2"/>
                <w:sz w:val="21"/>
                <w:szCs w:val="21"/>
                <w:lang w:val="zh-CN" w:eastAsia="zh-CN" w:bidi="ar-SA"/>
              </w:rPr>
              <w:t>液态</w:t>
            </w:r>
          </w:p>
        </w:tc>
        <w:tc>
          <w:tcPr>
            <w:tcW w:w="480" w:type="pct"/>
            <w:tcBorders>
              <w:tl2br w:val="nil"/>
              <w:tr2bl w:val="nil"/>
            </w:tcBorders>
            <w:vAlign w:val="center"/>
          </w:tcPr>
          <w:p w14:paraId="4199DF30">
            <w:pPr>
              <w:pStyle w:val="3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stheme="minorBidi"/>
                <w:color w:val="auto"/>
                <w:kern w:val="2"/>
                <w:sz w:val="21"/>
                <w:szCs w:val="21"/>
                <w:lang w:val="zh-CN" w:eastAsia="zh-CN" w:bidi="ar-SA"/>
              </w:rPr>
            </w:pPr>
            <w:r>
              <w:rPr>
                <w:rFonts w:hint="eastAsia" w:cstheme="minorBidi"/>
                <w:color w:val="auto"/>
                <w:kern w:val="2"/>
                <w:sz w:val="21"/>
                <w:szCs w:val="21"/>
                <w:lang w:val="zh-CN" w:eastAsia="zh-CN" w:bidi="ar-SA"/>
              </w:rPr>
              <w:t>试剂瓶</w:t>
            </w:r>
          </w:p>
        </w:tc>
        <w:tc>
          <w:tcPr>
            <w:tcW w:w="479" w:type="pct"/>
            <w:tcBorders>
              <w:tl2br w:val="nil"/>
              <w:tr2bl w:val="nil"/>
            </w:tcBorders>
            <w:vAlign w:val="center"/>
          </w:tcPr>
          <w:p w14:paraId="7EA0D6D5">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stheme="minorBidi"/>
                <w:color w:val="auto"/>
                <w:kern w:val="2"/>
                <w:sz w:val="21"/>
                <w:szCs w:val="21"/>
                <w:lang w:val="en-US" w:eastAsia="zh-CN" w:bidi="ar-SA"/>
              </w:rPr>
            </w:pPr>
            <w:r>
              <w:rPr>
                <w:rFonts w:hint="eastAsia" w:cstheme="minorBidi"/>
                <w:color w:val="auto"/>
                <w:kern w:val="2"/>
                <w:sz w:val="21"/>
                <w:szCs w:val="21"/>
                <w:lang w:val="en-US" w:eastAsia="zh-CN" w:bidi="ar-SA"/>
              </w:rPr>
              <w:t>2500ml</w:t>
            </w:r>
          </w:p>
        </w:tc>
        <w:tc>
          <w:tcPr>
            <w:tcW w:w="557" w:type="pct"/>
            <w:tcBorders>
              <w:tl2br w:val="nil"/>
              <w:tr2bl w:val="nil"/>
            </w:tcBorders>
            <w:vAlign w:val="center"/>
          </w:tcPr>
          <w:p w14:paraId="63652499">
            <w:pPr>
              <w:pStyle w:val="3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olor w:val="auto"/>
                <w:lang w:val="zh-CN"/>
              </w:rPr>
            </w:pPr>
            <w:r>
              <w:rPr>
                <w:rFonts w:hint="eastAsia"/>
                <w:color w:val="auto"/>
                <w:lang w:val="zh-CN"/>
              </w:rPr>
              <w:t>实验室</w:t>
            </w:r>
          </w:p>
        </w:tc>
        <w:tc>
          <w:tcPr>
            <w:tcW w:w="606" w:type="pct"/>
            <w:tcBorders>
              <w:tl2br w:val="nil"/>
              <w:tr2bl w:val="nil"/>
            </w:tcBorders>
            <w:vAlign w:val="center"/>
          </w:tcPr>
          <w:p w14:paraId="2FCB74FF">
            <w:pPr>
              <w:pStyle w:val="3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olor w:val="auto"/>
                <w:lang w:val="en-US" w:eastAsia="zh-CN"/>
              </w:rPr>
            </w:pPr>
            <w:r>
              <w:rPr>
                <w:rFonts w:hint="eastAsia"/>
                <w:color w:val="auto"/>
                <w:lang w:val="en-US" w:eastAsia="zh-CN"/>
              </w:rPr>
              <w:t>0.002</w:t>
            </w:r>
          </w:p>
        </w:tc>
        <w:tc>
          <w:tcPr>
            <w:tcW w:w="643" w:type="pct"/>
            <w:tcBorders>
              <w:tl2br w:val="nil"/>
              <w:tr2bl w:val="nil"/>
            </w:tcBorders>
            <w:vAlign w:val="center"/>
          </w:tcPr>
          <w:p w14:paraId="5CB9C383">
            <w:pPr>
              <w:pStyle w:val="3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olor w:val="auto"/>
                <w:lang w:val="en-US" w:eastAsia="zh-CN"/>
              </w:rPr>
            </w:pPr>
            <w:r>
              <w:rPr>
                <w:rFonts w:hint="eastAsia"/>
                <w:color w:val="auto"/>
                <w:lang w:val="en-US" w:eastAsia="zh-CN"/>
              </w:rPr>
              <w:t>是</w:t>
            </w:r>
          </w:p>
        </w:tc>
        <w:tc>
          <w:tcPr>
            <w:tcW w:w="643" w:type="pct"/>
            <w:vMerge w:val="continue"/>
            <w:tcBorders>
              <w:tl2br w:val="nil"/>
              <w:tr2bl w:val="nil"/>
            </w:tcBorders>
            <w:vAlign w:val="center"/>
          </w:tcPr>
          <w:p w14:paraId="565D0D26">
            <w:pPr>
              <w:pStyle w:val="3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olor w:val="auto"/>
                <w:lang w:val="en-US" w:eastAsia="zh-CN"/>
              </w:rPr>
            </w:pPr>
          </w:p>
        </w:tc>
      </w:tr>
      <w:tr w14:paraId="52499E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07" w:type="pct"/>
            <w:tcBorders>
              <w:tl2br w:val="nil"/>
              <w:tr2bl w:val="nil"/>
            </w:tcBorders>
            <w:vAlign w:val="center"/>
          </w:tcPr>
          <w:p w14:paraId="69019CE3">
            <w:pPr>
              <w:pStyle w:val="34"/>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olor w:val="auto"/>
                <w:lang w:val="en-US" w:eastAsia="zh-CN"/>
              </w:rPr>
            </w:pPr>
            <w:r>
              <w:rPr>
                <w:rFonts w:hint="eastAsia"/>
                <w:color w:val="auto"/>
                <w:lang w:val="en-US" w:eastAsia="zh-CN"/>
              </w:rPr>
              <w:t>6</w:t>
            </w:r>
          </w:p>
        </w:tc>
        <w:tc>
          <w:tcPr>
            <w:tcW w:w="890" w:type="pct"/>
            <w:tcBorders>
              <w:tl2br w:val="nil"/>
              <w:tr2bl w:val="nil"/>
            </w:tcBorders>
            <w:vAlign w:val="center"/>
          </w:tcPr>
          <w:p w14:paraId="653BE039">
            <w:pPr>
              <w:pStyle w:val="3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olor w:val="auto"/>
                <w:lang w:val="en-US" w:eastAsia="zh-CN"/>
              </w:rPr>
            </w:pPr>
            <w:r>
              <w:rPr>
                <w:rFonts w:hint="eastAsia"/>
                <w:color w:val="auto"/>
                <w:lang w:val="en-US" w:eastAsia="zh-CN"/>
              </w:rPr>
              <w:t>硫酸</w:t>
            </w:r>
          </w:p>
        </w:tc>
        <w:tc>
          <w:tcPr>
            <w:tcW w:w="390" w:type="pct"/>
            <w:tcBorders>
              <w:tl2br w:val="nil"/>
              <w:tr2bl w:val="nil"/>
            </w:tcBorders>
            <w:vAlign w:val="center"/>
          </w:tcPr>
          <w:p w14:paraId="31D1F918">
            <w:pPr>
              <w:pStyle w:val="3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stheme="minorBidi"/>
                <w:color w:val="auto"/>
                <w:kern w:val="2"/>
                <w:sz w:val="21"/>
                <w:szCs w:val="21"/>
                <w:lang w:val="zh-CN" w:eastAsia="zh-CN" w:bidi="ar-SA"/>
              </w:rPr>
            </w:pPr>
            <w:r>
              <w:rPr>
                <w:rFonts w:hint="eastAsia" w:cstheme="minorBidi"/>
                <w:color w:val="auto"/>
                <w:kern w:val="2"/>
                <w:sz w:val="21"/>
                <w:szCs w:val="21"/>
                <w:lang w:val="zh-CN" w:eastAsia="zh-CN" w:bidi="ar-SA"/>
              </w:rPr>
              <w:t>液态</w:t>
            </w:r>
          </w:p>
        </w:tc>
        <w:tc>
          <w:tcPr>
            <w:tcW w:w="480" w:type="pct"/>
            <w:tcBorders>
              <w:tl2br w:val="nil"/>
              <w:tr2bl w:val="nil"/>
            </w:tcBorders>
            <w:vAlign w:val="center"/>
          </w:tcPr>
          <w:p w14:paraId="2D35D546">
            <w:pPr>
              <w:pStyle w:val="3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stheme="minorBidi"/>
                <w:color w:val="auto"/>
                <w:kern w:val="2"/>
                <w:sz w:val="21"/>
                <w:szCs w:val="21"/>
                <w:lang w:val="zh-CN" w:eastAsia="zh-CN" w:bidi="ar-SA"/>
              </w:rPr>
            </w:pPr>
            <w:r>
              <w:rPr>
                <w:rFonts w:hint="eastAsia" w:cstheme="minorBidi"/>
                <w:color w:val="auto"/>
                <w:kern w:val="2"/>
                <w:sz w:val="21"/>
                <w:szCs w:val="21"/>
                <w:lang w:val="zh-CN" w:eastAsia="zh-CN" w:bidi="ar-SA"/>
              </w:rPr>
              <w:t>试剂瓶</w:t>
            </w:r>
          </w:p>
        </w:tc>
        <w:tc>
          <w:tcPr>
            <w:tcW w:w="479" w:type="pct"/>
            <w:tcBorders>
              <w:tl2br w:val="nil"/>
              <w:tr2bl w:val="nil"/>
            </w:tcBorders>
            <w:vAlign w:val="center"/>
          </w:tcPr>
          <w:p w14:paraId="685C52A3">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stheme="minorBidi"/>
                <w:color w:val="auto"/>
                <w:kern w:val="2"/>
                <w:sz w:val="21"/>
                <w:szCs w:val="21"/>
                <w:lang w:val="en-US" w:eastAsia="zh-CN" w:bidi="ar-SA"/>
              </w:rPr>
            </w:pPr>
            <w:r>
              <w:rPr>
                <w:rFonts w:hint="eastAsia" w:cstheme="minorBidi"/>
                <w:color w:val="auto"/>
                <w:kern w:val="2"/>
                <w:sz w:val="21"/>
                <w:szCs w:val="21"/>
                <w:lang w:val="en-US" w:eastAsia="zh-CN" w:bidi="ar-SA"/>
              </w:rPr>
              <w:t>2500ml</w:t>
            </w:r>
          </w:p>
        </w:tc>
        <w:tc>
          <w:tcPr>
            <w:tcW w:w="557" w:type="pct"/>
            <w:tcBorders>
              <w:tl2br w:val="nil"/>
              <w:tr2bl w:val="nil"/>
            </w:tcBorders>
            <w:vAlign w:val="center"/>
          </w:tcPr>
          <w:p w14:paraId="490A8B6D">
            <w:pPr>
              <w:pStyle w:val="3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olor w:val="auto"/>
                <w:lang w:val="zh-CN"/>
              </w:rPr>
            </w:pPr>
            <w:r>
              <w:rPr>
                <w:rFonts w:hint="eastAsia"/>
                <w:color w:val="auto"/>
                <w:lang w:val="zh-CN"/>
              </w:rPr>
              <w:t>实验室</w:t>
            </w:r>
          </w:p>
        </w:tc>
        <w:tc>
          <w:tcPr>
            <w:tcW w:w="606" w:type="pct"/>
            <w:tcBorders>
              <w:tl2br w:val="nil"/>
              <w:tr2bl w:val="nil"/>
            </w:tcBorders>
            <w:vAlign w:val="center"/>
          </w:tcPr>
          <w:p w14:paraId="28ED3EBA">
            <w:pPr>
              <w:pStyle w:val="3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olor w:val="auto"/>
                <w:lang w:val="en-US" w:eastAsia="zh-CN"/>
              </w:rPr>
            </w:pPr>
            <w:r>
              <w:rPr>
                <w:rFonts w:hint="eastAsia"/>
                <w:color w:val="auto"/>
                <w:lang w:val="en-US" w:eastAsia="zh-CN"/>
              </w:rPr>
              <w:t>0.015</w:t>
            </w:r>
          </w:p>
        </w:tc>
        <w:tc>
          <w:tcPr>
            <w:tcW w:w="643" w:type="pct"/>
            <w:tcBorders>
              <w:tl2br w:val="nil"/>
              <w:tr2bl w:val="nil"/>
            </w:tcBorders>
            <w:vAlign w:val="center"/>
          </w:tcPr>
          <w:p w14:paraId="77571895">
            <w:pPr>
              <w:pStyle w:val="3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olor w:val="auto"/>
                <w:lang w:val="en-US" w:eastAsia="zh-CN"/>
              </w:rPr>
            </w:pPr>
            <w:r>
              <w:rPr>
                <w:rFonts w:hint="eastAsia"/>
                <w:color w:val="auto"/>
                <w:lang w:val="en-US" w:eastAsia="zh-CN"/>
              </w:rPr>
              <w:t>是</w:t>
            </w:r>
          </w:p>
        </w:tc>
        <w:tc>
          <w:tcPr>
            <w:tcW w:w="643" w:type="pct"/>
            <w:vMerge w:val="continue"/>
            <w:tcBorders>
              <w:tl2br w:val="nil"/>
              <w:tr2bl w:val="nil"/>
            </w:tcBorders>
            <w:vAlign w:val="center"/>
          </w:tcPr>
          <w:p w14:paraId="7A63E2F8">
            <w:pPr>
              <w:pStyle w:val="3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olor w:val="auto"/>
                <w:lang w:val="en-US" w:eastAsia="zh-CN"/>
              </w:rPr>
            </w:pPr>
          </w:p>
        </w:tc>
      </w:tr>
    </w:tbl>
    <w:p w14:paraId="01C911CF">
      <w:pPr>
        <w:pStyle w:val="6"/>
        <w:spacing w:before="156" w:after="156"/>
        <w:rPr>
          <w:color w:val="auto"/>
        </w:rPr>
      </w:pPr>
      <w:r>
        <w:rPr>
          <w:rFonts w:hint="eastAsia"/>
          <w:color w:val="auto"/>
        </w:rPr>
        <w:t>2.2.2生产工艺流程</w:t>
      </w:r>
    </w:p>
    <w:p w14:paraId="2DAA31DD">
      <w:pPr>
        <w:pStyle w:val="31"/>
        <w:rPr>
          <w:rFonts w:hint="eastAsia"/>
          <w:color w:val="auto"/>
        </w:rPr>
      </w:pPr>
      <w:r>
        <w:rPr>
          <w:rFonts w:hint="eastAsia"/>
          <w:color w:val="auto"/>
        </w:rPr>
        <w:t>本污水处理厂生产工艺流程图见下图。</w:t>
      </w:r>
    </w:p>
    <w:p w14:paraId="449CBF16">
      <w:pPr>
        <w:pStyle w:val="3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color w:val="auto"/>
        </w:rPr>
      </w:pPr>
      <w:r>
        <w:rPr>
          <w:rFonts w:hint="eastAsia"/>
          <w:color w:val="auto"/>
        </w:rPr>
        <w:drawing>
          <wp:inline distT="0" distB="0" distL="114300" distR="114300">
            <wp:extent cx="5626735" cy="2098675"/>
            <wp:effectExtent l="0" t="0" r="12065" b="15875"/>
            <wp:docPr id="33" name="图片 3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1"/>
                    <pic:cNvPicPr>
                      <a:picLocks noChangeAspect="1"/>
                    </pic:cNvPicPr>
                  </pic:nvPicPr>
                  <pic:blipFill>
                    <a:blip r:embed="rId18" cstate="print"/>
                    <a:stretch>
                      <a:fillRect/>
                    </a:stretch>
                  </pic:blipFill>
                  <pic:spPr>
                    <a:xfrm>
                      <a:off x="0" y="0"/>
                      <a:ext cx="5626735" cy="2098675"/>
                    </a:xfrm>
                    <a:prstGeom prst="rect">
                      <a:avLst/>
                    </a:prstGeom>
                  </pic:spPr>
                </pic:pic>
              </a:graphicData>
            </a:graphic>
          </wp:inline>
        </w:drawing>
      </w:r>
    </w:p>
    <w:p w14:paraId="0C3D10BA">
      <w:pPr>
        <w:pStyle w:val="31"/>
        <w:spacing w:line="240" w:lineRule="auto"/>
        <w:ind w:firstLine="0" w:firstLineChars="0"/>
        <w:jc w:val="center"/>
        <w:rPr>
          <w:b/>
          <w:bCs/>
          <w:color w:val="auto"/>
        </w:rPr>
      </w:pPr>
      <w:r>
        <w:rPr>
          <w:rFonts w:hint="eastAsia"/>
          <w:b/>
          <w:bCs/>
          <w:color w:val="auto"/>
        </w:rPr>
        <w:t>图2.2-1</w:t>
      </w:r>
      <w:r>
        <w:rPr>
          <w:rFonts w:hint="eastAsia"/>
          <w:b/>
          <w:bCs/>
          <w:color w:val="auto"/>
          <w:lang w:eastAsia="zh-CN"/>
        </w:rPr>
        <w:t>资溪县生活污水处理厂</w:t>
      </w:r>
      <w:r>
        <w:rPr>
          <w:rFonts w:hint="eastAsia"/>
          <w:b/>
          <w:bCs/>
          <w:color w:val="auto"/>
        </w:rPr>
        <w:t>工艺流程图</w:t>
      </w:r>
    </w:p>
    <w:p w14:paraId="58E22D27">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482" w:firstLineChars="200"/>
        <w:jc w:val="both"/>
        <w:textAlignment w:val="auto"/>
        <w:rPr>
          <w:b/>
          <w:bCs/>
          <w:color w:val="auto"/>
          <w:sz w:val="24"/>
          <w:szCs w:val="24"/>
        </w:rPr>
      </w:pPr>
      <w:bookmarkStart w:id="21" w:name="_Toc476314964"/>
      <w:r>
        <w:rPr>
          <w:b/>
          <w:bCs/>
          <w:color w:val="auto"/>
          <w:sz w:val="24"/>
          <w:szCs w:val="24"/>
        </w:rPr>
        <w:t>工艺流程说明</w:t>
      </w:r>
    </w:p>
    <w:p w14:paraId="1FF3DA8B">
      <w:pPr>
        <w:tabs>
          <w:tab w:val="left" w:pos="944"/>
        </w:tabs>
        <w:spacing w:line="360" w:lineRule="auto"/>
        <w:ind w:firstLine="480"/>
        <w:jc w:val="left"/>
        <w:rPr>
          <w:rFonts w:ascii="Times New Roman" w:hAnsi="Times New Roman"/>
          <w:color w:val="auto"/>
          <w:sz w:val="24"/>
        </w:rPr>
      </w:pPr>
      <w:r>
        <w:rPr>
          <w:rFonts w:ascii="Times New Roman" w:hAnsi="Times New Roman" w:cs="Times New Roman"/>
          <w:color w:val="auto"/>
          <w:sz w:val="24"/>
        </w:rPr>
        <w:t>①</w:t>
      </w:r>
      <w:r>
        <w:rPr>
          <w:rFonts w:hint="eastAsia" w:ascii="Times New Roman" w:hAnsi="Times New Roman"/>
          <w:color w:val="auto"/>
          <w:sz w:val="24"/>
        </w:rPr>
        <w:t>生活污水经过格栅格网的预处理，去除污水中体积较大的悬浮物、漂浮物后进入细格栅及旋流沉砂池，去除污水中粒径≥0.2mm 的砂粒，使无机砂粒与有机物分离开来，便于后续生化处理。</w:t>
      </w:r>
    </w:p>
    <w:p w14:paraId="683BF0D2">
      <w:pPr>
        <w:tabs>
          <w:tab w:val="left" w:pos="944"/>
        </w:tabs>
        <w:spacing w:line="360" w:lineRule="auto"/>
        <w:ind w:firstLine="480"/>
        <w:jc w:val="left"/>
        <w:rPr>
          <w:rFonts w:ascii="Times New Roman" w:hAnsi="Times New Roman"/>
          <w:color w:val="auto"/>
          <w:sz w:val="24"/>
        </w:rPr>
      </w:pPr>
      <w:r>
        <w:rPr>
          <w:rFonts w:ascii="Times New Roman" w:hAnsi="Times New Roman" w:cs="Times New Roman"/>
          <w:color w:val="auto"/>
          <w:sz w:val="24"/>
        </w:rPr>
        <w:t>②</w:t>
      </w:r>
      <w:r>
        <w:rPr>
          <w:rFonts w:hint="eastAsia" w:ascii="Times New Roman" w:hAnsi="Times New Roman"/>
          <w:color w:val="auto"/>
          <w:sz w:val="24"/>
        </w:rPr>
        <w:t>细格栅及旋流沉砂池出水经过改良式氧化沟进行好氧生物处理，氧化沟内增加底曝，利用微生物的的新陈代谢转化水中有机污染物。主要污染物为氧化沟产生的少量恶臭。</w:t>
      </w:r>
    </w:p>
    <w:p w14:paraId="52076CE9">
      <w:pPr>
        <w:tabs>
          <w:tab w:val="left" w:pos="944"/>
        </w:tabs>
        <w:spacing w:line="360" w:lineRule="auto"/>
        <w:ind w:firstLine="480"/>
        <w:jc w:val="left"/>
        <w:rPr>
          <w:rFonts w:ascii="Times New Roman" w:hAnsi="Times New Roman"/>
          <w:color w:val="auto"/>
          <w:sz w:val="24"/>
        </w:rPr>
      </w:pPr>
      <w:r>
        <w:rPr>
          <w:rFonts w:ascii="Times New Roman" w:hAnsi="Times New Roman" w:cs="Times New Roman"/>
          <w:color w:val="auto"/>
          <w:sz w:val="24"/>
        </w:rPr>
        <w:t>③</w:t>
      </w:r>
      <w:r>
        <w:rPr>
          <w:rFonts w:hint="eastAsia" w:ascii="Times New Roman" w:hAnsi="Times New Roman"/>
          <w:color w:val="auto"/>
          <w:sz w:val="24"/>
        </w:rPr>
        <w:t>氧化沟混合液自流进入二沉池，二沉池产生的污泥回流至氧化沟。主要污染物为设备噪声、剩余污泥。通过选用低噪设备减缓噪声影响，剩余污泥经污泥脱水机处理。提标改造增加一座氧化沟及一座二沉池。</w:t>
      </w:r>
    </w:p>
    <w:p w14:paraId="5B5FC65A">
      <w:pPr>
        <w:keepNext w:val="0"/>
        <w:keepLines w:val="0"/>
        <w:pageBreakBefore w:val="0"/>
        <w:widowControl/>
        <w:kinsoku/>
        <w:wordWrap/>
        <w:overflowPunct w:val="0"/>
        <w:topLinePunct/>
        <w:autoSpaceDE w:val="0"/>
        <w:autoSpaceDN/>
        <w:bidi w:val="0"/>
        <w:adjustRightInd w:val="0"/>
        <w:snapToGrid w:val="0"/>
        <w:spacing w:line="360" w:lineRule="auto"/>
        <w:ind w:firstLine="480" w:firstLineChars="200"/>
        <w:jc w:val="both"/>
        <w:textAlignment w:val="auto"/>
        <w:rPr>
          <w:rFonts w:hint="eastAsia"/>
          <w:color w:val="auto"/>
          <w:sz w:val="24"/>
          <w:szCs w:val="24"/>
        </w:rPr>
      </w:pPr>
      <w:r>
        <w:rPr>
          <w:rFonts w:hint="eastAsia" w:ascii="Times New Roman" w:hAnsi="Times New Roman"/>
          <w:color w:val="auto"/>
          <w:sz w:val="24"/>
        </w:rPr>
        <w:t xml:space="preserve">   </w:t>
      </w:r>
      <w:r>
        <w:rPr>
          <w:rFonts w:ascii="Times New Roman" w:hAnsi="Times New Roman" w:cs="Times New Roman"/>
          <w:color w:val="auto"/>
          <w:sz w:val="24"/>
        </w:rPr>
        <w:t>④</w:t>
      </w:r>
      <w:r>
        <w:rPr>
          <w:rFonts w:hint="eastAsia" w:ascii="Times New Roman" w:hAnsi="Times New Roman"/>
          <w:color w:val="auto"/>
          <w:sz w:val="24"/>
        </w:rPr>
        <w:t>二沉池出水经中途提升泵泵入高效沉淀池去除水中颗粒物质及胶体性有机物后，流入活性砂滤池池，污水通过进水管进入滤器，通过中心进水管和分配器进入滤床在上流过程中，水体被砂滤层净化，并经底部溢流堰排出。砂滤池出水经过次氯酸钠消毒后排入尾水排放泵站，提升排入信江流域。主要污染物为设备噪声、污泥。通过选用低噪设备等减轻噪声影响，污泥经污泥脱水机处理。处理后的外排污水所有指标可满足《城镇污水处理厂污染物排放标准》（GB 18918-2002）一级 A 标准</w:t>
      </w:r>
      <w:r>
        <w:rPr>
          <w:rFonts w:hint="eastAsia"/>
          <w:snapToGrid w:val="0"/>
          <w:color w:val="auto"/>
          <w:sz w:val="24"/>
        </w:rPr>
        <w:t>。</w:t>
      </w:r>
    </w:p>
    <w:p w14:paraId="081D08D1">
      <w:pPr>
        <w:pStyle w:val="5"/>
        <w:spacing w:before="156" w:after="156"/>
        <w:rPr>
          <w:color w:val="auto"/>
        </w:rPr>
      </w:pPr>
      <w:bookmarkStart w:id="22" w:name="_Toc6039"/>
      <w:r>
        <w:rPr>
          <w:rFonts w:hint="eastAsia"/>
          <w:color w:val="auto"/>
        </w:rPr>
        <w:t>2.3危险化学品的基本情况</w:t>
      </w:r>
      <w:bookmarkEnd w:id="21"/>
      <w:bookmarkEnd w:id="22"/>
    </w:p>
    <w:p w14:paraId="071C471E">
      <w:pPr>
        <w:pStyle w:val="31"/>
        <w:rPr>
          <w:color w:val="auto"/>
        </w:rPr>
      </w:pPr>
      <w:r>
        <w:rPr>
          <w:rFonts w:hint="eastAsia"/>
          <w:color w:val="auto"/>
          <w:lang w:eastAsia="zh-CN"/>
        </w:rPr>
        <w:t>资溪县生活污水处理厂</w:t>
      </w:r>
      <w:r>
        <w:rPr>
          <w:rFonts w:hint="eastAsia"/>
          <w:color w:val="auto"/>
        </w:rPr>
        <w:t>涉及的危险化学品主要包括</w:t>
      </w:r>
      <w:r>
        <w:rPr>
          <w:rFonts w:hint="eastAsia"/>
          <w:color w:val="auto"/>
          <w:lang w:val="en-US" w:eastAsia="zh-CN"/>
        </w:rPr>
        <w:t>次氯酸钠，实验室的硝酸、盐酸、硫酸储存量极少，本次风险分析不列入</w:t>
      </w:r>
      <w:r>
        <w:rPr>
          <w:rFonts w:hint="eastAsia"/>
          <w:color w:val="auto"/>
        </w:rPr>
        <w:t>。危险化学品情况见表2.3-1。各危险化学品理化性质见表2.3-2。</w:t>
      </w:r>
    </w:p>
    <w:p w14:paraId="484FEBCB">
      <w:pPr>
        <w:pStyle w:val="32"/>
        <w:spacing w:before="156"/>
        <w:rPr>
          <w:color w:val="auto"/>
        </w:rPr>
      </w:pPr>
      <w:r>
        <w:rPr>
          <w:rFonts w:hint="eastAsia"/>
          <w:color w:val="auto"/>
        </w:rPr>
        <w:t>表2.3-1</w:t>
      </w:r>
      <w:r>
        <w:rPr>
          <w:rFonts w:hint="eastAsia"/>
          <w:color w:val="auto"/>
          <w:lang w:eastAsia="zh-CN"/>
        </w:rPr>
        <w:t>资溪县生活污水处理厂</w:t>
      </w:r>
      <w:r>
        <w:rPr>
          <w:rFonts w:hint="eastAsia"/>
          <w:color w:val="auto"/>
        </w:rPr>
        <w:t>危险化学品情况一览表</w:t>
      </w:r>
    </w:p>
    <w:tbl>
      <w:tblPr>
        <w:tblStyle w:val="23"/>
        <w:tblW w:w="83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51"/>
        <w:gridCol w:w="1658"/>
        <w:gridCol w:w="1513"/>
        <w:gridCol w:w="1603"/>
        <w:gridCol w:w="1270"/>
        <w:gridCol w:w="1364"/>
      </w:tblGrid>
      <w:tr w14:paraId="22B861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51" w:type="dxa"/>
            <w:tcBorders>
              <w:bottom w:val="double" w:color="auto" w:sz="4" w:space="0"/>
            </w:tcBorders>
            <w:vAlign w:val="center"/>
          </w:tcPr>
          <w:p w14:paraId="33BB1C6C">
            <w:pPr>
              <w:pStyle w:val="34"/>
              <w:rPr>
                <w:color w:val="auto"/>
                <w:lang w:val="zh-CN"/>
              </w:rPr>
            </w:pPr>
            <w:r>
              <w:rPr>
                <w:rFonts w:hint="eastAsia"/>
                <w:color w:val="auto"/>
                <w:lang w:val="zh-CN"/>
              </w:rPr>
              <w:t>序号</w:t>
            </w:r>
          </w:p>
        </w:tc>
        <w:tc>
          <w:tcPr>
            <w:tcW w:w="1658" w:type="dxa"/>
            <w:tcBorders>
              <w:bottom w:val="double" w:color="auto" w:sz="4" w:space="0"/>
            </w:tcBorders>
            <w:vAlign w:val="center"/>
          </w:tcPr>
          <w:p w14:paraId="62030FBB">
            <w:pPr>
              <w:pStyle w:val="34"/>
              <w:rPr>
                <w:color w:val="auto"/>
                <w:lang w:val="zh-CN"/>
              </w:rPr>
            </w:pPr>
            <w:r>
              <w:rPr>
                <w:rFonts w:hint="eastAsia"/>
                <w:color w:val="auto"/>
                <w:lang w:val="zh-CN"/>
              </w:rPr>
              <w:t>名称</w:t>
            </w:r>
          </w:p>
        </w:tc>
        <w:tc>
          <w:tcPr>
            <w:tcW w:w="1513" w:type="dxa"/>
            <w:tcBorders>
              <w:bottom w:val="double" w:color="auto" w:sz="4" w:space="0"/>
            </w:tcBorders>
            <w:vAlign w:val="center"/>
          </w:tcPr>
          <w:p w14:paraId="146443C9">
            <w:pPr>
              <w:pStyle w:val="34"/>
              <w:rPr>
                <w:color w:val="auto"/>
              </w:rPr>
            </w:pPr>
            <w:r>
              <w:rPr>
                <w:rFonts w:hint="eastAsia"/>
                <w:color w:val="auto"/>
              </w:rPr>
              <w:t>年使用量(t)</w:t>
            </w:r>
          </w:p>
        </w:tc>
        <w:tc>
          <w:tcPr>
            <w:tcW w:w="1603" w:type="dxa"/>
            <w:tcBorders>
              <w:bottom w:val="double" w:color="auto" w:sz="4" w:space="0"/>
            </w:tcBorders>
            <w:vAlign w:val="center"/>
          </w:tcPr>
          <w:p w14:paraId="496D0893">
            <w:pPr>
              <w:pStyle w:val="34"/>
              <w:rPr>
                <w:color w:val="auto"/>
                <w:lang w:val="zh-CN"/>
              </w:rPr>
            </w:pPr>
            <w:r>
              <w:rPr>
                <w:rFonts w:hint="eastAsia"/>
                <w:color w:val="auto"/>
                <w:lang w:val="zh-CN"/>
              </w:rPr>
              <w:t>最大储存量(t)</w:t>
            </w:r>
          </w:p>
        </w:tc>
        <w:tc>
          <w:tcPr>
            <w:tcW w:w="1270" w:type="dxa"/>
            <w:tcBorders>
              <w:bottom w:val="double" w:color="auto" w:sz="4" w:space="0"/>
            </w:tcBorders>
            <w:vAlign w:val="center"/>
          </w:tcPr>
          <w:p w14:paraId="429F26BB">
            <w:pPr>
              <w:pStyle w:val="34"/>
              <w:rPr>
                <w:color w:val="auto"/>
                <w:lang w:val="zh-CN"/>
              </w:rPr>
            </w:pPr>
            <w:r>
              <w:rPr>
                <w:rFonts w:hint="eastAsia"/>
                <w:color w:val="auto"/>
                <w:lang w:val="zh-CN"/>
              </w:rPr>
              <w:t>储存方式</w:t>
            </w:r>
          </w:p>
        </w:tc>
        <w:tc>
          <w:tcPr>
            <w:tcW w:w="1364" w:type="dxa"/>
            <w:tcBorders>
              <w:bottom w:val="double" w:color="auto" w:sz="4" w:space="0"/>
            </w:tcBorders>
            <w:vAlign w:val="center"/>
          </w:tcPr>
          <w:p w14:paraId="7C2E3CAA">
            <w:pPr>
              <w:pStyle w:val="34"/>
              <w:rPr>
                <w:color w:val="auto"/>
                <w:lang w:val="zh-CN"/>
              </w:rPr>
            </w:pPr>
            <w:r>
              <w:rPr>
                <w:rFonts w:hint="eastAsia"/>
                <w:color w:val="auto"/>
                <w:lang w:val="zh-CN"/>
              </w:rPr>
              <w:t>运输方式</w:t>
            </w:r>
          </w:p>
        </w:tc>
      </w:tr>
      <w:tr w14:paraId="394EB0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51" w:type="dxa"/>
            <w:tcBorders>
              <w:top w:val="double" w:color="auto" w:sz="4" w:space="0"/>
              <w:tl2br w:val="nil"/>
              <w:tr2bl w:val="nil"/>
            </w:tcBorders>
            <w:vAlign w:val="center"/>
          </w:tcPr>
          <w:p w14:paraId="4EB6FCDC">
            <w:pPr>
              <w:pStyle w:val="34"/>
              <w:rPr>
                <w:color w:val="auto"/>
                <w:lang w:val="zh-CN"/>
              </w:rPr>
            </w:pPr>
            <w:r>
              <w:rPr>
                <w:rFonts w:hint="eastAsia"/>
                <w:color w:val="auto"/>
                <w:lang w:val="zh-CN"/>
              </w:rPr>
              <w:t>1</w:t>
            </w:r>
          </w:p>
        </w:tc>
        <w:tc>
          <w:tcPr>
            <w:tcW w:w="1658" w:type="dxa"/>
            <w:tcBorders>
              <w:top w:val="double" w:color="auto" w:sz="4" w:space="0"/>
              <w:tl2br w:val="nil"/>
              <w:tr2bl w:val="nil"/>
            </w:tcBorders>
            <w:vAlign w:val="center"/>
          </w:tcPr>
          <w:p w14:paraId="632D3C0F">
            <w:pPr>
              <w:pStyle w:val="34"/>
              <w:rPr>
                <w:rFonts w:hint="eastAsia" w:eastAsia="宋体"/>
                <w:color w:val="auto"/>
                <w:lang w:val="zh-CN" w:eastAsia="zh-CN"/>
              </w:rPr>
            </w:pPr>
            <w:r>
              <w:rPr>
                <w:rFonts w:hint="eastAsia"/>
                <w:color w:val="auto"/>
                <w:lang w:val="en-US" w:eastAsia="zh-CN"/>
              </w:rPr>
              <w:t>10%次氯酸钠溶液</w:t>
            </w:r>
          </w:p>
        </w:tc>
        <w:tc>
          <w:tcPr>
            <w:tcW w:w="1513" w:type="dxa"/>
            <w:tcBorders>
              <w:top w:val="double" w:color="auto" w:sz="4" w:space="0"/>
              <w:tl2br w:val="nil"/>
              <w:tr2bl w:val="nil"/>
            </w:tcBorders>
            <w:vAlign w:val="center"/>
          </w:tcPr>
          <w:p w14:paraId="03DBA6D4">
            <w:pPr>
              <w:pStyle w:val="34"/>
              <w:ind w:firstLine="0" w:firstLineChars="0"/>
              <w:rPr>
                <w:color w:val="auto"/>
              </w:rPr>
            </w:pPr>
            <w:r>
              <w:rPr>
                <w:rFonts w:hint="eastAsia"/>
                <w:color w:val="auto"/>
                <w:lang w:val="en-US" w:eastAsia="zh-CN"/>
              </w:rPr>
              <w:t>80</w:t>
            </w:r>
            <w:r>
              <w:rPr>
                <w:rFonts w:hint="eastAsia"/>
                <w:color w:val="auto"/>
              </w:rPr>
              <w:t>t</w:t>
            </w:r>
          </w:p>
        </w:tc>
        <w:tc>
          <w:tcPr>
            <w:tcW w:w="1603" w:type="dxa"/>
            <w:tcBorders>
              <w:top w:val="double" w:color="auto" w:sz="4" w:space="0"/>
              <w:tl2br w:val="nil"/>
              <w:tr2bl w:val="nil"/>
            </w:tcBorders>
            <w:vAlign w:val="center"/>
          </w:tcPr>
          <w:p w14:paraId="0ADF756B">
            <w:pPr>
              <w:pStyle w:val="34"/>
              <w:ind w:firstLine="0" w:firstLineChars="0"/>
              <w:rPr>
                <w:color w:val="auto"/>
              </w:rPr>
            </w:pPr>
            <w:r>
              <w:rPr>
                <w:rFonts w:hint="eastAsia"/>
                <w:color w:val="auto"/>
                <w:lang w:val="en-US" w:eastAsia="zh-CN"/>
              </w:rPr>
              <w:t>2</w:t>
            </w:r>
            <w:r>
              <w:rPr>
                <w:rFonts w:hint="eastAsia"/>
                <w:color w:val="auto"/>
              </w:rPr>
              <w:t>t</w:t>
            </w:r>
          </w:p>
        </w:tc>
        <w:tc>
          <w:tcPr>
            <w:tcW w:w="1270" w:type="dxa"/>
            <w:tcBorders>
              <w:top w:val="double" w:color="auto" w:sz="4" w:space="0"/>
              <w:tl2br w:val="nil"/>
              <w:tr2bl w:val="nil"/>
            </w:tcBorders>
            <w:vAlign w:val="center"/>
          </w:tcPr>
          <w:p w14:paraId="0ECFB700">
            <w:pPr>
              <w:pStyle w:val="34"/>
              <w:rPr>
                <w:color w:val="auto"/>
              </w:rPr>
            </w:pPr>
            <w:r>
              <w:rPr>
                <w:rFonts w:hint="eastAsia"/>
                <w:color w:val="auto"/>
                <w:lang w:val="en-US" w:eastAsia="zh-CN"/>
              </w:rPr>
              <w:t>桶</w:t>
            </w:r>
            <w:r>
              <w:rPr>
                <w:rFonts w:hint="eastAsia"/>
                <w:color w:val="auto"/>
              </w:rPr>
              <w:t>装</w:t>
            </w:r>
          </w:p>
        </w:tc>
        <w:tc>
          <w:tcPr>
            <w:tcW w:w="1364" w:type="dxa"/>
            <w:tcBorders>
              <w:top w:val="double" w:color="auto" w:sz="4" w:space="0"/>
              <w:tl2br w:val="nil"/>
              <w:tr2bl w:val="nil"/>
            </w:tcBorders>
            <w:vAlign w:val="center"/>
          </w:tcPr>
          <w:p w14:paraId="73F5427E">
            <w:pPr>
              <w:pStyle w:val="34"/>
              <w:rPr>
                <w:color w:val="auto"/>
              </w:rPr>
            </w:pPr>
            <w:r>
              <w:rPr>
                <w:rFonts w:hint="eastAsia"/>
                <w:color w:val="auto"/>
                <w:lang w:val="zh-CN"/>
              </w:rPr>
              <w:t>专车</w:t>
            </w:r>
          </w:p>
        </w:tc>
      </w:tr>
    </w:tbl>
    <w:p w14:paraId="21F49B67">
      <w:pPr>
        <w:pStyle w:val="32"/>
        <w:spacing w:before="156"/>
        <w:rPr>
          <w:color w:val="auto"/>
        </w:rPr>
      </w:pPr>
      <w:r>
        <w:rPr>
          <w:rFonts w:hint="eastAsia"/>
          <w:color w:val="auto"/>
        </w:rPr>
        <w:t>表2.3-2</w:t>
      </w:r>
      <w:r>
        <w:rPr>
          <w:rFonts w:hint="eastAsia"/>
          <w:color w:val="auto"/>
          <w:lang w:eastAsia="zh-CN"/>
        </w:rPr>
        <w:t>次氯酸钠</w:t>
      </w:r>
      <w:r>
        <w:rPr>
          <w:rFonts w:hint="eastAsia"/>
          <w:color w:val="auto"/>
        </w:rPr>
        <w:t>理化性质一览表</w:t>
      </w:r>
    </w:p>
    <w:tbl>
      <w:tblPr>
        <w:tblStyle w:val="23"/>
        <w:tblW w:w="8519" w:type="dxa"/>
        <w:jc w:val="center"/>
        <w:tblBorders>
          <w:top w:val="single" w:color="auto" w:sz="12" w:space="0"/>
          <w:left w:val="none" w:color="auto" w:sz="0" w:space="0"/>
          <w:bottom w:val="single" w:color="auto" w:sz="12" w:space="0"/>
          <w:right w:val="none" w:color="auto" w:sz="0" w:space="0"/>
          <w:insideH w:val="double" w:color="auto" w:sz="4" w:space="0"/>
          <w:insideV w:val="single" w:color="auto" w:sz="6" w:space="0"/>
        </w:tblBorders>
        <w:tblLayout w:type="fixed"/>
        <w:tblCellMar>
          <w:top w:w="0" w:type="dxa"/>
          <w:left w:w="108" w:type="dxa"/>
          <w:bottom w:w="0" w:type="dxa"/>
          <w:right w:w="108" w:type="dxa"/>
        </w:tblCellMar>
      </w:tblPr>
      <w:tblGrid>
        <w:gridCol w:w="446"/>
        <w:gridCol w:w="1512"/>
        <w:gridCol w:w="1192"/>
        <w:gridCol w:w="328"/>
        <w:gridCol w:w="658"/>
        <w:gridCol w:w="445"/>
        <w:gridCol w:w="1117"/>
        <w:gridCol w:w="628"/>
        <w:gridCol w:w="775"/>
        <w:gridCol w:w="1418"/>
      </w:tblGrid>
      <w:tr w14:paraId="03E7EF16">
        <w:tblPrEx>
          <w:tblBorders>
            <w:top w:val="single" w:color="auto" w:sz="12" w:space="0"/>
            <w:left w:val="none" w:color="auto" w:sz="0" w:space="0"/>
            <w:bottom w:val="single" w:color="auto" w:sz="12" w:space="0"/>
            <w:right w:val="none" w:color="auto" w:sz="0" w:space="0"/>
            <w:insideH w:val="double" w:color="auto" w:sz="4" w:space="0"/>
            <w:insideV w:val="single" w:color="auto" w:sz="6" w:space="0"/>
          </w:tblBorders>
          <w:tblCellMar>
            <w:top w:w="0" w:type="dxa"/>
            <w:left w:w="108" w:type="dxa"/>
            <w:bottom w:w="0" w:type="dxa"/>
            <w:right w:w="108" w:type="dxa"/>
          </w:tblCellMar>
        </w:tblPrEx>
        <w:trPr>
          <w:cantSplit/>
          <w:trHeight w:val="0" w:hRule="atLeast"/>
          <w:jc w:val="center"/>
        </w:trPr>
        <w:tc>
          <w:tcPr>
            <w:tcW w:w="446" w:type="dxa"/>
            <w:vMerge w:val="restart"/>
            <w:tcBorders>
              <w:tl2br w:val="nil"/>
              <w:tr2bl w:val="nil"/>
            </w:tcBorders>
            <w:vAlign w:val="center"/>
          </w:tcPr>
          <w:p w14:paraId="2E12635D">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bookmarkStart w:id="23" w:name="_Toc476314965"/>
            <w:r>
              <w:rPr>
                <w:rFonts w:hint="default" w:ascii="Times New Roman" w:hAnsi="Times New Roman" w:eastAsia="宋体" w:cs="Times New Roman"/>
                <w:color w:val="auto"/>
                <w:spacing w:val="10"/>
                <w:sz w:val="21"/>
                <w:szCs w:val="21"/>
              </w:rPr>
              <w:t>标识</w:t>
            </w:r>
          </w:p>
        </w:tc>
        <w:tc>
          <w:tcPr>
            <w:tcW w:w="5880" w:type="dxa"/>
            <w:gridSpan w:val="7"/>
            <w:tcBorders>
              <w:tl2br w:val="nil"/>
              <w:tr2bl w:val="nil"/>
            </w:tcBorders>
            <w:vAlign w:val="center"/>
          </w:tcPr>
          <w:p w14:paraId="57D1E052">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lang w:eastAsia="zh-CN"/>
              </w:rPr>
            </w:pPr>
            <w:r>
              <w:rPr>
                <w:rFonts w:hint="default" w:ascii="Times New Roman" w:hAnsi="Times New Roman" w:eastAsia="宋体" w:cs="Times New Roman"/>
                <w:color w:val="auto"/>
                <w:spacing w:val="10"/>
                <w:sz w:val="21"/>
                <w:szCs w:val="21"/>
              </w:rPr>
              <w:t>中文名：</w:t>
            </w:r>
            <w:r>
              <w:rPr>
                <w:rFonts w:hint="default" w:ascii="Times New Roman" w:hAnsi="Times New Roman" w:eastAsia="宋体" w:cs="Times New Roman"/>
                <w:color w:val="auto"/>
                <w:sz w:val="21"/>
                <w:szCs w:val="21"/>
                <w:lang w:eastAsia="zh-CN"/>
              </w:rPr>
              <w:t>次氯酸钠</w:t>
            </w:r>
          </w:p>
        </w:tc>
        <w:tc>
          <w:tcPr>
            <w:tcW w:w="2193" w:type="dxa"/>
            <w:gridSpan w:val="2"/>
            <w:tcBorders>
              <w:tl2br w:val="nil"/>
              <w:tr2bl w:val="nil"/>
            </w:tcBorders>
            <w:vAlign w:val="center"/>
          </w:tcPr>
          <w:p w14:paraId="25D399CB">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危险货物编号：</w:t>
            </w:r>
            <w:r>
              <w:rPr>
                <w:rFonts w:hint="default" w:ascii="Times New Roman" w:hAnsi="Times New Roman" w:eastAsia="宋体" w:cs="Times New Roman"/>
                <w:color w:val="auto"/>
                <w:sz w:val="21"/>
                <w:szCs w:val="21"/>
              </w:rPr>
              <w:t>51030</w:t>
            </w:r>
          </w:p>
        </w:tc>
      </w:tr>
      <w:tr w14:paraId="3821DB6C">
        <w:tblPrEx>
          <w:tblBorders>
            <w:top w:val="single" w:color="auto" w:sz="12" w:space="0"/>
            <w:left w:val="none" w:color="auto" w:sz="0" w:space="0"/>
            <w:bottom w:val="single" w:color="auto" w:sz="12" w:space="0"/>
            <w:right w:val="none" w:color="auto" w:sz="0" w:space="0"/>
            <w:insideH w:val="double" w:color="auto" w:sz="4" w:space="0"/>
            <w:insideV w:val="single" w:color="auto" w:sz="6" w:space="0"/>
          </w:tblBorders>
          <w:tblCellMar>
            <w:top w:w="0" w:type="dxa"/>
            <w:left w:w="108" w:type="dxa"/>
            <w:bottom w:w="0" w:type="dxa"/>
            <w:right w:w="108" w:type="dxa"/>
          </w:tblCellMar>
        </w:tblPrEx>
        <w:trPr>
          <w:cantSplit/>
          <w:trHeight w:val="0" w:hRule="atLeast"/>
          <w:jc w:val="center"/>
        </w:trPr>
        <w:tc>
          <w:tcPr>
            <w:tcW w:w="446" w:type="dxa"/>
            <w:vMerge w:val="continue"/>
            <w:tcBorders>
              <w:tl2br w:val="nil"/>
              <w:tr2bl w:val="nil"/>
            </w:tcBorders>
            <w:vAlign w:val="center"/>
          </w:tcPr>
          <w:p w14:paraId="6B85323F">
            <w:pPr>
              <w:keepNext w:val="0"/>
              <w:keepLines w:val="0"/>
              <w:pageBreakBefore w:val="0"/>
              <w:widowControl/>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p>
        </w:tc>
        <w:tc>
          <w:tcPr>
            <w:tcW w:w="5880" w:type="dxa"/>
            <w:gridSpan w:val="7"/>
            <w:tcBorders>
              <w:tl2br w:val="nil"/>
              <w:tr2bl w:val="nil"/>
            </w:tcBorders>
            <w:vAlign w:val="center"/>
          </w:tcPr>
          <w:p w14:paraId="34CBE2C3">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英文名：</w:t>
            </w:r>
            <w:r>
              <w:rPr>
                <w:rFonts w:hint="default" w:ascii="Times New Roman" w:hAnsi="Times New Roman" w:eastAsia="宋体" w:cs="Times New Roman"/>
                <w:color w:val="auto"/>
                <w:sz w:val="21"/>
                <w:szCs w:val="21"/>
              </w:rPr>
              <w:t>Sodium chlorate</w:t>
            </w:r>
          </w:p>
        </w:tc>
        <w:tc>
          <w:tcPr>
            <w:tcW w:w="2193" w:type="dxa"/>
            <w:gridSpan w:val="2"/>
            <w:tcBorders>
              <w:tl2br w:val="nil"/>
              <w:tr2bl w:val="nil"/>
            </w:tcBorders>
            <w:vAlign w:val="center"/>
          </w:tcPr>
          <w:p w14:paraId="27C056C3">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UN编号：</w:t>
            </w:r>
            <w:r>
              <w:rPr>
                <w:rFonts w:hint="default" w:ascii="Times New Roman" w:hAnsi="Times New Roman" w:eastAsia="宋体" w:cs="Times New Roman"/>
                <w:color w:val="auto"/>
                <w:sz w:val="21"/>
                <w:szCs w:val="21"/>
              </w:rPr>
              <w:t>1495</w:t>
            </w:r>
          </w:p>
        </w:tc>
      </w:tr>
      <w:tr w14:paraId="4697211A">
        <w:tblPrEx>
          <w:tblBorders>
            <w:top w:val="single" w:color="auto" w:sz="12" w:space="0"/>
            <w:left w:val="none" w:color="auto" w:sz="0" w:space="0"/>
            <w:bottom w:val="single" w:color="auto" w:sz="12" w:space="0"/>
            <w:right w:val="none" w:color="auto" w:sz="0" w:space="0"/>
            <w:insideH w:val="double" w:color="auto" w:sz="4" w:space="0"/>
            <w:insideV w:val="single" w:color="auto" w:sz="6" w:space="0"/>
          </w:tblBorders>
          <w:tblCellMar>
            <w:top w:w="0" w:type="dxa"/>
            <w:left w:w="108" w:type="dxa"/>
            <w:bottom w:w="0" w:type="dxa"/>
            <w:right w:w="108" w:type="dxa"/>
          </w:tblCellMar>
        </w:tblPrEx>
        <w:trPr>
          <w:cantSplit/>
          <w:trHeight w:val="0" w:hRule="atLeast"/>
          <w:jc w:val="center"/>
        </w:trPr>
        <w:tc>
          <w:tcPr>
            <w:tcW w:w="446" w:type="dxa"/>
            <w:vMerge w:val="continue"/>
            <w:tcBorders>
              <w:tl2br w:val="nil"/>
              <w:tr2bl w:val="nil"/>
            </w:tcBorders>
            <w:vAlign w:val="center"/>
          </w:tcPr>
          <w:p w14:paraId="33D84BE2">
            <w:pPr>
              <w:keepNext w:val="0"/>
              <w:keepLines w:val="0"/>
              <w:pageBreakBefore w:val="0"/>
              <w:widowControl/>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p>
        </w:tc>
        <w:tc>
          <w:tcPr>
            <w:tcW w:w="2704" w:type="dxa"/>
            <w:gridSpan w:val="2"/>
            <w:tcBorders>
              <w:tl2br w:val="nil"/>
              <w:tr2bl w:val="nil"/>
            </w:tcBorders>
            <w:vAlign w:val="center"/>
          </w:tcPr>
          <w:p w14:paraId="45956588">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lang w:eastAsia="zh-CN"/>
              </w:rPr>
            </w:pPr>
            <w:r>
              <w:rPr>
                <w:rFonts w:hint="default" w:ascii="Times New Roman" w:hAnsi="Times New Roman" w:eastAsia="宋体" w:cs="Times New Roman"/>
                <w:color w:val="auto"/>
                <w:spacing w:val="10"/>
                <w:sz w:val="21"/>
                <w:szCs w:val="21"/>
              </w:rPr>
              <w:t>分子式：</w:t>
            </w:r>
            <w:r>
              <w:rPr>
                <w:rFonts w:hint="default" w:ascii="Times New Roman" w:hAnsi="Times New Roman" w:eastAsia="宋体" w:cs="Times New Roman"/>
                <w:color w:val="auto"/>
                <w:sz w:val="21"/>
                <w:szCs w:val="21"/>
              </w:rPr>
              <w:t>NaClO</w:t>
            </w:r>
            <w:r>
              <w:rPr>
                <w:rFonts w:hint="default" w:ascii="Times New Roman" w:hAnsi="Times New Roman" w:eastAsia="宋体" w:cs="Times New Roman"/>
                <w:color w:val="auto"/>
                <w:sz w:val="21"/>
                <w:szCs w:val="21"/>
                <w:vertAlign w:val="subscript"/>
                <w:lang w:val="en-US" w:eastAsia="zh-CN"/>
              </w:rPr>
              <w:t xml:space="preserve"> </w:t>
            </w:r>
          </w:p>
        </w:tc>
        <w:tc>
          <w:tcPr>
            <w:tcW w:w="3176" w:type="dxa"/>
            <w:gridSpan w:val="5"/>
            <w:tcBorders>
              <w:tl2br w:val="nil"/>
              <w:tr2bl w:val="nil"/>
            </w:tcBorders>
            <w:vAlign w:val="center"/>
          </w:tcPr>
          <w:p w14:paraId="2760B5B6">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分子量：</w:t>
            </w:r>
            <w:r>
              <w:rPr>
                <w:rFonts w:hint="default" w:ascii="Times New Roman" w:hAnsi="Times New Roman" w:eastAsia="宋体" w:cs="Times New Roman"/>
                <w:color w:val="auto"/>
                <w:sz w:val="21"/>
                <w:szCs w:val="21"/>
              </w:rPr>
              <w:t>106.45</w:t>
            </w:r>
          </w:p>
        </w:tc>
        <w:tc>
          <w:tcPr>
            <w:tcW w:w="2193" w:type="dxa"/>
            <w:gridSpan w:val="2"/>
            <w:tcBorders>
              <w:tl2br w:val="nil"/>
              <w:tr2bl w:val="nil"/>
            </w:tcBorders>
            <w:vAlign w:val="center"/>
          </w:tcPr>
          <w:p w14:paraId="1C430CFB">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CAS号：</w:t>
            </w:r>
            <w:r>
              <w:rPr>
                <w:rFonts w:hint="default" w:ascii="Times New Roman" w:hAnsi="Times New Roman" w:eastAsia="宋体" w:cs="Times New Roman"/>
                <w:color w:val="auto"/>
                <w:sz w:val="21"/>
                <w:szCs w:val="21"/>
              </w:rPr>
              <w:t>7775-09-9</w:t>
            </w:r>
          </w:p>
        </w:tc>
      </w:tr>
      <w:tr w14:paraId="3483FB26">
        <w:tblPrEx>
          <w:tblBorders>
            <w:top w:val="single" w:color="auto" w:sz="12" w:space="0"/>
            <w:left w:val="none" w:color="auto" w:sz="0" w:space="0"/>
            <w:bottom w:val="single" w:color="auto" w:sz="12" w:space="0"/>
            <w:right w:val="none" w:color="auto" w:sz="0" w:space="0"/>
            <w:insideH w:val="double" w:color="auto" w:sz="4" w:space="0"/>
            <w:insideV w:val="single" w:color="auto" w:sz="6" w:space="0"/>
          </w:tblBorders>
          <w:tblCellMar>
            <w:top w:w="0" w:type="dxa"/>
            <w:left w:w="108" w:type="dxa"/>
            <w:bottom w:w="0" w:type="dxa"/>
            <w:right w:w="108" w:type="dxa"/>
          </w:tblCellMar>
        </w:tblPrEx>
        <w:trPr>
          <w:cantSplit/>
          <w:trHeight w:val="0" w:hRule="atLeast"/>
          <w:jc w:val="center"/>
        </w:trPr>
        <w:tc>
          <w:tcPr>
            <w:tcW w:w="446" w:type="dxa"/>
            <w:vMerge w:val="restart"/>
            <w:tcBorders>
              <w:tl2br w:val="nil"/>
              <w:tr2bl w:val="nil"/>
            </w:tcBorders>
            <w:vAlign w:val="center"/>
          </w:tcPr>
          <w:p w14:paraId="46BA6F8C">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理化性质</w:t>
            </w:r>
          </w:p>
        </w:tc>
        <w:tc>
          <w:tcPr>
            <w:tcW w:w="1512" w:type="dxa"/>
            <w:tcBorders>
              <w:tl2br w:val="nil"/>
              <w:tr2bl w:val="nil"/>
            </w:tcBorders>
            <w:vAlign w:val="center"/>
          </w:tcPr>
          <w:p w14:paraId="63B3301B">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外观与性状</w:t>
            </w:r>
          </w:p>
        </w:tc>
        <w:tc>
          <w:tcPr>
            <w:tcW w:w="6561" w:type="dxa"/>
            <w:gridSpan w:val="8"/>
            <w:tcBorders>
              <w:tl2br w:val="nil"/>
              <w:tr2bl w:val="nil"/>
            </w:tcBorders>
            <w:vAlign w:val="center"/>
          </w:tcPr>
          <w:p w14:paraId="1F9C1788">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z w:val="21"/>
                <w:szCs w:val="21"/>
              </w:rPr>
              <w:t>无色无臭结晶，味咸而凉，有潮解性。</w:t>
            </w:r>
          </w:p>
        </w:tc>
      </w:tr>
      <w:tr w14:paraId="6AE13A2E">
        <w:tblPrEx>
          <w:tblBorders>
            <w:top w:val="single" w:color="auto" w:sz="12" w:space="0"/>
            <w:left w:val="none" w:color="auto" w:sz="0" w:space="0"/>
            <w:bottom w:val="single" w:color="auto" w:sz="12" w:space="0"/>
            <w:right w:val="none" w:color="auto" w:sz="0" w:space="0"/>
            <w:insideH w:val="double" w:color="auto" w:sz="4" w:space="0"/>
            <w:insideV w:val="single" w:color="auto" w:sz="6" w:space="0"/>
          </w:tblBorders>
          <w:tblCellMar>
            <w:top w:w="0" w:type="dxa"/>
            <w:left w:w="108" w:type="dxa"/>
            <w:bottom w:w="0" w:type="dxa"/>
            <w:right w:w="108" w:type="dxa"/>
          </w:tblCellMar>
        </w:tblPrEx>
        <w:trPr>
          <w:cantSplit/>
          <w:trHeight w:val="0" w:hRule="atLeast"/>
          <w:jc w:val="center"/>
        </w:trPr>
        <w:tc>
          <w:tcPr>
            <w:tcW w:w="446" w:type="dxa"/>
            <w:vMerge w:val="continue"/>
            <w:tcBorders>
              <w:tl2br w:val="nil"/>
              <w:tr2bl w:val="nil"/>
            </w:tcBorders>
            <w:vAlign w:val="center"/>
          </w:tcPr>
          <w:p w14:paraId="7F5757F5">
            <w:pPr>
              <w:keepNext w:val="0"/>
              <w:keepLines w:val="0"/>
              <w:pageBreakBefore w:val="0"/>
              <w:widowControl/>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p>
        </w:tc>
        <w:tc>
          <w:tcPr>
            <w:tcW w:w="1512" w:type="dxa"/>
            <w:tcBorders>
              <w:tl2br w:val="nil"/>
              <w:tr2bl w:val="nil"/>
            </w:tcBorders>
            <w:vAlign w:val="center"/>
          </w:tcPr>
          <w:p w14:paraId="55C324C2">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熔点（℃）</w:t>
            </w:r>
          </w:p>
        </w:tc>
        <w:tc>
          <w:tcPr>
            <w:tcW w:w="2178" w:type="dxa"/>
            <w:gridSpan w:val="3"/>
            <w:tcBorders>
              <w:tl2br w:val="nil"/>
              <w:tr2bl w:val="nil"/>
            </w:tcBorders>
            <w:vAlign w:val="center"/>
          </w:tcPr>
          <w:p w14:paraId="28D29723">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b/>
                <w:color w:val="auto"/>
                <w:spacing w:val="10"/>
                <w:sz w:val="21"/>
                <w:szCs w:val="21"/>
              </w:rPr>
            </w:pPr>
            <w:r>
              <w:rPr>
                <w:rFonts w:hint="default" w:ascii="Times New Roman" w:hAnsi="Times New Roman" w:eastAsia="宋体" w:cs="Times New Roman"/>
                <w:color w:val="auto"/>
                <w:sz w:val="21"/>
                <w:szCs w:val="21"/>
              </w:rPr>
              <w:t>248～261</w:t>
            </w:r>
          </w:p>
        </w:tc>
        <w:tc>
          <w:tcPr>
            <w:tcW w:w="2190" w:type="dxa"/>
            <w:gridSpan w:val="3"/>
            <w:tcBorders>
              <w:tl2br w:val="nil"/>
              <w:tr2bl w:val="nil"/>
            </w:tcBorders>
            <w:vAlign w:val="center"/>
          </w:tcPr>
          <w:p w14:paraId="532F6B88">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相对密度(水=1)</w:t>
            </w:r>
          </w:p>
        </w:tc>
        <w:tc>
          <w:tcPr>
            <w:tcW w:w="2193" w:type="dxa"/>
            <w:gridSpan w:val="2"/>
            <w:tcBorders>
              <w:tl2br w:val="nil"/>
              <w:tr2bl w:val="nil"/>
            </w:tcBorders>
            <w:vAlign w:val="center"/>
          </w:tcPr>
          <w:p w14:paraId="2ACC66F1">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z w:val="21"/>
                <w:szCs w:val="21"/>
              </w:rPr>
              <w:t>2.49</w:t>
            </w:r>
          </w:p>
        </w:tc>
      </w:tr>
      <w:tr w14:paraId="52856958">
        <w:tblPrEx>
          <w:tblBorders>
            <w:top w:val="single" w:color="auto" w:sz="12" w:space="0"/>
            <w:left w:val="none" w:color="auto" w:sz="0" w:space="0"/>
            <w:bottom w:val="single" w:color="auto" w:sz="12" w:space="0"/>
            <w:right w:val="none" w:color="auto" w:sz="0" w:space="0"/>
            <w:insideH w:val="double" w:color="auto" w:sz="4" w:space="0"/>
            <w:insideV w:val="single" w:color="auto" w:sz="6" w:space="0"/>
          </w:tblBorders>
          <w:tblCellMar>
            <w:top w:w="0" w:type="dxa"/>
            <w:left w:w="108" w:type="dxa"/>
            <w:bottom w:w="0" w:type="dxa"/>
            <w:right w:w="108" w:type="dxa"/>
          </w:tblCellMar>
        </w:tblPrEx>
        <w:trPr>
          <w:cantSplit/>
          <w:trHeight w:val="0" w:hRule="atLeast"/>
          <w:jc w:val="center"/>
        </w:trPr>
        <w:tc>
          <w:tcPr>
            <w:tcW w:w="446" w:type="dxa"/>
            <w:vMerge w:val="continue"/>
            <w:tcBorders>
              <w:tl2br w:val="nil"/>
              <w:tr2bl w:val="nil"/>
            </w:tcBorders>
            <w:vAlign w:val="center"/>
          </w:tcPr>
          <w:p w14:paraId="67A9D643">
            <w:pPr>
              <w:keepNext w:val="0"/>
              <w:keepLines w:val="0"/>
              <w:pageBreakBefore w:val="0"/>
              <w:widowControl/>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p>
        </w:tc>
        <w:tc>
          <w:tcPr>
            <w:tcW w:w="1512" w:type="dxa"/>
            <w:tcBorders>
              <w:tl2br w:val="nil"/>
              <w:tr2bl w:val="nil"/>
            </w:tcBorders>
            <w:vAlign w:val="center"/>
          </w:tcPr>
          <w:p w14:paraId="1BC385E6">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沸点（℃）</w:t>
            </w:r>
          </w:p>
        </w:tc>
        <w:tc>
          <w:tcPr>
            <w:tcW w:w="2178" w:type="dxa"/>
            <w:gridSpan w:val="3"/>
            <w:tcBorders>
              <w:tl2br w:val="nil"/>
              <w:tr2bl w:val="nil"/>
            </w:tcBorders>
            <w:vAlign w:val="center"/>
          </w:tcPr>
          <w:p w14:paraId="3B36FB9F">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z w:val="21"/>
                <w:szCs w:val="21"/>
              </w:rPr>
              <w:t>分解</w:t>
            </w:r>
          </w:p>
        </w:tc>
        <w:tc>
          <w:tcPr>
            <w:tcW w:w="2190" w:type="dxa"/>
            <w:gridSpan w:val="3"/>
            <w:tcBorders>
              <w:tl2br w:val="nil"/>
              <w:tr2bl w:val="nil"/>
            </w:tcBorders>
            <w:vAlign w:val="center"/>
          </w:tcPr>
          <w:p w14:paraId="269525F9">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饱和蒸气压（kPa）</w:t>
            </w:r>
          </w:p>
        </w:tc>
        <w:tc>
          <w:tcPr>
            <w:tcW w:w="2193" w:type="dxa"/>
            <w:gridSpan w:val="2"/>
            <w:tcBorders>
              <w:tl2br w:val="nil"/>
              <w:tr2bl w:val="nil"/>
            </w:tcBorders>
            <w:vAlign w:val="center"/>
          </w:tcPr>
          <w:p w14:paraId="2EF96F48">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z w:val="21"/>
                <w:szCs w:val="21"/>
              </w:rPr>
              <w:t>/</w:t>
            </w:r>
          </w:p>
        </w:tc>
      </w:tr>
      <w:tr w14:paraId="199E4420">
        <w:tblPrEx>
          <w:tblBorders>
            <w:top w:val="single" w:color="auto" w:sz="12" w:space="0"/>
            <w:left w:val="none" w:color="auto" w:sz="0" w:space="0"/>
            <w:bottom w:val="single" w:color="auto" w:sz="12" w:space="0"/>
            <w:right w:val="none" w:color="auto" w:sz="0" w:space="0"/>
            <w:insideH w:val="double" w:color="auto" w:sz="4" w:space="0"/>
            <w:insideV w:val="single" w:color="auto" w:sz="6" w:space="0"/>
          </w:tblBorders>
          <w:tblCellMar>
            <w:top w:w="0" w:type="dxa"/>
            <w:left w:w="108" w:type="dxa"/>
            <w:bottom w:w="0" w:type="dxa"/>
            <w:right w:w="108" w:type="dxa"/>
          </w:tblCellMar>
        </w:tblPrEx>
        <w:trPr>
          <w:cantSplit/>
          <w:trHeight w:val="0" w:hRule="atLeast"/>
          <w:jc w:val="center"/>
        </w:trPr>
        <w:tc>
          <w:tcPr>
            <w:tcW w:w="446" w:type="dxa"/>
            <w:vMerge w:val="continue"/>
            <w:tcBorders>
              <w:tl2br w:val="nil"/>
              <w:tr2bl w:val="nil"/>
            </w:tcBorders>
            <w:vAlign w:val="center"/>
          </w:tcPr>
          <w:p w14:paraId="2F0589E4">
            <w:pPr>
              <w:keepNext w:val="0"/>
              <w:keepLines w:val="0"/>
              <w:pageBreakBefore w:val="0"/>
              <w:widowControl/>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p>
        </w:tc>
        <w:tc>
          <w:tcPr>
            <w:tcW w:w="1512" w:type="dxa"/>
            <w:tcBorders>
              <w:tl2br w:val="nil"/>
              <w:tr2bl w:val="nil"/>
            </w:tcBorders>
            <w:vAlign w:val="center"/>
          </w:tcPr>
          <w:p w14:paraId="385D8490">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溶解性</w:t>
            </w:r>
          </w:p>
        </w:tc>
        <w:tc>
          <w:tcPr>
            <w:tcW w:w="6561" w:type="dxa"/>
            <w:gridSpan w:val="8"/>
            <w:tcBorders>
              <w:tl2br w:val="nil"/>
              <w:tr2bl w:val="nil"/>
            </w:tcBorders>
            <w:vAlign w:val="center"/>
          </w:tcPr>
          <w:p w14:paraId="67EE74EF">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z w:val="21"/>
                <w:szCs w:val="21"/>
              </w:rPr>
              <w:t>易溶于水，微溶于乙醇。</w:t>
            </w:r>
          </w:p>
        </w:tc>
      </w:tr>
      <w:tr w14:paraId="0EFD539C">
        <w:tblPrEx>
          <w:tblBorders>
            <w:top w:val="single" w:color="auto" w:sz="12" w:space="0"/>
            <w:left w:val="none" w:color="auto" w:sz="0" w:space="0"/>
            <w:bottom w:val="single" w:color="auto" w:sz="12" w:space="0"/>
            <w:right w:val="none" w:color="auto" w:sz="0" w:space="0"/>
            <w:insideH w:val="double" w:color="auto" w:sz="4" w:space="0"/>
            <w:insideV w:val="single" w:color="auto" w:sz="6" w:space="0"/>
          </w:tblBorders>
          <w:tblCellMar>
            <w:top w:w="0" w:type="dxa"/>
            <w:left w:w="108" w:type="dxa"/>
            <w:bottom w:w="0" w:type="dxa"/>
            <w:right w:w="108" w:type="dxa"/>
          </w:tblCellMar>
        </w:tblPrEx>
        <w:trPr>
          <w:cantSplit/>
          <w:trHeight w:val="0" w:hRule="atLeast"/>
          <w:jc w:val="center"/>
        </w:trPr>
        <w:tc>
          <w:tcPr>
            <w:tcW w:w="446" w:type="dxa"/>
            <w:vMerge w:val="restart"/>
            <w:tcBorders>
              <w:tl2br w:val="nil"/>
              <w:tr2bl w:val="nil"/>
            </w:tcBorders>
            <w:vAlign w:val="center"/>
          </w:tcPr>
          <w:p w14:paraId="4143FD7B">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毒性及健康危害</w:t>
            </w:r>
          </w:p>
        </w:tc>
        <w:tc>
          <w:tcPr>
            <w:tcW w:w="1512" w:type="dxa"/>
            <w:tcBorders>
              <w:tl2br w:val="nil"/>
              <w:tr2bl w:val="nil"/>
            </w:tcBorders>
            <w:vAlign w:val="center"/>
          </w:tcPr>
          <w:p w14:paraId="62A072D2">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侵入途径</w:t>
            </w:r>
          </w:p>
        </w:tc>
        <w:tc>
          <w:tcPr>
            <w:tcW w:w="6561" w:type="dxa"/>
            <w:gridSpan w:val="8"/>
            <w:tcBorders>
              <w:tl2br w:val="nil"/>
              <w:tr2bl w:val="nil"/>
            </w:tcBorders>
            <w:vAlign w:val="center"/>
          </w:tcPr>
          <w:p w14:paraId="37ABD578">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吸入、食入、经皮吸收</w:t>
            </w:r>
          </w:p>
        </w:tc>
      </w:tr>
      <w:tr w14:paraId="764E9C91">
        <w:tblPrEx>
          <w:tblBorders>
            <w:top w:val="single" w:color="auto" w:sz="12" w:space="0"/>
            <w:left w:val="none" w:color="auto" w:sz="0" w:space="0"/>
            <w:bottom w:val="single" w:color="auto" w:sz="12" w:space="0"/>
            <w:right w:val="none" w:color="auto" w:sz="0" w:space="0"/>
            <w:insideH w:val="double" w:color="auto" w:sz="4" w:space="0"/>
            <w:insideV w:val="single" w:color="auto" w:sz="6" w:space="0"/>
          </w:tblBorders>
          <w:tblCellMar>
            <w:top w:w="0" w:type="dxa"/>
            <w:left w:w="108" w:type="dxa"/>
            <w:bottom w:w="0" w:type="dxa"/>
            <w:right w:w="108" w:type="dxa"/>
          </w:tblCellMar>
        </w:tblPrEx>
        <w:trPr>
          <w:cantSplit/>
          <w:trHeight w:val="0" w:hRule="atLeast"/>
          <w:jc w:val="center"/>
        </w:trPr>
        <w:tc>
          <w:tcPr>
            <w:tcW w:w="446" w:type="dxa"/>
            <w:vMerge w:val="continue"/>
            <w:tcBorders>
              <w:tl2br w:val="nil"/>
              <w:tr2bl w:val="nil"/>
            </w:tcBorders>
            <w:vAlign w:val="center"/>
          </w:tcPr>
          <w:p w14:paraId="29A7E686">
            <w:pPr>
              <w:keepNext w:val="0"/>
              <w:keepLines w:val="0"/>
              <w:pageBreakBefore w:val="0"/>
              <w:widowControl/>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p>
        </w:tc>
        <w:tc>
          <w:tcPr>
            <w:tcW w:w="1512" w:type="dxa"/>
            <w:tcBorders>
              <w:tl2br w:val="nil"/>
              <w:tr2bl w:val="nil"/>
            </w:tcBorders>
            <w:vAlign w:val="center"/>
          </w:tcPr>
          <w:p w14:paraId="5E920312">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毒性</w:t>
            </w:r>
          </w:p>
        </w:tc>
        <w:tc>
          <w:tcPr>
            <w:tcW w:w="6561" w:type="dxa"/>
            <w:gridSpan w:val="8"/>
            <w:tcBorders>
              <w:tl2br w:val="nil"/>
              <w:tr2bl w:val="nil"/>
            </w:tcBorders>
            <w:vAlign w:val="center"/>
          </w:tcPr>
          <w:p w14:paraId="494A4C33">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b/>
                <w:color w:val="auto"/>
                <w:spacing w:val="10"/>
                <w:sz w:val="21"/>
                <w:szCs w:val="21"/>
              </w:rPr>
            </w:pPr>
            <w:r>
              <w:rPr>
                <w:rFonts w:hint="default" w:ascii="Times New Roman" w:hAnsi="Times New Roman" w:eastAsia="宋体" w:cs="Times New Roman"/>
                <w:color w:val="auto"/>
                <w:sz w:val="21"/>
                <w:szCs w:val="21"/>
              </w:rPr>
              <w:t>LD</w:t>
            </w:r>
            <w:r>
              <w:rPr>
                <w:rFonts w:hint="default" w:ascii="Times New Roman" w:hAnsi="Times New Roman" w:eastAsia="宋体" w:cs="Times New Roman"/>
                <w:color w:val="auto"/>
                <w:sz w:val="21"/>
                <w:szCs w:val="21"/>
                <w:vertAlign w:val="subscript"/>
              </w:rPr>
              <w:t>50</w:t>
            </w:r>
            <w:r>
              <w:rPr>
                <w:rFonts w:hint="default" w:ascii="Times New Roman" w:hAnsi="Times New Roman" w:eastAsia="宋体" w:cs="Times New Roman"/>
                <w:color w:val="auto"/>
                <w:sz w:val="21"/>
                <w:szCs w:val="21"/>
              </w:rPr>
              <w:t>：1200mg/kg(大鼠经口)。</w:t>
            </w:r>
          </w:p>
        </w:tc>
      </w:tr>
      <w:tr w14:paraId="3BEFB0C6">
        <w:tblPrEx>
          <w:tblBorders>
            <w:top w:val="single" w:color="auto" w:sz="12" w:space="0"/>
            <w:left w:val="none" w:color="auto" w:sz="0" w:space="0"/>
            <w:bottom w:val="single" w:color="auto" w:sz="12" w:space="0"/>
            <w:right w:val="none" w:color="auto" w:sz="0" w:space="0"/>
            <w:insideH w:val="double" w:color="auto" w:sz="4" w:space="0"/>
            <w:insideV w:val="single" w:color="auto" w:sz="6" w:space="0"/>
          </w:tblBorders>
          <w:tblCellMar>
            <w:top w:w="0" w:type="dxa"/>
            <w:left w:w="108" w:type="dxa"/>
            <w:bottom w:w="0" w:type="dxa"/>
            <w:right w:w="108" w:type="dxa"/>
          </w:tblCellMar>
        </w:tblPrEx>
        <w:trPr>
          <w:cantSplit/>
          <w:trHeight w:val="0" w:hRule="atLeast"/>
          <w:jc w:val="center"/>
        </w:trPr>
        <w:tc>
          <w:tcPr>
            <w:tcW w:w="446" w:type="dxa"/>
            <w:vMerge w:val="continue"/>
            <w:tcBorders>
              <w:tl2br w:val="nil"/>
              <w:tr2bl w:val="nil"/>
            </w:tcBorders>
            <w:vAlign w:val="center"/>
          </w:tcPr>
          <w:p w14:paraId="74F3F938">
            <w:pPr>
              <w:keepNext w:val="0"/>
              <w:keepLines w:val="0"/>
              <w:pageBreakBefore w:val="0"/>
              <w:widowControl/>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p>
        </w:tc>
        <w:tc>
          <w:tcPr>
            <w:tcW w:w="1512" w:type="dxa"/>
            <w:tcBorders>
              <w:tl2br w:val="nil"/>
              <w:tr2bl w:val="nil"/>
            </w:tcBorders>
            <w:vAlign w:val="center"/>
          </w:tcPr>
          <w:p w14:paraId="36D57145">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健康危害</w:t>
            </w:r>
          </w:p>
        </w:tc>
        <w:tc>
          <w:tcPr>
            <w:tcW w:w="6561" w:type="dxa"/>
            <w:gridSpan w:val="8"/>
            <w:tcBorders>
              <w:tl2br w:val="nil"/>
              <w:tr2bl w:val="nil"/>
            </w:tcBorders>
            <w:vAlign w:val="center"/>
          </w:tcPr>
          <w:p w14:paraId="693B25B8">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z w:val="21"/>
                <w:szCs w:val="21"/>
              </w:rPr>
              <w:t>本品粉尘对呼吸道、眼及皮肤有刺激性。口服急性中毒，表现为高铁血红蛋白血症，胃肠炎，肝肾损伤，甚至发生窒息。</w:t>
            </w:r>
          </w:p>
        </w:tc>
      </w:tr>
      <w:tr w14:paraId="03FAC3E4">
        <w:tblPrEx>
          <w:tblBorders>
            <w:top w:val="single" w:color="auto" w:sz="12" w:space="0"/>
            <w:left w:val="none" w:color="auto" w:sz="0" w:space="0"/>
            <w:bottom w:val="single" w:color="auto" w:sz="12" w:space="0"/>
            <w:right w:val="none" w:color="auto" w:sz="0" w:space="0"/>
            <w:insideH w:val="double" w:color="auto" w:sz="4" w:space="0"/>
            <w:insideV w:val="single" w:color="auto" w:sz="6" w:space="0"/>
          </w:tblBorders>
          <w:tblCellMar>
            <w:top w:w="0" w:type="dxa"/>
            <w:left w:w="108" w:type="dxa"/>
            <w:bottom w:w="0" w:type="dxa"/>
            <w:right w:w="108" w:type="dxa"/>
          </w:tblCellMar>
        </w:tblPrEx>
        <w:trPr>
          <w:cantSplit/>
          <w:trHeight w:val="0" w:hRule="atLeast"/>
          <w:jc w:val="center"/>
        </w:trPr>
        <w:tc>
          <w:tcPr>
            <w:tcW w:w="446" w:type="dxa"/>
            <w:vMerge w:val="restart"/>
            <w:tcBorders>
              <w:tl2br w:val="nil"/>
              <w:tr2bl w:val="nil"/>
            </w:tcBorders>
            <w:vAlign w:val="center"/>
          </w:tcPr>
          <w:p w14:paraId="212144B6">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燃烧爆炸危险性</w:t>
            </w:r>
          </w:p>
        </w:tc>
        <w:tc>
          <w:tcPr>
            <w:tcW w:w="1512" w:type="dxa"/>
            <w:tcBorders>
              <w:tl2br w:val="nil"/>
              <w:tr2bl w:val="nil"/>
            </w:tcBorders>
            <w:vAlign w:val="center"/>
          </w:tcPr>
          <w:p w14:paraId="7641C7AD">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燃烧性</w:t>
            </w:r>
          </w:p>
        </w:tc>
        <w:tc>
          <w:tcPr>
            <w:tcW w:w="1520" w:type="dxa"/>
            <w:gridSpan w:val="2"/>
            <w:tcBorders>
              <w:tl2br w:val="nil"/>
              <w:tr2bl w:val="nil"/>
            </w:tcBorders>
            <w:vAlign w:val="center"/>
          </w:tcPr>
          <w:p w14:paraId="4D85B84F">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z w:val="21"/>
                <w:szCs w:val="21"/>
              </w:rPr>
              <w:t>助燃</w:t>
            </w:r>
          </w:p>
        </w:tc>
        <w:tc>
          <w:tcPr>
            <w:tcW w:w="2220" w:type="dxa"/>
            <w:gridSpan w:val="3"/>
            <w:tcBorders>
              <w:tl2br w:val="nil"/>
              <w:tr2bl w:val="nil"/>
            </w:tcBorders>
            <w:vAlign w:val="center"/>
          </w:tcPr>
          <w:p w14:paraId="2630D504">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燃烧分解物</w:t>
            </w:r>
          </w:p>
        </w:tc>
        <w:tc>
          <w:tcPr>
            <w:tcW w:w="2821" w:type="dxa"/>
            <w:gridSpan w:val="3"/>
            <w:tcBorders>
              <w:tl2br w:val="nil"/>
              <w:tr2bl w:val="nil"/>
            </w:tcBorders>
            <w:vAlign w:val="center"/>
          </w:tcPr>
          <w:p w14:paraId="1BA068FC">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z w:val="21"/>
                <w:szCs w:val="21"/>
              </w:rPr>
              <w:t>氧气、氯化物、氧化钠。</w:t>
            </w:r>
          </w:p>
        </w:tc>
      </w:tr>
      <w:tr w14:paraId="0C755D4D">
        <w:tblPrEx>
          <w:tblBorders>
            <w:top w:val="single" w:color="auto" w:sz="12" w:space="0"/>
            <w:left w:val="none" w:color="auto" w:sz="0" w:space="0"/>
            <w:bottom w:val="single" w:color="auto" w:sz="12" w:space="0"/>
            <w:right w:val="none" w:color="auto" w:sz="0" w:space="0"/>
            <w:insideH w:val="double" w:color="auto" w:sz="4" w:space="0"/>
            <w:insideV w:val="single" w:color="auto" w:sz="6" w:space="0"/>
          </w:tblBorders>
          <w:tblCellMar>
            <w:top w:w="0" w:type="dxa"/>
            <w:left w:w="108" w:type="dxa"/>
            <w:bottom w:w="0" w:type="dxa"/>
            <w:right w:w="108" w:type="dxa"/>
          </w:tblCellMar>
        </w:tblPrEx>
        <w:trPr>
          <w:cantSplit/>
          <w:trHeight w:val="0" w:hRule="atLeast"/>
          <w:jc w:val="center"/>
        </w:trPr>
        <w:tc>
          <w:tcPr>
            <w:tcW w:w="446" w:type="dxa"/>
            <w:vMerge w:val="continue"/>
            <w:tcBorders>
              <w:tl2br w:val="nil"/>
              <w:tr2bl w:val="nil"/>
            </w:tcBorders>
            <w:vAlign w:val="center"/>
          </w:tcPr>
          <w:p w14:paraId="3A1B640D">
            <w:pPr>
              <w:keepNext w:val="0"/>
              <w:keepLines w:val="0"/>
              <w:pageBreakBefore w:val="0"/>
              <w:widowControl/>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p>
        </w:tc>
        <w:tc>
          <w:tcPr>
            <w:tcW w:w="1512" w:type="dxa"/>
            <w:tcBorders>
              <w:tl2br w:val="nil"/>
              <w:tr2bl w:val="nil"/>
            </w:tcBorders>
            <w:vAlign w:val="center"/>
          </w:tcPr>
          <w:p w14:paraId="73958066">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闪点(℃)</w:t>
            </w:r>
          </w:p>
        </w:tc>
        <w:tc>
          <w:tcPr>
            <w:tcW w:w="1520" w:type="dxa"/>
            <w:gridSpan w:val="2"/>
            <w:tcBorders>
              <w:tl2br w:val="nil"/>
              <w:tr2bl w:val="nil"/>
            </w:tcBorders>
            <w:vAlign w:val="center"/>
          </w:tcPr>
          <w:p w14:paraId="723DD2E3">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z w:val="21"/>
                <w:szCs w:val="21"/>
              </w:rPr>
              <w:t>/</w:t>
            </w:r>
          </w:p>
        </w:tc>
        <w:tc>
          <w:tcPr>
            <w:tcW w:w="2220" w:type="dxa"/>
            <w:gridSpan w:val="3"/>
            <w:tcBorders>
              <w:tl2br w:val="nil"/>
              <w:tr2bl w:val="nil"/>
            </w:tcBorders>
            <w:vAlign w:val="center"/>
          </w:tcPr>
          <w:p w14:paraId="4F3B74C0">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爆炸上限（</w:t>
            </w: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lang w:eastAsia="zh-CN"/>
              </w:rPr>
              <w:t>m</w:t>
            </w:r>
            <w:r>
              <w:rPr>
                <w:rFonts w:hint="default" w:ascii="Times New Roman" w:hAnsi="Times New Roman" w:eastAsia="宋体" w:cs="Times New Roman"/>
                <w:color w:val="auto"/>
                <w:sz w:val="21"/>
                <w:szCs w:val="21"/>
                <w:vertAlign w:val="superscript"/>
                <w:lang w:eastAsia="zh-CN"/>
              </w:rPr>
              <w:t>3</w:t>
            </w:r>
            <w:r>
              <w:rPr>
                <w:rFonts w:hint="default" w:ascii="Times New Roman" w:hAnsi="Times New Roman" w:eastAsia="宋体" w:cs="Times New Roman"/>
                <w:color w:val="auto"/>
                <w:spacing w:val="10"/>
                <w:sz w:val="21"/>
                <w:szCs w:val="21"/>
              </w:rPr>
              <w:t>）：</w:t>
            </w:r>
          </w:p>
        </w:tc>
        <w:tc>
          <w:tcPr>
            <w:tcW w:w="2821" w:type="dxa"/>
            <w:gridSpan w:val="3"/>
            <w:tcBorders>
              <w:tl2br w:val="nil"/>
              <w:tr2bl w:val="nil"/>
            </w:tcBorders>
            <w:vAlign w:val="center"/>
          </w:tcPr>
          <w:p w14:paraId="03FB90E8">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z w:val="21"/>
                <w:szCs w:val="21"/>
              </w:rPr>
              <w:t>/</w:t>
            </w:r>
          </w:p>
        </w:tc>
      </w:tr>
      <w:tr w14:paraId="27AFCCC4">
        <w:tblPrEx>
          <w:tblBorders>
            <w:top w:val="single" w:color="auto" w:sz="12" w:space="0"/>
            <w:left w:val="none" w:color="auto" w:sz="0" w:space="0"/>
            <w:bottom w:val="single" w:color="auto" w:sz="12" w:space="0"/>
            <w:right w:val="none" w:color="auto" w:sz="0" w:space="0"/>
            <w:insideH w:val="double" w:color="auto" w:sz="4" w:space="0"/>
            <w:insideV w:val="single" w:color="auto" w:sz="6" w:space="0"/>
          </w:tblBorders>
          <w:tblCellMar>
            <w:top w:w="0" w:type="dxa"/>
            <w:left w:w="108" w:type="dxa"/>
            <w:bottom w:w="0" w:type="dxa"/>
            <w:right w:w="108" w:type="dxa"/>
          </w:tblCellMar>
        </w:tblPrEx>
        <w:trPr>
          <w:cantSplit/>
          <w:trHeight w:val="0" w:hRule="atLeast"/>
          <w:jc w:val="center"/>
        </w:trPr>
        <w:tc>
          <w:tcPr>
            <w:tcW w:w="446" w:type="dxa"/>
            <w:vMerge w:val="continue"/>
            <w:tcBorders>
              <w:tl2br w:val="nil"/>
              <w:tr2bl w:val="nil"/>
            </w:tcBorders>
            <w:vAlign w:val="center"/>
          </w:tcPr>
          <w:p w14:paraId="0F0D803E">
            <w:pPr>
              <w:keepNext w:val="0"/>
              <w:keepLines w:val="0"/>
              <w:pageBreakBefore w:val="0"/>
              <w:widowControl/>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p>
        </w:tc>
        <w:tc>
          <w:tcPr>
            <w:tcW w:w="1512" w:type="dxa"/>
            <w:tcBorders>
              <w:tl2br w:val="nil"/>
              <w:tr2bl w:val="nil"/>
            </w:tcBorders>
            <w:vAlign w:val="center"/>
          </w:tcPr>
          <w:p w14:paraId="7C031269">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自燃温度(℃)</w:t>
            </w:r>
          </w:p>
        </w:tc>
        <w:tc>
          <w:tcPr>
            <w:tcW w:w="1520" w:type="dxa"/>
            <w:gridSpan w:val="2"/>
            <w:tcBorders>
              <w:tl2br w:val="nil"/>
              <w:tr2bl w:val="nil"/>
            </w:tcBorders>
            <w:vAlign w:val="center"/>
          </w:tcPr>
          <w:p w14:paraId="524FFF39">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z w:val="21"/>
                <w:szCs w:val="21"/>
              </w:rPr>
              <w:t>/</w:t>
            </w:r>
          </w:p>
        </w:tc>
        <w:tc>
          <w:tcPr>
            <w:tcW w:w="2220" w:type="dxa"/>
            <w:gridSpan w:val="3"/>
            <w:tcBorders>
              <w:tl2br w:val="nil"/>
              <w:tr2bl w:val="nil"/>
            </w:tcBorders>
            <w:vAlign w:val="center"/>
          </w:tcPr>
          <w:p w14:paraId="68B287EC">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爆炸下限（</w:t>
            </w: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lang w:eastAsia="zh-CN"/>
              </w:rPr>
              <w:t>m</w:t>
            </w:r>
            <w:r>
              <w:rPr>
                <w:rFonts w:hint="default" w:ascii="Times New Roman" w:hAnsi="Times New Roman" w:eastAsia="宋体" w:cs="Times New Roman"/>
                <w:color w:val="auto"/>
                <w:sz w:val="21"/>
                <w:szCs w:val="21"/>
                <w:vertAlign w:val="superscript"/>
                <w:lang w:eastAsia="zh-CN"/>
              </w:rPr>
              <w:t>3</w:t>
            </w:r>
            <w:r>
              <w:rPr>
                <w:rFonts w:hint="default" w:ascii="Times New Roman" w:hAnsi="Times New Roman" w:eastAsia="宋体" w:cs="Times New Roman"/>
                <w:color w:val="auto"/>
                <w:spacing w:val="10"/>
                <w:sz w:val="21"/>
                <w:szCs w:val="21"/>
              </w:rPr>
              <w:t>）：</w:t>
            </w:r>
          </w:p>
        </w:tc>
        <w:tc>
          <w:tcPr>
            <w:tcW w:w="2821" w:type="dxa"/>
            <w:gridSpan w:val="3"/>
            <w:tcBorders>
              <w:tl2br w:val="nil"/>
              <w:tr2bl w:val="nil"/>
            </w:tcBorders>
            <w:vAlign w:val="center"/>
          </w:tcPr>
          <w:p w14:paraId="62DD2AB4">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z w:val="21"/>
                <w:szCs w:val="21"/>
              </w:rPr>
              <w:t>/</w:t>
            </w:r>
          </w:p>
        </w:tc>
      </w:tr>
      <w:tr w14:paraId="4589CE62">
        <w:tblPrEx>
          <w:tblBorders>
            <w:top w:val="single" w:color="auto" w:sz="12" w:space="0"/>
            <w:left w:val="none" w:color="auto" w:sz="0" w:space="0"/>
            <w:bottom w:val="single" w:color="auto" w:sz="12" w:space="0"/>
            <w:right w:val="none" w:color="auto" w:sz="0" w:space="0"/>
            <w:insideH w:val="double" w:color="auto" w:sz="4" w:space="0"/>
            <w:insideV w:val="single" w:color="auto" w:sz="6" w:space="0"/>
          </w:tblBorders>
          <w:tblCellMar>
            <w:top w:w="0" w:type="dxa"/>
            <w:left w:w="108" w:type="dxa"/>
            <w:bottom w:w="0" w:type="dxa"/>
            <w:right w:w="108" w:type="dxa"/>
          </w:tblCellMar>
        </w:tblPrEx>
        <w:trPr>
          <w:cantSplit/>
          <w:trHeight w:val="0" w:hRule="atLeast"/>
          <w:jc w:val="center"/>
        </w:trPr>
        <w:tc>
          <w:tcPr>
            <w:tcW w:w="446" w:type="dxa"/>
            <w:vMerge w:val="continue"/>
            <w:tcBorders>
              <w:tl2br w:val="nil"/>
              <w:tr2bl w:val="nil"/>
            </w:tcBorders>
            <w:vAlign w:val="center"/>
          </w:tcPr>
          <w:p w14:paraId="50043773">
            <w:pPr>
              <w:keepNext w:val="0"/>
              <w:keepLines w:val="0"/>
              <w:pageBreakBefore w:val="0"/>
              <w:widowControl/>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p>
        </w:tc>
        <w:tc>
          <w:tcPr>
            <w:tcW w:w="1512" w:type="dxa"/>
            <w:tcBorders>
              <w:tl2br w:val="nil"/>
              <w:tr2bl w:val="nil"/>
            </w:tcBorders>
            <w:vAlign w:val="center"/>
          </w:tcPr>
          <w:p w14:paraId="540F6F3E">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危险特性</w:t>
            </w:r>
          </w:p>
        </w:tc>
        <w:tc>
          <w:tcPr>
            <w:tcW w:w="6561" w:type="dxa"/>
            <w:gridSpan w:val="8"/>
            <w:tcBorders>
              <w:tl2br w:val="nil"/>
              <w:tr2bl w:val="nil"/>
            </w:tcBorders>
            <w:vAlign w:val="center"/>
          </w:tcPr>
          <w:p w14:paraId="3A46AFF3">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z w:val="21"/>
                <w:szCs w:val="21"/>
              </w:rPr>
              <w:t>强氧化剂。受强热或与强酸接触时即发生爆炸。与还原剂、有机物、易燃物如硫、磷或金属粉末等混合可形成爆炸性混合物。急剧加热时可发生爆炸。</w:t>
            </w:r>
          </w:p>
        </w:tc>
      </w:tr>
      <w:tr w14:paraId="00BC8B2D">
        <w:tblPrEx>
          <w:tblBorders>
            <w:top w:val="single" w:color="auto" w:sz="12" w:space="0"/>
            <w:left w:val="none" w:color="auto" w:sz="0" w:space="0"/>
            <w:bottom w:val="single" w:color="auto" w:sz="12" w:space="0"/>
            <w:right w:val="none" w:color="auto" w:sz="0" w:space="0"/>
            <w:insideH w:val="double" w:color="auto" w:sz="4" w:space="0"/>
            <w:insideV w:val="single" w:color="auto" w:sz="6" w:space="0"/>
          </w:tblBorders>
          <w:tblCellMar>
            <w:top w:w="0" w:type="dxa"/>
            <w:left w:w="108" w:type="dxa"/>
            <w:bottom w:w="0" w:type="dxa"/>
            <w:right w:w="108" w:type="dxa"/>
          </w:tblCellMar>
        </w:tblPrEx>
        <w:trPr>
          <w:cantSplit/>
          <w:trHeight w:val="0" w:hRule="atLeast"/>
          <w:jc w:val="center"/>
        </w:trPr>
        <w:tc>
          <w:tcPr>
            <w:tcW w:w="446" w:type="dxa"/>
            <w:vMerge w:val="continue"/>
            <w:tcBorders>
              <w:tl2br w:val="nil"/>
              <w:tr2bl w:val="nil"/>
            </w:tcBorders>
            <w:vAlign w:val="center"/>
          </w:tcPr>
          <w:p w14:paraId="011F5A61">
            <w:pPr>
              <w:keepNext w:val="0"/>
              <w:keepLines w:val="0"/>
              <w:pageBreakBefore w:val="0"/>
              <w:widowControl/>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p>
        </w:tc>
        <w:tc>
          <w:tcPr>
            <w:tcW w:w="1512" w:type="dxa"/>
            <w:tcBorders>
              <w:tl2br w:val="nil"/>
              <w:tr2bl w:val="nil"/>
            </w:tcBorders>
            <w:vAlign w:val="center"/>
          </w:tcPr>
          <w:p w14:paraId="04E7B5EB">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建规火险分级</w:t>
            </w:r>
          </w:p>
        </w:tc>
        <w:tc>
          <w:tcPr>
            <w:tcW w:w="1520" w:type="dxa"/>
            <w:gridSpan w:val="2"/>
            <w:tcBorders>
              <w:tl2br w:val="nil"/>
              <w:tr2bl w:val="nil"/>
            </w:tcBorders>
            <w:vAlign w:val="center"/>
          </w:tcPr>
          <w:p w14:paraId="5949573E">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甲</w:t>
            </w:r>
          </w:p>
        </w:tc>
        <w:tc>
          <w:tcPr>
            <w:tcW w:w="1103" w:type="dxa"/>
            <w:gridSpan w:val="2"/>
            <w:tcBorders>
              <w:tl2br w:val="nil"/>
              <w:tr2bl w:val="nil"/>
            </w:tcBorders>
            <w:vAlign w:val="center"/>
          </w:tcPr>
          <w:p w14:paraId="515E897D">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稳定性</w:t>
            </w:r>
          </w:p>
        </w:tc>
        <w:tc>
          <w:tcPr>
            <w:tcW w:w="1117" w:type="dxa"/>
            <w:tcBorders>
              <w:tl2br w:val="nil"/>
              <w:tr2bl w:val="nil"/>
            </w:tcBorders>
            <w:vAlign w:val="center"/>
          </w:tcPr>
          <w:p w14:paraId="0E941F17">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稳定</w:t>
            </w:r>
          </w:p>
        </w:tc>
        <w:tc>
          <w:tcPr>
            <w:tcW w:w="1403" w:type="dxa"/>
            <w:gridSpan w:val="2"/>
            <w:tcBorders>
              <w:tl2br w:val="nil"/>
              <w:tr2bl w:val="nil"/>
            </w:tcBorders>
            <w:vAlign w:val="center"/>
          </w:tcPr>
          <w:p w14:paraId="26591AEF">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聚合危害</w:t>
            </w:r>
          </w:p>
        </w:tc>
        <w:tc>
          <w:tcPr>
            <w:tcW w:w="1418" w:type="dxa"/>
            <w:tcBorders>
              <w:tl2br w:val="nil"/>
              <w:tr2bl w:val="nil"/>
            </w:tcBorders>
            <w:vAlign w:val="center"/>
          </w:tcPr>
          <w:p w14:paraId="53B24E02">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不聚合</w:t>
            </w:r>
          </w:p>
        </w:tc>
      </w:tr>
      <w:tr w14:paraId="4051B51B">
        <w:tblPrEx>
          <w:tblBorders>
            <w:top w:val="single" w:color="auto" w:sz="12" w:space="0"/>
            <w:left w:val="none" w:color="auto" w:sz="0" w:space="0"/>
            <w:bottom w:val="single" w:color="auto" w:sz="12" w:space="0"/>
            <w:right w:val="none" w:color="auto" w:sz="0" w:space="0"/>
            <w:insideH w:val="double" w:color="auto" w:sz="4" w:space="0"/>
            <w:insideV w:val="single" w:color="auto" w:sz="6" w:space="0"/>
          </w:tblBorders>
          <w:tblCellMar>
            <w:top w:w="0" w:type="dxa"/>
            <w:left w:w="108" w:type="dxa"/>
            <w:bottom w:w="0" w:type="dxa"/>
            <w:right w:w="108" w:type="dxa"/>
          </w:tblCellMar>
        </w:tblPrEx>
        <w:trPr>
          <w:cantSplit/>
          <w:trHeight w:val="0" w:hRule="atLeast"/>
          <w:jc w:val="center"/>
        </w:trPr>
        <w:tc>
          <w:tcPr>
            <w:tcW w:w="446" w:type="dxa"/>
            <w:vMerge w:val="continue"/>
            <w:tcBorders>
              <w:tl2br w:val="nil"/>
              <w:tr2bl w:val="nil"/>
            </w:tcBorders>
            <w:vAlign w:val="center"/>
          </w:tcPr>
          <w:p w14:paraId="1F833DA5">
            <w:pPr>
              <w:keepNext w:val="0"/>
              <w:keepLines w:val="0"/>
              <w:pageBreakBefore w:val="0"/>
              <w:widowControl/>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p>
        </w:tc>
        <w:tc>
          <w:tcPr>
            <w:tcW w:w="1512" w:type="dxa"/>
            <w:tcBorders>
              <w:tl2br w:val="nil"/>
              <w:tr2bl w:val="nil"/>
            </w:tcBorders>
            <w:vAlign w:val="center"/>
          </w:tcPr>
          <w:p w14:paraId="55758152">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禁忌物</w:t>
            </w:r>
          </w:p>
        </w:tc>
        <w:tc>
          <w:tcPr>
            <w:tcW w:w="6561" w:type="dxa"/>
            <w:gridSpan w:val="8"/>
            <w:tcBorders>
              <w:tl2br w:val="nil"/>
              <w:tr2bl w:val="nil"/>
            </w:tcBorders>
            <w:vAlign w:val="center"/>
          </w:tcPr>
          <w:p w14:paraId="439198FD">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z w:val="21"/>
                <w:szCs w:val="21"/>
              </w:rPr>
              <w:t>强还原剂、易燃或可燃物、醇类、强酸、硫、磷、铝。</w:t>
            </w:r>
          </w:p>
        </w:tc>
      </w:tr>
      <w:tr w14:paraId="063BA206">
        <w:tblPrEx>
          <w:tblBorders>
            <w:top w:val="single" w:color="auto" w:sz="12" w:space="0"/>
            <w:left w:val="none" w:color="auto" w:sz="0" w:space="0"/>
            <w:bottom w:val="single" w:color="auto" w:sz="12" w:space="0"/>
            <w:right w:val="none" w:color="auto" w:sz="0" w:space="0"/>
            <w:insideH w:val="double" w:color="auto" w:sz="4" w:space="0"/>
            <w:insideV w:val="single" w:color="auto" w:sz="6" w:space="0"/>
          </w:tblBorders>
          <w:tblCellMar>
            <w:top w:w="0" w:type="dxa"/>
            <w:left w:w="108" w:type="dxa"/>
            <w:bottom w:w="0" w:type="dxa"/>
            <w:right w:w="108" w:type="dxa"/>
          </w:tblCellMar>
        </w:tblPrEx>
        <w:trPr>
          <w:cantSplit/>
          <w:trHeight w:val="0" w:hRule="atLeast"/>
          <w:jc w:val="center"/>
        </w:trPr>
        <w:tc>
          <w:tcPr>
            <w:tcW w:w="446" w:type="dxa"/>
            <w:vMerge w:val="continue"/>
            <w:tcBorders>
              <w:tl2br w:val="nil"/>
              <w:tr2bl w:val="nil"/>
            </w:tcBorders>
            <w:vAlign w:val="center"/>
          </w:tcPr>
          <w:p w14:paraId="74F4E6CE">
            <w:pPr>
              <w:keepNext w:val="0"/>
              <w:keepLines w:val="0"/>
              <w:pageBreakBefore w:val="0"/>
              <w:widowControl/>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p>
        </w:tc>
        <w:tc>
          <w:tcPr>
            <w:tcW w:w="1512" w:type="dxa"/>
            <w:tcBorders>
              <w:tl2br w:val="nil"/>
              <w:tr2bl w:val="nil"/>
            </w:tcBorders>
            <w:vAlign w:val="center"/>
          </w:tcPr>
          <w:p w14:paraId="2BDE1B54">
            <w:pPr>
              <w:keepNext w:val="0"/>
              <w:keepLines w:val="0"/>
              <w:pageBreakBefore w:val="0"/>
              <w:kinsoku/>
              <w:wordWrap/>
              <w:overflowPunct/>
              <w:topLinePunct w:val="0"/>
              <w:autoSpaceDE/>
              <w:autoSpaceDN/>
              <w:bidi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灭火方法</w:t>
            </w:r>
          </w:p>
        </w:tc>
        <w:tc>
          <w:tcPr>
            <w:tcW w:w="6561" w:type="dxa"/>
            <w:gridSpan w:val="8"/>
            <w:tcBorders>
              <w:tl2br w:val="nil"/>
              <w:tr2bl w:val="nil"/>
            </w:tcBorders>
            <w:vAlign w:val="center"/>
          </w:tcPr>
          <w:p w14:paraId="2BB5CFD0">
            <w:pPr>
              <w:pStyle w:val="46"/>
              <w:keepNext w:val="0"/>
              <w:keepLines w:val="0"/>
              <w:pageBreakBefore w:val="0"/>
              <w:widowControl w:val="0"/>
              <w:pBdr>
                <w:bottom w:val="none" w:color="auto" w:sz="0" w:space="0"/>
                <w:right w:val="none" w:color="auto" w:sz="0" w:space="0"/>
              </w:pBdr>
              <w:kinsoku/>
              <w:wordWrap/>
              <w:overflowPunct/>
              <w:topLinePunct w:val="0"/>
              <w:autoSpaceDE/>
              <w:autoSpaceDN/>
              <w:bidi w:val="0"/>
              <w:snapToGrid w:val="0"/>
              <w:spacing w:before="0" w:beforeAutospacing="0" w:after="0" w:afterAutospacing="0" w:line="240" w:lineRule="auto"/>
              <w:ind w:left="0" w:leftChars="0" w:firstLine="0" w:firstLineChars="0"/>
              <w:jc w:val="center"/>
              <w:rPr>
                <w:rFonts w:hint="default" w:ascii="Times New Roman" w:hAnsi="Times New Roman" w:eastAsia="宋体" w:cs="Times New Roman"/>
                <w:color w:val="auto"/>
                <w:spacing w:val="10"/>
                <w:kern w:val="2"/>
                <w:sz w:val="21"/>
                <w:szCs w:val="21"/>
              </w:rPr>
            </w:pPr>
            <w:r>
              <w:rPr>
                <w:rFonts w:hint="default" w:ascii="Times New Roman" w:hAnsi="Times New Roman" w:eastAsia="宋体" w:cs="Times New Roman"/>
                <w:color w:val="auto"/>
                <w:sz w:val="21"/>
                <w:szCs w:val="21"/>
              </w:rPr>
              <w:t>用大量水扑救，同时用干粉灭火剂闷熄。</w:t>
            </w:r>
          </w:p>
        </w:tc>
      </w:tr>
      <w:tr w14:paraId="21CE37D4">
        <w:tblPrEx>
          <w:tblBorders>
            <w:top w:val="single" w:color="auto" w:sz="12" w:space="0"/>
            <w:left w:val="none" w:color="auto" w:sz="0" w:space="0"/>
            <w:bottom w:val="single" w:color="auto" w:sz="12" w:space="0"/>
            <w:right w:val="none" w:color="auto" w:sz="0" w:space="0"/>
            <w:insideH w:val="double" w:color="auto" w:sz="4" w:space="0"/>
            <w:insideV w:val="single" w:color="auto" w:sz="6" w:space="0"/>
          </w:tblBorders>
          <w:tblCellMar>
            <w:top w:w="0" w:type="dxa"/>
            <w:left w:w="108" w:type="dxa"/>
            <w:bottom w:w="0" w:type="dxa"/>
            <w:right w:w="108" w:type="dxa"/>
          </w:tblCellMar>
        </w:tblPrEx>
        <w:trPr>
          <w:cantSplit/>
          <w:trHeight w:val="0" w:hRule="atLeast"/>
          <w:jc w:val="center"/>
        </w:trPr>
        <w:tc>
          <w:tcPr>
            <w:tcW w:w="446" w:type="dxa"/>
            <w:tcBorders>
              <w:tl2br w:val="nil"/>
              <w:tr2bl w:val="nil"/>
            </w:tcBorders>
            <w:vAlign w:val="center"/>
          </w:tcPr>
          <w:p w14:paraId="7B35D779">
            <w:pPr>
              <w:pStyle w:val="47"/>
              <w:keepNext w:val="0"/>
              <w:keepLines w:val="0"/>
              <w:pageBreakBefore w:val="0"/>
              <w:widowControl w:val="0"/>
              <w:pBdr>
                <w:left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center"/>
              <w:rPr>
                <w:rFonts w:hint="default" w:ascii="Times New Roman" w:hAnsi="Times New Roman" w:eastAsia="宋体" w:cs="Times New Roman"/>
                <w:color w:val="auto"/>
                <w:spacing w:val="10"/>
                <w:kern w:val="2"/>
                <w:sz w:val="21"/>
                <w:szCs w:val="21"/>
              </w:rPr>
            </w:pPr>
            <w:r>
              <w:rPr>
                <w:rFonts w:hint="default" w:ascii="Times New Roman" w:hAnsi="Times New Roman" w:eastAsia="宋体" w:cs="Times New Roman"/>
                <w:color w:val="auto"/>
                <w:kern w:val="2"/>
                <w:sz w:val="21"/>
                <w:szCs w:val="21"/>
              </w:rPr>
              <w:t>急救措施</w:t>
            </w:r>
          </w:p>
        </w:tc>
        <w:tc>
          <w:tcPr>
            <w:tcW w:w="8073" w:type="dxa"/>
            <w:gridSpan w:val="9"/>
            <w:tcBorders>
              <w:tl2br w:val="nil"/>
              <w:tr2bl w:val="nil"/>
            </w:tcBorders>
            <w:vAlign w:val="center"/>
          </w:tcPr>
          <w:p w14:paraId="26AF035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z w:val="21"/>
                <w:szCs w:val="21"/>
              </w:rPr>
              <w:t>①皮肤接触：脱去污染的衣着，用大量流动清水冲洗。②眼睛接触：提起眼睑，用流动清水或生理盐水冲洗。就医。③吸入：迅速脱离现场至空气新鲜处。保持呼吸道通畅。如呼吸困难，给输氧。如呼吸停止，立即进行人工呼吸。就医。④食入：饮足量温水，催吐。就医。</w:t>
            </w:r>
          </w:p>
        </w:tc>
      </w:tr>
      <w:tr w14:paraId="529D6E70">
        <w:tblPrEx>
          <w:tblBorders>
            <w:top w:val="single" w:color="auto" w:sz="12" w:space="0"/>
            <w:left w:val="none" w:color="auto" w:sz="0" w:space="0"/>
            <w:bottom w:val="single" w:color="auto" w:sz="12" w:space="0"/>
            <w:right w:val="none" w:color="auto" w:sz="0" w:space="0"/>
            <w:insideH w:val="double" w:color="auto" w:sz="4" w:space="0"/>
            <w:insideV w:val="single" w:color="auto" w:sz="6" w:space="0"/>
          </w:tblBorders>
          <w:tblCellMar>
            <w:top w:w="0" w:type="dxa"/>
            <w:left w:w="108" w:type="dxa"/>
            <w:bottom w:w="0" w:type="dxa"/>
            <w:right w:w="108" w:type="dxa"/>
          </w:tblCellMar>
        </w:tblPrEx>
        <w:trPr>
          <w:cantSplit/>
          <w:trHeight w:val="0" w:hRule="atLeast"/>
          <w:jc w:val="center"/>
        </w:trPr>
        <w:tc>
          <w:tcPr>
            <w:tcW w:w="446" w:type="dxa"/>
            <w:tcBorders>
              <w:tl2br w:val="nil"/>
              <w:tr2bl w:val="nil"/>
            </w:tcBorders>
            <w:vAlign w:val="center"/>
          </w:tcPr>
          <w:p w14:paraId="1160FD08">
            <w:pPr>
              <w:pStyle w:val="47"/>
              <w:keepNext w:val="0"/>
              <w:keepLines w:val="0"/>
              <w:pageBreakBefore w:val="0"/>
              <w:widowControl w:val="0"/>
              <w:pBdr>
                <w:left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 xml:space="preserve">泄漏处置  </w:t>
            </w:r>
          </w:p>
        </w:tc>
        <w:tc>
          <w:tcPr>
            <w:tcW w:w="8073" w:type="dxa"/>
            <w:gridSpan w:val="9"/>
            <w:tcBorders>
              <w:tl2br w:val="nil"/>
              <w:tr2bl w:val="nil"/>
            </w:tcBorders>
            <w:vAlign w:val="center"/>
          </w:tcPr>
          <w:p w14:paraId="1070438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隔离泄漏污染区，限制出入。建议应急处理人员戴防尘面具（全面罩），穿防毒服。不要直接接触泄漏物。勿使泄漏物与有机物、还原剂、易燃物接触。小量泄漏：避免扬尘，用洁净的铲子收集于干燥、洁净、有盖的容器中。大量泄漏：收集回收或运至废物处理场所处置。</w:t>
            </w:r>
          </w:p>
        </w:tc>
      </w:tr>
      <w:tr w14:paraId="53E7A44B">
        <w:tblPrEx>
          <w:tblBorders>
            <w:top w:val="single" w:color="auto" w:sz="12" w:space="0"/>
            <w:left w:val="none" w:color="auto" w:sz="0" w:space="0"/>
            <w:bottom w:val="single" w:color="auto" w:sz="12" w:space="0"/>
            <w:right w:val="none" w:color="auto" w:sz="0" w:space="0"/>
            <w:insideH w:val="double" w:color="auto" w:sz="4" w:space="0"/>
            <w:insideV w:val="single" w:color="auto" w:sz="6" w:space="0"/>
          </w:tblBorders>
          <w:tblCellMar>
            <w:top w:w="0" w:type="dxa"/>
            <w:left w:w="108" w:type="dxa"/>
            <w:bottom w:w="0" w:type="dxa"/>
            <w:right w:w="108" w:type="dxa"/>
          </w:tblCellMar>
        </w:tblPrEx>
        <w:trPr>
          <w:cantSplit/>
          <w:trHeight w:val="0" w:hRule="atLeast"/>
          <w:jc w:val="center"/>
        </w:trPr>
        <w:tc>
          <w:tcPr>
            <w:tcW w:w="446" w:type="dxa"/>
            <w:tcBorders>
              <w:tl2br w:val="nil"/>
              <w:tr2bl w:val="nil"/>
            </w:tcBorders>
            <w:vAlign w:val="center"/>
          </w:tcPr>
          <w:p w14:paraId="3203666C">
            <w:pPr>
              <w:pStyle w:val="47"/>
              <w:keepNext w:val="0"/>
              <w:keepLines w:val="0"/>
              <w:pageBreakBefore w:val="0"/>
              <w:widowControl w:val="0"/>
              <w:pBdr>
                <w:left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储运注意事项</w:t>
            </w:r>
          </w:p>
        </w:tc>
        <w:tc>
          <w:tcPr>
            <w:tcW w:w="8073" w:type="dxa"/>
            <w:gridSpan w:val="9"/>
            <w:tcBorders>
              <w:tl2br w:val="nil"/>
              <w:tr2bl w:val="nil"/>
            </w:tcBorders>
            <w:vAlign w:val="center"/>
          </w:tcPr>
          <w:p w14:paraId="6E0C96E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①储存注意事项：储存于阴凉、通风的库房。远离火种、热源。包装密封。应与易（可）燃物、还原剂、醇类等分开存放，切忌混储。储区应备有合适的材料收容泄漏物。</w:t>
            </w:r>
          </w:p>
          <w:p w14:paraId="24906F2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②运输注意事项：铁路运输时应严格按照铁道部《危险货物运输规则》中的危险货物配装表进行配装。运输时单独装运，运输过程中要确保容器不泄漏、不倒塌、不坠落、不损坏。运输时运输车辆应配备相应品种和数量的消防器材。严禁与酸类、易燃物、有机物、还原剂、自燃物品、遇湿易燃物品等并车混运。运输时车速不宜过快，不得强行超车。运输车辆装卸前后，均应彻底清扫、洗净，严禁混入有机物、易燃物等杂质。</w:t>
            </w:r>
          </w:p>
        </w:tc>
      </w:tr>
    </w:tbl>
    <w:p w14:paraId="3BAFB4AB">
      <w:pPr>
        <w:pStyle w:val="5"/>
        <w:spacing w:before="156" w:after="156"/>
        <w:rPr>
          <w:color w:val="auto"/>
        </w:rPr>
      </w:pPr>
      <w:bookmarkStart w:id="24" w:name="_Toc26790"/>
      <w:r>
        <w:rPr>
          <w:rFonts w:hint="eastAsia"/>
          <w:color w:val="auto"/>
        </w:rPr>
        <w:t>2.4周边环境状况及环境保护目标情况</w:t>
      </w:r>
      <w:bookmarkEnd w:id="23"/>
      <w:bookmarkEnd w:id="24"/>
    </w:p>
    <w:p w14:paraId="79E715F2">
      <w:pPr>
        <w:spacing w:line="360" w:lineRule="auto"/>
        <w:ind w:left="0" w:leftChars="0" w:right="0" w:rightChars="0" w:firstLine="480"/>
        <w:jc w:val="left"/>
        <w:rPr>
          <w:rFonts w:ascii="Times New Roman" w:hAnsi="Times New Roman" w:eastAsia="宋体"/>
          <w:bCs/>
          <w:color w:val="auto"/>
          <w:sz w:val="24"/>
        </w:rPr>
      </w:pPr>
      <w:r>
        <w:rPr>
          <w:rFonts w:hint="eastAsia"/>
          <w:bCs/>
          <w:color w:val="auto"/>
          <w:sz w:val="24"/>
          <w:lang w:val="en-US" w:eastAsia="zh-CN"/>
        </w:rPr>
        <w:t>具体</w:t>
      </w:r>
      <w:r>
        <w:rPr>
          <w:rFonts w:hint="eastAsia" w:ascii="Times New Roman" w:hAnsi="Times New Roman" w:eastAsia="宋体"/>
          <w:bCs/>
          <w:color w:val="auto"/>
          <w:sz w:val="24"/>
        </w:rPr>
        <w:t>见表</w:t>
      </w:r>
      <w:r>
        <w:rPr>
          <w:rFonts w:ascii="Times New Roman" w:hAnsi="Times New Roman" w:eastAsia="宋体"/>
          <w:bCs/>
          <w:color w:val="auto"/>
          <w:sz w:val="24"/>
        </w:rPr>
        <w:t>2.</w:t>
      </w:r>
      <w:r>
        <w:rPr>
          <w:rFonts w:hint="eastAsia" w:ascii="Times New Roman" w:hAnsi="Times New Roman" w:eastAsia="宋体"/>
          <w:bCs/>
          <w:color w:val="auto"/>
          <w:sz w:val="24"/>
          <w:lang w:val="en-US" w:eastAsia="zh-CN"/>
        </w:rPr>
        <w:t>4</w:t>
      </w:r>
      <w:r>
        <w:rPr>
          <w:rFonts w:ascii="Times New Roman" w:hAnsi="Times New Roman" w:eastAsia="宋体"/>
          <w:bCs/>
          <w:color w:val="auto"/>
          <w:sz w:val="24"/>
        </w:rPr>
        <w:t>-</w:t>
      </w:r>
      <w:r>
        <w:rPr>
          <w:rFonts w:hint="eastAsia" w:ascii="Times New Roman" w:hAnsi="Times New Roman" w:eastAsia="宋体"/>
          <w:bCs/>
          <w:color w:val="auto"/>
          <w:sz w:val="24"/>
          <w:lang w:val="en-US" w:eastAsia="zh-CN"/>
        </w:rPr>
        <w:t>1</w:t>
      </w:r>
      <w:r>
        <w:rPr>
          <w:rFonts w:ascii="Times New Roman" w:hAnsi="Times New Roman" w:eastAsia="宋体"/>
          <w:bCs/>
          <w:color w:val="auto"/>
          <w:sz w:val="24"/>
        </w:rPr>
        <w:t>。</w:t>
      </w:r>
    </w:p>
    <w:p w14:paraId="152A9322">
      <w:pPr>
        <w:spacing w:line="360" w:lineRule="auto"/>
        <w:ind w:left="0" w:leftChars="0" w:right="0" w:rightChars="0" w:firstLine="0" w:firstLineChars="0"/>
        <w:jc w:val="center"/>
        <w:rPr>
          <w:rFonts w:ascii="Times New Roman" w:hAnsi="Times New Roman" w:eastAsia="宋体"/>
          <w:b/>
          <w:bCs w:val="0"/>
          <w:color w:val="auto"/>
          <w:kern w:val="0"/>
          <w:sz w:val="24"/>
        </w:rPr>
      </w:pPr>
      <w:r>
        <w:rPr>
          <w:rFonts w:ascii="Times New Roman" w:hAnsi="Times New Roman" w:eastAsia="宋体"/>
          <w:b/>
          <w:bCs w:val="0"/>
          <w:color w:val="auto"/>
          <w:kern w:val="0"/>
          <w:sz w:val="24"/>
        </w:rPr>
        <w:t>表2.</w:t>
      </w:r>
      <w:r>
        <w:rPr>
          <w:rFonts w:hint="eastAsia" w:ascii="Times New Roman" w:hAnsi="Times New Roman" w:eastAsia="宋体"/>
          <w:b/>
          <w:bCs w:val="0"/>
          <w:color w:val="auto"/>
          <w:kern w:val="0"/>
          <w:sz w:val="24"/>
          <w:lang w:val="en-US" w:eastAsia="zh-CN"/>
        </w:rPr>
        <w:t>4-1</w:t>
      </w:r>
      <w:r>
        <w:rPr>
          <w:rFonts w:ascii="Times New Roman" w:hAnsi="Times New Roman" w:eastAsia="宋体"/>
          <w:b/>
          <w:bCs w:val="0"/>
          <w:color w:val="auto"/>
          <w:kern w:val="0"/>
          <w:sz w:val="24"/>
        </w:rPr>
        <w:t>项目周边环境敏受体情况一览表</w:t>
      </w:r>
    </w:p>
    <w:tbl>
      <w:tblPr>
        <w:tblStyle w:val="23"/>
        <w:tblW w:w="8882"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1312"/>
        <w:gridCol w:w="1903"/>
        <w:gridCol w:w="742"/>
        <w:gridCol w:w="1406"/>
        <w:gridCol w:w="1345"/>
        <w:gridCol w:w="2174"/>
      </w:tblGrid>
      <w:tr w14:paraId="55DE455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312" w:type="dxa"/>
            <w:tcBorders>
              <w:tl2br w:val="nil"/>
              <w:tr2bl w:val="nil"/>
            </w:tcBorders>
            <w:noWrap w:val="0"/>
            <w:vAlign w:val="center"/>
          </w:tcPr>
          <w:p w14:paraId="403098CA">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r>
              <w:rPr>
                <w:rFonts w:hint="eastAsia" w:ascii="宋体" w:hAnsi="宋体" w:eastAsia="宋体"/>
                <w:color w:val="auto"/>
                <w:sz w:val="21"/>
                <w:szCs w:val="21"/>
              </w:rPr>
              <w:t>环境要素</w:t>
            </w:r>
          </w:p>
        </w:tc>
        <w:tc>
          <w:tcPr>
            <w:tcW w:w="1903" w:type="dxa"/>
            <w:tcBorders>
              <w:tl2br w:val="nil"/>
              <w:tr2bl w:val="nil"/>
            </w:tcBorders>
            <w:noWrap w:val="0"/>
            <w:vAlign w:val="center"/>
          </w:tcPr>
          <w:p w14:paraId="30A64947">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r>
              <w:rPr>
                <w:rFonts w:hint="eastAsia" w:ascii="宋体" w:hAnsi="宋体" w:eastAsia="宋体"/>
                <w:color w:val="auto"/>
                <w:sz w:val="21"/>
                <w:szCs w:val="21"/>
              </w:rPr>
              <w:t>环境保护目标</w:t>
            </w:r>
          </w:p>
        </w:tc>
        <w:tc>
          <w:tcPr>
            <w:tcW w:w="742" w:type="dxa"/>
            <w:tcBorders>
              <w:tl2br w:val="nil"/>
              <w:tr2bl w:val="nil"/>
            </w:tcBorders>
            <w:noWrap w:val="0"/>
            <w:vAlign w:val="center"/>
          </w:tcPr>
          <w:p w14:paraId="42DBA09E">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r>
              <w:rPr>
                <w:rFonts w:hint="eastAsia" w:ascii="宋体" w:hAnsi="宋体" w:eastAsia="宋体"/>
                <w:color w:val="auto"/>
                <w:sz w:val="21"/>
                <w:szCs w:val="21"/>
              </w:rPr>
              <w:t>方位</w:t>
            </w:r>
          </w:p>
        </w:tc>
        <w:tc>
          <w:tcPr>
            <w:tcW w:w="1406" w:type="dxa"/>
            <w:tcBorders>
              <w:tl2br w:val="nil"/>
              <w:tr2bl w:val="nil"/>
            </w:tcBorders>
            <w:noWrap w:val="0"/>
            <w:vAlign w:val="center"/>
          </w:tcPr>
          <w:p w14:paraId="7C0EE1C9">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r>
              <w:rPr>
                <w:rFonts w:hint="eastAsia" w:ascii="宋体" w:hAnsi="宋体" w:eastAsia="宋体"/>
                <w:color w:val="auto"/>
                <w:sz w:val="21"/>
                <w:szCs w:val="21"/>
              </w:rPr>
              <w:t>距厂界距离</w:t>
            </w:r>
          </w:p>
        </w:tc>
        <w:tc>
          <w:tcPr>
            <w:tcW w:w="1345" w:type="dxa"/>
            <w:tcBorders>
              <w:tl2br w:val="nil"/>
              <w:tr2bl w:val="nil"/>
            </w:tcBorders>
            <w:noWrap w:val="0"/>
            <w:vAlign w:val="center"/>
          </w:tcPr>
          <w:p w14:paraId="5D144AD4">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r>
              <w:rPr>
                <w:rFonts w:hint="eastAsia" w:ascii="宋体" w:hAnsi="宋体" w:eastAsia="宋体"/>
                <w:color w:val="auto"/>
                <w:sz w:val="21"/>
                <w:szCs w:val="21"/>
              </w:rPr>
              <w:t>规模</w:t>
            </w:r>
          </w:p>
        </w:tc>
        <w:tc>
          <w:tcPr>
            <w:tcW w:w="2174" w:type="dxa"/>
            <w:tcBorders>
              <w:tl2br w:val="nil"/>
              <w:tr2bl w:val="nil"/>
            </w:tcBorders>
            <w:noWrap w:val="0"/>
            <w:vAlign w:val="center"/>
          </w:tcPr>
          <w:p w14:paraId="475BA7BF">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r>
              <w:rPr>
                <w:rFonts w:hint="eastAsia" w:ascii="宋体" w:hAnsi="宋体" w:eastAsia="宋体"/>
                <w:color w:val="auto"/>
                <w:sz w:val="21"/>
                <w:szCs w:val="21"/>
              </w:rPr>
              <w:t>功能区划</w:t>
            </w:r>
          </w:p>
        </w:tc>
      </w:tr>
      <w:tr w14:paraId="24DDBAF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312" w:type="dxa"/>
            <w:vMerge w:val="restart"/>
            <w:tcBorders>
              <w:tl2br w:val="nil"/>
              <w:tr2bl w:val="nil"/>
            </w:tcBorders>
            <w:noWrap w:val="0"/>
            <w:vAlign w:val="center"/>
          </w:tcPr>
          <w:p w14:paraId="6F68DA3A">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Times New Roman"/>
                <w:color w:val="auto"/>
                <w:sz w:val="21"/>
                <w:szCs w:val="21"/>
              </w:rPr>
            </w:pPr>
          </w:p>
          <w:p w14:paraId="2AB5A4A2">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r>
              <w:rPr>
                <w:rFonts w:hint="eastAsia" w:ascii="宋体" w:hAnsi="宋体" w:eastAsia="宋体"/>
                <w:color w:val="auto"/>
                <w:sz w:val="21"/>
                <w:szCs w:val="21"/>
              </w:rPr>
              <w:t>大气环境</w:t>
            </w:r>
          </w:p>
        </w:tc>
        <w:tc>
          <w:tcPr>
            <w:tcW w:w="1903" w:type="dxa"/>
            <w:tcBorders>
              <w:tl2br w:val="nil"/>
              <w:tr2bl w:val="nil"/>
            </w:tcBorders>
            <w:noWrap w:val="0"/>
            <w:vAlign w:val="center"/>
          </w:tcPr>
          <w:p w14:paraId="31295B19">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r>
              <w:rPr>
                <w:rFonts w:hint="eastAsia" w:ascii="宋体" w:hAnsi="宋体" w:eastAsia="宋体"/>
                <w:color w:val="auto"/>
                <w:sz w:val="21"/>
                <w:szCs w:val="21"/>
              </w:rPr>
              <w:t>老虎窠</w:t>
            </w:r>
          </w:p>
        </w:tc>
        <w:tc>
          <w:tcPr>
            <w:tcW w:w="742" w:type="dxa"/>
            <w:tcBorders>
              <w:tl2br w:val="nil"/>
              <w:tr2bl w:val="nil"/>
            </w:tcBorders>
            <w:noWrap w:val="0"/>
            <w:vAlign w:val="center"/>
          </w:tcPr>
          <w:p w14:paraId="7284A9DD">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r>
              <w:rPr>
                <w:rFonts w:hint="eastAsia" w:ascii="宋体" w:hAnsi="宋体" w:eastAsia="宋体"/>
                <w:color w:val="auto"/>
                <w:sz w:val="21"/>
                <w:szCs w:val="21"/>
              </w:rPr>
              <w:t>东北</w:t>
            </w:r>
          </w:p>
        </w:tc>
        <w:tc>
          <w:tcPr>
            <w:tcW w:w="1406" w:type="dxa"/>
            <w:tcBorders>
              <w:tl2br w:val="nil"/>
              <w:tr2bl w:val="nil"/>
            </w:tcBorders>
            <w:noWrap w:val="0"/>
            <w:vAlign w:val="center"/>
          </w:tcPr>
          <w:p w14:paraId="05107508">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r>
              <w:rPr>
                <w:rFonts w:hint="default" w:ascii="Times New Roman" w:hAnsi="Times New Roman" w:eastAsia="Times New Roman"/>
                <w:color w:val="auto"/>
                <w:sz w:val="21"/>
                <w:szCs w:val="21"/>
              </w:rPr>
              <w:t>590m</w:t>
            </w:r>
          </w:p>
        </w:tc>
        <w:tc>
          <w:tcPr>
            <w:tcW w:w="1345" w:type="dxa"/>
            <w:tcBorders>
              <w:tl2br w:val="nil"/>
              <w:tr2bl w:val="nil"/>
            </w:tcBorders>
            <w:noWrap w:val="0"/>
            <w:vAlign w:val="center"/>
          </w:tcPr>
          <w:p w14:paraId="321D3DD2">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r>
              <w:rPr>
                <w:rFonts w:hint="default" w:ascii="Times New Roman" w:hAnsi="Times New Roman" w:eastAsia="Times New Roman"/>
                <w:color w:val="auto"/>
                <w:sz w:val="21"/>
                <w:szCs w:val="21"/>
              </w:rPr>
              <w:t xml:space="preserve">55 </w:t>
            </w:r>
            <w:r>
              <w:rPr>
                <w:rFonts w:hint="eastAsia" w:ascii="宋体" w:hAnsi="宋体" w:eastAsia="宋体"/>
                <w:color w:val="auto"/>
                <w:sz w:val="21"/>
                <w:szCs w:val="21"/>
              </w:rPr>
              <w:t>户</w:t>
            </w:r>
            <w:r>
              <w:rPr>
                <w:rFonts w:hint="default" w:ascii="Times New Roman" w:hAnsi="Times New Roman" w:eastAsia="Times New Roman"/>
                <w:color w:val="auto"/>
                <w:sz w:val="21"/>
                <w:szCs w:val="21"/>
              </w:rPr>
              <w:t xml:space="preserve">/165 </w:t>
            </w:r>
            <w:r>
              <w:rPr>
                <w:rFonts w:hint="eastAsia" w:ascii="宋体" w:hAnsi="宋体" w:eastAsia="宋体"/>
                <w:color w:val="auto"/>
                <w:sz w:val="21"/>
                <w:szCs w:val="21"/>
              </w:rPr>
              <w:t>人</w:t>
            </w:r>
          </w:p>
        </w:tc>
        <w:tc>
          <w:tcPr>
            <w:tcW w:w="2174" w:type="dxa"/>
            <w:vMerge w:val="restart"/>
            <w:tcBorders>
              <w:tl2br w:val="nil"/>
              <w:tr2bl w:val="nil"/>
            </w:tcBorders>
            <w:noWrap w:val="0"/>
            <w:vAlign w:val="center"/>
          </w:tcPr>
          <w:p w14:paraId="7FFE6131">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Times New Roman"/>
                <w:color w:val="auto"/>
                <w:sz w:val="21"/>
                <w:szCs w:val="21"/>
              </w:rPr>
            </w:pPr>
          </w:p>
          <w:p w14:paraId="47800B73">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r>
              <w:rPr>
                <w:rFonts w:hint="eastAsia" w:ascii="宋体" w:hAnsi="宋体" w:eastAsia="宋体"/>
                <w:color w:val="auto"/>
                <w:sz w:val="21"/>
                <w:szCs w:val="21"/>
              </w:rPr>
              <w:t>（</w:t>
            </w:r>
            <w:r>
              <w:rPr>
                <w:rFonts w:hint="default" w:ascii="Times New Roman" w:hAnsi="Times New Roman" w:eastAsia="Times New Roman"/>
                <w:color w:val="auto"/>
                <w:sz w:val="21"/>
                <w:szCs w:val="21"/>
              </w:rPr>
              <w:t>GB3095-2012</w:t>
            </w:r>
            <w:r>
              <w:rPr>
                <w:rFonts w:hint="eastAsia" w:ascii="宋体" w:hAnsi="宋体" w:eastAsia="宋体"/>
                <w:color w:val="auto"/>
                <w:sz w:val="21"/>
                <w:szCs w:val="21"/>
              </w:rPr>
              <w:t>）二级</w:t>
            </w:r>
          </w:p>
        </w:tc>
      </w:tr>
      <w:tr w14:paraId="3923286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312" w:type="dxa"/>
            <w:vMerge w:val="continue"/>
            <w:tcBorders>
              <w:tl2br w:val="nil"/>
              <w:tr2bl w:val="nil"/>
            </w:tcBorders>
            <w:noWrap w:val="0"/>
            <w:vAlign w:val="center"/>
          </w:tcPr>
          <w:p w14:paraId="21292CF5">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p>
        </w:tc>
        <w:tc>
          <w:tcPr>
            <w:tcW w:w="1903" w:type="dxa"/>
            <w:tcBorders>
              <w:tl2br w:val="nil"/>
              <w:tr2bl w:val="nil"/>
            </w:tcBorders>
            <w:noWrap w:val="0"/>
            <w:vAlign w:val="center"/>
          </w:tcPr>
          <w:p w14:paraId="285C242F">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r>
              <w:rPr>
                <w:rFonts w:hint="eastAsia" w:ascii="宋体" w:hAnsi="宋体" w:eastAsia="宋体"/>
                <w:color w:val="auto"/>
                <w:sz w:val="21"/>
                <w:szCs w:val="21"/>
              </w:rPr>
              <w:t>洲上</w:t>
            </w:r>
          </w:p>
        </w:tc>
        <w:tc>
          <w:tcPr>
            <w:tcW w:w="742" w:type="dxa"/>
            <w:tcBorders>
              <w:tl2br w:val="nil"/>
              <w:tr2bl w:val="nil"/>
            </w:tcBorders>
            <w:noWrap w:val="0"/>
            <w:vAlign w:val="center"/>
          </w:tcPr>
          <w:p w14:paraId="422C796A">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r>
              <w:rPr>
                <w:rFonts w:hint="eastAsia" w:ascii="宋体" w:hAnsi="宋体" w:eastAsia="宋体"/>
                <w:color w:val="auto"/>
                <w:sz w:val="21"/>
                <w:szCs w:val="21"/>
              </w:rPr>
              <w:t>东西</w:t>
            </w:r>
          </w:p>
        </w:tc>
        <w:tc>
          <w:tcPr>
            <w:tcW w:w="1406" w:type="dxa"/>
            <w:tcBorders>
              <w:tl2br w:val="nil"/>
              <w:tr2bl w:val="nil"/>
            </w:tcBorders>
            <w:noWrap w:val="0"/>
            <w:vAlign w:val="center"/>
          </w:tcPr>
          <w:p w14:paraId="3AC1DE72">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r>
              <w:rPr>
                <w:rFonts w:hint="default" w:ascii="Times New Roman" w:hAnsi="Times New Roman" w:eastAsia="Times New Roman"/>
                <w:color w:val="auto"/>
                <w:sz w:val="21"/>
                <w:szCs w:val="21"/>
              </w:rPr>
              <w:t>330m</w:t>
            </w:r>
          </w:p>
        </w:tc>
        <w:tc>
          <w:tcPr>
            <w:tcW w:w="1345" w:type="dxa"/>
            <w:tcBorders>
              <w:tl2br w:val="nil"/>
              <w:tr2bl w:val="nil"/>
            </w:tcBorders>
            <w:noWrap w:val="0"/>
            <w:vAlign w:val="center"/>
          </w:tcPr>
          <w:p w14:paraId="5DF8A57D">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r>
              <w:rPr>
                <w:rFonts w:hint="default" w:ascii="Times New Roman" w:hAnsi="Times New Roman" w:eastAsia="Times New Roman"/>
                <w:color w:val="auto"/>
                <w:sz w:val="21"/>
                <w:szCs w:val="21"/>
              </w:rPr>
              <w:t xml:space="preserve">40 </w:t>
            </w:r>
            <w:r>
              <w:rPr>
                <w:rFonts w:hint="eastAsia" w:ascii="宋体" w:hAnsi="宋体" w:eastAsia="宋体"/>
                <w:color w:val="auto"/>
                <w:sz w:val="21"/>
                <w:szCs w:val="21"/>
              </w:rPr>
              <w:t>户</w:t>
            </w:r>
            <w:r>
              <w:rPr>
                <w:rFonts w:hint="default" w:ascii="Times New Roman" w:hAnsi="Times New Roman" w:eastAsia="Times New Roman"/>
                <w:color w:val="auto"/>
                <w:sz w:val="21"/>
                <w:szCs w:val="21"/>
              </w:rPr>
              <w:t xml:space="preserve">/120 </w:t>
            </w:r>
            <w:r>
              <w:rPr>
                <w:rFonts w:hint="eastAsia" w:ascii="宋体" w:hAnsi="宋体" w:eastAsia="宋体"/>
                <w:color w:val="auto"/>
                <w:sz w:val="21"/>
                <w:szCs w:val="21"/>
              </w:rPr>
              <w:t>人</w:t>
            </w:r>
          </w:p>
        </w:tc>
        <w:tc>
          <w:tcPr>
            <w:tcW w:w="2174" w:type="dxa"/>
            <w:vMerge w:val="continue"/>
            <w:tcBorders>
              <w:tl2br w:val="nil"/>
              <w:tr2bl w:val="nil"/>
            </w:tcBorders>
            <w:noWrap w:val="0"/>
            <w:vAlign w:val="center"/>
          </w:tcPr>
          <w:p w14:paraId="5827904E">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p>
        </w:tc>
      </w:tr>
      <w:tr w14:paraId="6E98E8D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312" w:type="dxa"/>
            <w:vMerge w:val="continue"/>
            <w:tcBorders>
              <w:tl2br w:val="nil"/>
              <w:tr2bl w:val="nil"/>
            </w:tcBorders>
            <w:noWrap w:val="0"/>
            <w:vAlign w:val="center"/>
          </w:tcPr>
          <w:p w14:paraId="1214A554">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p>
        </w:tc>
        <w:tc>
          <w:tcPr>
            <w:tcW w:w="1903" w:type="dxa"/>
            <w:tcBorders>
              <w:tl2br w:val="nil"/>
              <w:tr2bl w:val="nil"/>
            </w:tcBorders>
            <w:noWrap w:val="0"/>
            <w:vAlign w:val="center"/>
          </w:tcPr>
          <w:p w14:paraId="7772779C">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r>
              <w:rPr>
                <w:rFonts w:hint="eastAsia" w:ascii="宋体" w:hAnsi="宋体" w:eastAsia="宋体"/>
                <w:color w:val="auto"/>
                <w:sz w:val="21"/>
                <w:szCs w:val="21"/>
              </w:rPr>
              <w:t>百步堰</w:t>
            </w:r>
          </w:p>
        </w:tc>
        <w:tc>
          <w:tcPr>
            <w:tcW w:w="742" w:type="dxa"/>
            <w:tcBorders>
              <w:tl2br w:val="nil"/>
              <w:tr2bl w:val="nil"/>
            </w:tcBorders>
            <w:noWrap w:val="0"/>
            <w:vAlign w:val="center"/>
          </w:tcPr>
          <w:p w14:paraId="1F53C0C7">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r>
              <w:rPr>
                <w:rFonts w:hint="eastAsia" w:ascii="宋体" w:hAnsi="宋体" w:eastAsia="宋体"/>
                <w:color w:val="auto"/>
                <w:w w:val="99"/>
                <w:sz w:val="21"/>
                <w:szCs w:val="21"/>
              </w:rPr>
              <w:t>西</w:t>
            </w:r>
          </w:p>
        </w:tc>
        <w:tc>
          <w:tcPr>
            <w:tcW w:w="1406" w:type="dxa"/>
            <w:tcBorders>
              <w:tl2br w:val="nil"/>
              <w:tr2bl w:val="nil"/>
            </w:tcBorders>
            <w:noWrap w:val="0"/>
            <w:vAlign w:val="center"/>
          </w:tcPr>
          <w:p w14:paraId="6C924740">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r>
              <w:rPr>
                <w:rFonts w:hint="default" w:ascii="Times New Roman" w:hAnsi="Times New Roman" w:eastAsia="Times New Roman"/>
                <w:color w:val="auto"/>
                <w:sz w:val="21"/>
                <w:szCs w:val="21"/>
              </w:rPr>
              <w:t>780m</w:t>
            </w:r>
          </w:p>
        </w:tc>
        <w:tc>
          <w:tcPr>
            <w:tcW w:w="1345" w:type="dxa"/>
            <w:tcBorders>
              <w:tl2br w:val="nil"/>
              <w:tr2bl w:val="nil"/>
            </w:tcBorders>
            <w:noWrap w:val="0"/>
            <w:vAlign w:val="center"/>
          </w:tcPr>
          <w:p w14:paraId="46F587DC">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r>
              <w:rPr>
                <w:rFonts w:hint="default" w:ascii="Times New Roman" w:hAnsi="Times New Roman" w:eastAsia="Times New Roman"/>
                <w:color w:val="auto"/>
                <w:sz w:val="21"/>
                <w:szCs w:val="21"/>
              </w:rPr>
              <w:t xml:space="preserve">30 </w:t>
            </w:r>
            <w:r>
              <w:rPr>
                <w:rFonts w:hint="eastAsia" w:ascii="宋体" w:hAnsi="宋体" w:eastAsia="宋体"/>
                <w:color w:val="auto"/>
                <w:sz w:val="21"/>
                <w:szCs w:val="21"/>
              </w:rPr>
              <w:t>户</w:t>
            </w:r>
            <w:r>
              <w:rPr>
                <w:rFonts w:hint="default" w:ascii="Times New Roman" w:hAnsi="Times New Roman" w:eastAsia="Times New Roman"/>
                <w:color w:val="auto"/>
                <w:sz w:val="21"/>
                <w:szCs w:val="21"/>
              </w:rPr>
              <w:t>/90</w:t>
            </w:r>
            <w:r>
              <w:rPr>
                <w:rFonts w:hint="default" w:ascii="Times New Roman" w:hAnsi="Times New Roman" w:eastAsia="Times New Roman"/>
                <w:color w:val="auto"/>
                <w:spacing w:val="-3"/>
                <w:sz w:val="21"/>
                <w:szCs w:val="21"/>
              </w:rPr>
              <w:t xml:space="preserve"> </w:t>
            </w:r>
            <w:r>
              <w:rPr>
                <w:rFonts w:hint="eastAsia" w:ascii="宋体" w:hAnsi="宋体" w:eastAsia="宋体"/>
                <w:color w:val="auto"/>
                <w:sz w:val="21"/>
                <w:szCs w:val="21"/>
              </w:rPr>
              <w:t>人</w:t>
            </w:r>
          </w:p>
        </w:tc>
        <w:tc>
          <w:tcPr>
            <w:tcW w:w="2174" w:type="dxa"/>
            <w:vMerge w:val="continue"/>
            <w:tcBorders>
              <w:tl2br w:val="nil"/>
              <w:tr2bl w:val="nil"/>
            </w:tcBorders>
            <w:noWrap w:val="0"/>
            <w:vAlign w:val="center"/>
          </w:tcPr>
          <w:p w14:paraId="6F647E85">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p>
        </w:tc>
      </w:tr>
      <w:tr w14:paraId="3FF0600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312" w:type="dxa"/>
            <w:vMerge w:val="continue"/>
            <w:tcBorders>
              <w:tl2br w:val="nil"/>
              <w:tr2bl w:val="nil"/>
            </w:tcBorders>
            <w:noWrap w:val="0"/>
            <w:vAlign w:val="center"/>
          </w:tcPr>
          <w:p w14:paraId="539F2727">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p>
        </w:tc>
        <w:tc>
          <w:tcPr>
            <w:tcW w:w="1903" w:type="dxa"/>
            <w:tcBorders>
              <w:tl2br w:val="nil"/>
              <w:tr2bl w:val="nil"/>
            </w:tcBorders>
            <w:noWrap w:val="0"/>
            <w:vAlign w:val="center"/>
          </w:tcPr>
          <w:p w14:paraId="7CCE981B">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r>
              <w:rPr>
                <w:rFonts w:hint="eastAsia" w:ascii="宋体" w:hAnsi="宋体" w:eastAsia="宋体"/>
                <w:color w:val="auto"/>
                <w:sz w:val="21"/>
                <w:szCs w:val="21"/>
              </w:rPr>
              <w:t>泸州湾</w:t>
            </w:r>
          </w:p>
        </w:tc>
        <w:tc>
          <w:tcPr>
            <w:tcW w:w="742" w:type="dxa"/>
            <w:tcBorders>
              <w:tl2br w:val="nil"/>
              <w:tr2bl w:val="nil"/>
            </w:tcBorders>
            <w:noWrap w:val="0"/>
            <w:vAlign w:val="center"/>
          </w:tcPr>
          <w:p w14:paraId="7BA9386B">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r>
              <w:rPr>
                <w:rFonts w:hint="eastAsia" w:ascii="宋体" w:hAnsi="宋体" w:eastAsia="宋体"/>
                <w:color w:val="auto"/>
                <w:sz w:val="21"/>
                <w:szCs w:val="21"/>
              </w:rPr>
              <w:t>东南</w:t>
            </w:r>
          </w:p>
        </w:tc>
        <w:tc>
          <w:tcPr>
            <w:tcW w:w="1406" w:type="dxa"/>
            <w:tcBorders>
              <w:tl2br w:val="nil"/>
              <w:tr2bl w:val="nil"/>
            </w:tcBorders>
            <w:noWrap w:val="0"/>
            <w:vAlign w:val="center"/>
          </w:tcPr>
          <w:p w14:paraId="150C2DC8">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r>
              <w:rPr>
                <w:rFonts w:hint="default" w:ascii="Times New Roman" w:hAnsi="Times New Roman" w:eastAsia="Times New Roman"/>
                <w:color w:val="auto"/>
                <w:sz w:val="21"/>
                <w:szCs w:val="21"/>
              </w:rPr>
              <w:t>80m</w:t>
            </w:r>
          </w:p>
        </w:tc>
        <w:tc>
          <w:tcPr>
            <w:tcW w:w="1345" w:type="dxa"/>
            <w:tcBorders>
              <w:tl2br w:val="nil"/>
              <w:tr2bl w:val="nil"/>
            </w:tcBorders>
            <w:noWrap w:val="0"/>
            <w:vAlign w:val="center"/>
          </w:tcPr>
          <w:p w14:paraId="05A41F72">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r>
              <w:rPr>
                <w:rFonts w:hint="default" w:ascii="Times New Roman" w:hAnsi="Times New Roman" w:eastAsia="Times New Roman"/>
                <w:color w:val="auto"/>
                <w:sz w:val="21"/>
                <w:szCs w:val="21"/>
              </w:rPr>
              <w:t xml:space="preserve">100 </w:t>
            </w:r>
            <w:r>
              <w:rPr>
                <w:rFonts w:hint="eastAsia" w:ascii="宋体" w:hAnsi="宋体" w:eastAsia="宋体"/>
                <w:color w:val="auto"/>
                <w:sz w:val="21"/>
                <w:szCs w:val="21"/>
              </w:rPr>
              <w:t>户</w:t>
            </w:r>
            <w:r>
              <w:rPr>
                <w:rFonts w:hint="default" w:ascii="Times New Roman" w:hAnsi="Times New Roman" w:eastAsia="Times New Roman"/>
                <w:color w:val="auto"/>
                <w:sz w:val="21"/>
                <w:szCs w:val="21"/>
              </w:rPr>
              <w:t>/300</w:t>
            </w:r>
            <w:r>
              <w:rPr>
                <w:rFonts w:hint="default" w:ascii="Times New Roman" w:hAnsi="Times New Roman" w:eastAsia="Times New Roman"/>
                <w:color w:val="auto"/>
                <w:spacing w:val="-3"/>
                <w:sz w:val="21"/>
                <w:szCs w:val="21"/>
              </w:rPr>
              <w:t xml:space="preserve"> </w:t>
            </w:r>
            <w:r>
              <w:rPr>
                <w:rFonts w:hint="eastAsia" w:ascii="宋体" w:hAnsi="宋体" w:eastAsia="宋体"/>
                <w:color w:val="auto"/>
                <w:sz w:val="21"/>
                <w:szCs w:val="21"/>
              </w:rPr>
              <w:t>人</w:t>
            </w:r>
          </w:p>
        </w:tc>
        <w:tc>
          <w:tcPr>
            <w:tcW w:w="2174" w:type="dxa"/>
            <w:vMerge w:val="continue"/>
            <w:tcBorders>
              <w:tl2br w:val="nil"/>
              <w:tr2bl w:val="nil"/>
            </w:tcBorders>
            <w:noWrap w:val="0"/>
            <w:vAlign w:val="center"/>
          </w:tcPr>
          <w:p w14:paraId="4128A42D">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p>
        </w:tc>
      </w:tr>
      <w:tr w14:paraId="369EA05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312" w:type="dxa"/>
            <w:vMerge w:val="continue"/>
            <w:tcBorders>
              <w:tl2br w:val="nil"/>
              <w:tr2bl w:val="nil"/>
            </w:tcBorders>
            <w:noWrap w:val="0"/>
            <w:vAlign w:val="center"/>
          </w:tcPr>
          <w:p w14:paraId="5FE0277C">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p>
        </w:tc>
        <w:tc>
          <w:tcPr>
            <w:tcW w:w="1903" w:type="dxa"/>
            <w:tcBorders>
              <w:tl2br w:val="nil"/>
              <w:tr2bl w:val="nil"/>
            </w:tcBorders>
            <w:noWrap w:val="0"/>
            <w:vAlign w:val="center"/>
          </w:tcPr>
          <w:p w14:paraId="565EDE77">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r>
              <w:rPr>
                <w:rFonts w:hint="eastAsia" w:ascii="宋体" w:hAnsi="宋体" w:eastAsia="宋体"/>
                <w:color w:val="auto"/>
                <w:sz w:val="21"/>
                <w:szCs w:val="21"/>
              </w:rPr>
              <w:t>蕴秀园</w:t>
            </w:r>
          </w:p>
        </w:tc>
        <w:tc>
          <w:tcPr>
            <w:tcW w:w="742" w:type="dxa"/>
            <w:tcBorders>
              <w:tl2br w:val="nil"/>
              <w:tr2bl w:val="nil"/>
            </w:tcBorders>
            <w:noWrap w:val="0"/>
            <w:vAlign w:val="center"/>
          </w:tcPr>
          <w:p w14:paraId="1CF20C9E">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r>
              <w:rPr>
                <w:rFonts w:hint="eastAsia" w:ascii="宋体" w:hAnsi="宋体" w:eastAsia="宋体"/>
                <w:color w:val="auto"/>
                <w:sz w:val="21"/>
                <w:szCs w:val="21"/>
              </w:rPr>
              <w:t>西北</w:t>
            </w:r>
          </w:p>
        </w:tc>
        <w:tc>
          <w:tcPr>
            <w:tcW w:w="1406" w:type="dxa"/>
            <w:tcBorders>
              <w:tl2br w:val="nil"/>
              <w:tr2bl w:val="nil"/>
            </w:tcBorders>
            <w:noWrap w:val="0"/>
            <w:vAlign w:val="center"/>
          </w:tcPr>
          <w:p w14:paraId="2AC326DC">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r>
              <w:rPr>
                <w:rFonts w:hint="default" w:ascii="Times New Roman" w:hAnsi="Times New Roman" w:eastAsia="Times New Roman"/>
                <w:color w:val="auto"/>
                <w:sz w:val="21"/>
                <w:szCs w:val="21"/>
              </w:rPr>
              <w:t>160m</w:t>
            </w:r>
          </w:p>
        </w:tc>
        <w:tc>
          <w:tcPr>
            <w:tcW w:w="1345" w:type="dxa"/>
            <w:tcBorders>
              <w:tl2br w:val="nil"/>
              <w:tr2bl w:val="nil"/>
            </w:tcBorders>
            <w:noWrap w:val="0"/>
            <w:vAlign w:val="center"/>
          </w:tcPr>
          <w:p w14:paraId="072DEE08">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r>
              <w:rPr>
                <w:rFonts w:hint="default" w:ascii="Times New Roman" w:hAnsi="Times New Roman" w:eastAsia="Times New Roman"/>
                <w:color w:val="auto"/>
                <w:sz w:val="21"/>
                <w:szCs w:val="21"/>
              </w:rPr>
              <w:t xml:space="preserve">60 </w:t>
            </w:r>
            <w:r>
              <w:rPr>
                <w:rFonts w:hint="eastAsia" w:ascii="宋体" w:hAnsi="宋体" w:eastAsia="宋体"/>
                <w:color w:val="auto"/>
                <w:sz w:val="21"/>
                <w:szCs w:val="21"/>
              </w:rPr>
              <w:t>户</w:t>
            </w:r>
            <w:r>
              <w:rPr>
                <w:rFonts w:hint="default" w:ascii="Times New Roman" w:hAnsi="Times New Roman" w:eastAsia="Times New Roman"/>
                <w:color w:val="auto"/>
                <w:sz w:val="21"/>
                <w:szCs w:val="21"/>
              </w:rPr>
              <w:t xml:space="preserve">/180 </w:t>
            </w:r>
            <w:r>
              <w:rPr>
                <w:rFonts w:hint="eastAsia" w:ascii="宋体" w:hAnsi="宋体" w:eastAsia="宋体"/>
                <w:color w:val="auto"/>
                <w:sz w:val="21"/>
                <w:szCs w:val="21"/>
              </w:rPr>
              <w:t>人</w:t>
            </w:r>
          </w:p>
        </w:tc>
        <w:tc>
          <w:tcPr>
            <w:tcW w:w="2174" w:type="dxa"/>
            <w:vMerge w:val="continue"/>
            <w:tcBorders>
              <w:tl2br w:val="nil"/>
              <w:tr2bl w:val="nil"/>
            </w:tcBorders>
            <w:noWrap w:val="0"/>
            <w:vAlign w:val="center"/>
          </w:tcPr>
          <w:p w14:paraId="4D06EC0A">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p>
        </w:tc>
      </w:tr>
      <w:tr w14:paraId="3EF7AC9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312" w:type="dxa"/>
            <w:vMerge w:val="continue"/>
            <w:tcBorders>
              <w:tl2br w:val="nil"/>
              <w:tr2bl w:val="nil"/>
            </w:tcBorders>
            <w:noWrap w:val="0"/>
            <w:vAlign w:val="center"/>
          </w:tcPr>
          <w:p w14:paraId="534D759A">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p>
        </w:tc>
        <w:tc>
          <w:tcPr>
            <w:tcW w:w="1903" w:type="dxa"/>
            <w:tcBorders>
              <w:tl2br w:val="nil"/>
              <w:tr2bl w:val="nil"/>
            </w:tcBorders>
            <w:noWrap w:val="0"/>
            <w:vAlign w:val="center"/>
          </w:tcPr>
          <w:p w14:paraId="0257C510">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r>
              <w:rPr>
                <w:rFonts w:hint="eastAsia" w:ascii="宋体" w:hAnsi="宋体" w:eastAsia="宋体"/>
                <w:color w:val="auto"/>
                <w:sz w:val="21"/>
                <w:szCs w:val="21"/>
              </w:rPr>
              <w:t>鹤城镇</w:t>
            </w:r>
          </w:p>
        </w:tc>
        <w:tc>
          <w:tcPr>
            <w:tcW w:w="742" w:type="dxa"/>
            <w:tcBorders>
              <w:tl2br w:val="nil"/>
              <w:tr2bl w:val="nil"/>
            </w:tcBorders>
            <w:noWrap w:val="0"/>
            <w:vAlign w:val="center"/>
          </w:tcPr>
          <w:p w14:paraId="4B4F48D9">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r>
              <w:rPr>
                <w:rFonts w:hint="eastAsia" w:ascii="宋体" w:hAnsi="宋体" w:eastAsia="宋体"/>
                <w:color w:val="auto"/>
                <w:sz w:val="21"/>
                <w:szCs w:val="21"/>
              </w:rPr>
              <w:t>东北</w:t>
            </w:r>
          </w:p>
        </w:tc>
        <w:tc>
          <w:tcPr>
            <w:tcW w:w="1406" w:type="dxa"/>
            <w:tcBorders>
              <w:tl2br w:val="nil"/>
              <w:tr2bl w:val="nil"/>
            </w:tcBorders>
            <w:noWrap w:val="0"/>
            <w:vAlign w:val="center"/>
          </w:tcPr>
          <w:p w14:paraId="2245FCBE">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r>
              <w:rPr>
                <w:rFonts w:hint="default" w:ascii="Times New Roman" w:hAnsi="Times New Roman" w:eastAsia="Times New Roman"/>
                <w:color w:val="auto"/>
                <w:sz w:val="21"/>
                <w:szCs w:val="21"/>
              </w:rPr>
              <w:t>370m</w:t>
            </w:r>
          </w:p>
        </w:tc>
        <w:tc>
          <w:tcPr>
            <w:tcW w:w="1345" w:type="dxa"/>
            <w:tcBorders>
              <w:tl2br w:val="nil"/>
              <w:tr2bl w:val="nil"/>
            </w:tcBorders>
            <w:noWrap w:val="0"/>
            <w:vAlign w:val="center"/>
          </w:tcPr>
          <w:p w14:paraId="2B99355E">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r>
              <w:rPr>
                <w:rFonts w:hint="default" w:ascii="Times New Roman" w:hAnsi="Times New Roman" w:eastAsia="Times New Roman"/>
                <w:color w:val="auto"/>
                <w:sz w:val="21"/>
                <w:szCs w:val="21"/>
              </w:rPr>
              <w:t xml:space="preserve">100 </w:t>
            </w:r>
            <w:r>
              <w:rPr>
                <w:rFonts w:hint="eastAsia" w:ascii="宋体" w:hAnsi="宋体" w:eastAsia="宋体"/>
                <w:color w:val="auto"/>
                <w:sz w:val="21"/>
                <w:szCs w:val="21"/>
              </w:rPr>
              <w:t>户</w:t>
            </w:r>
            <w:r>
              <w:rPr>
                <w:rFonts w:hint="default" w:ascii="Times New Roman" w:hAnsi="Times New Roman" w:eastAsia="Times New Roman"/>
                <w:color w:val="auto"/>
                <w:sz w:val="21"/>
                <w:szCs w:val="21"/>
              </w:rPr>
              <w:t>/300</w:t>
            </w:r>
            <w:r>
              <w:rPr>
                <w:rFonts w:hint="default" w:ascii="Times New Roman" w:hAnsi="Times New Roman" w:eastAsia="Times New Roman"/>
                <w:color w:val="auto"/>
                <w:spacing w:val="-3"/>
                <w:sz w:val="21"/>
                <w:szCs w:val="21"/>
              </w:rPr>
              <w:t xml:space="preserve"> </w:t>
            </w:r>
            <w:r>
              <w:rPr>
                <w:rFonts w:hint="eastAsia" w:ascii="宋体" w:hAnsi="宋体" w:eastAsia="宋体"/>
                <w:color w:val="auto"/>
                <w:sz w:val="21"/>
                <w:szCs w:val="21"/>
              </w:rPr>
              <w:t>人</w:t>
            </w:r>
          </w:p>
        </w:tc>
        <w:tc>
          <w:tcPr>
            <w:tcW w:w="2174" w:type="dxa"/>
            <w:vMerge w:val="continue"/>
            <w:tcBorders>
              <w:tl2br w:val="nil"/>
              <w:tr2bl w:val="nil"/>
            </w:tcBorders>
            <w:noWrap w:val="0"/>
            <w:vAlign w:val="center"/>
          </w:tcPr>
          <w:p w14:paraId="723B07F4">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p>
        </w:tc>
      </w:tr>
      <w:tr w14:paraId="6AACEBC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312" w:type="dxa"/>
            <w:vMerge w:val="continue"/>
            <w:tcBorders>
              <w:tl2br w:val="nil"/>
              <w:tr2bl w:val="nil"/>
            </w:tcBorders>
            <w:noWrap w:val="0"/>
            <w:vAlign w:val="center"/>
          </w:tcPr>
          <w:p w14:paraId="3679CBE2">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p>
        </w:tc>
        <w:tc>
          <w:tcPr>
            <w:tcW w:w="1903" w:type="dxa"/>
            <w:tcBorders>
              <w:tl2br w:val="nil"/>
              <w:tr2bl w:val="nil"/>
            </w:tcBorders>
            <w:noWrap w:val="0"/>
            <w:vAlign w:val="center"/>
          </w:tcPr>
          <w:p w14:paraId="3A4E98AE">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r>
              <w:rPr>
                <w:rFonts w:hint="eastAsia" w:ascii="宋体" w:hAnsi="宋体" w:eastAsia="宋体"/>
                <w:color w:val="auto"/>
                <w:sz w:val="21"/>
                <w:szCs w:val="21"/>
              </w:rPr>
              <w:t>洗衣被厂</w:t>
            </w:r>
          </w:p>
        </w:tc>
        <w:tc>
          <w:tcPr>
            <w:tcW w:w="742" w:type="dxa"/>
            <w:tcBorders>
              <w:tl2br w:val="nil"/>
              <w:tr2bl w:val="nil"/>
            </w:tcBorders>
            <w:noWrap w:val="0"/>
            <w:vAlign w:val="center"/>
          </w:tcPr>
          <w:p w14:paraId="10872D41">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r>
              <w:rPr>
                <w:rFonts w:hint="eastAsia" w:ascii="宋体" w:hAnsi="宋体" w:eastAsia="宋体"/>
                <w:color w:val="auto"/>
                <w:sz w:val="21"/>
                <w:szCs w:val="21"/>
              </w:rPr>
              <w:t>西北</w:t>
            </w:r>
          </w:p>
        </w:tc>
        <w:tc>
          <w:tcPr>
            <w:tcW w:w="1406" w:type="dxa"/>
            <w:tcBorders>
              <w:tl2br w:val="nil"/>
              <w:tr2bl w:val="nil"/>
            </w:tcBorders>
            <w:noWrap w:val="0"/>
            <w:vAlign w:val="center"/>
          </w:tcPr>
          <w:p w14:paraId="16A8C569">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r>
              <w:rPr>
                <w:rFonts w:hint="default" w:ascii="Times New Roman" w:hAnsi="Times New Roman" w:eastAsia="Times New Roman"/>
                <w:color w:val="auto"/>
                <w:sz w:val="21"/>
                <w:szCs w:val="21"/>
              </w:rPr>
              <w:t>44m</w:t>
            </w:r>
          </w:p>
        </w:tc>
        <w:tc>
          <w:tcPr>
            <w:tcW w:w="1345" w:type="dxa"/>
            <w:tcBorders>
              <w:tl2br w:val="nil"/>
              <w:tr2bl w:val="nil"/>
            </w:tcBorders>
            <w:noWrap w:val="0"/>
            <w:vAlign w:val="center"/>
          </w:tcPr>
          <w:p w14:paraId="08125438">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r>
              <w:rPr>
                <w:rFonts w:hint="default" w:ascii="Times New Roman" w:hAnsi="Times New Roman" w:eastAsia="Times New Roman"/>
                <w:color w:val="auto"/>
                <w:w w:val="99"/>
                <w:sz w:val="21"/>
                <w:szCs w:val="21"/>
              </w:rPr>
              <w:t>/</w:t>
            </w:r>
          </w:p>
        </w:tc>
        <w:tc>
          <w:tcPr>
            <w:tcW w:w="2174" w:type="dxa"/>
            <w:vMerge w:val="continue"/>
            <w:tcBorders>
              <w:tl2br w:val="nil"/>
              <w:tr2bl w:val="nil"/>
            </w:tcBorders>
            <w:noWrap w:val="0"/>
            <w:vAlign w:val="center"/>
          </w:tcPr>
          <w:p w14:paraId="2C33E4AA">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p>
        </w:tc>
      </w:tr>
      <w:tr w14:paraId="74BE3E6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312" w:type="dxa"/>
            <w:tcBorders>
              <w:tl2br w:val="nil"/>
              <w:tr2bl w:val="nil"/>
            </w:tcBorders>
            <w:noWrap w:val="0"/>
            <w:vAlign w:val="center"/>
          </w:tcPr>
          <w:p w14:paraId="24639F6A">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r>
              <w:rPr>
                <w:rFonts w:hint="eastAsia" w:ascii="宋体" w:hAnsi="宋体" w:eastAsia="宋体"/>
                <w:color w:val="auto"/>
                <w:sz w:val="21"/>
                <w:szCs w:val="21"/>
              </w:rPr>
              <w:t>声环境</w:t>
            </w:r>
          </w:p>
        </w:tc>
        <w:tc>
          <w:tcPr>
            <w:tcW w:w="5396" w:type="dxa"/>
            <w:gridSpan w:val="4"/>
            <w:tcBorders>
              <w:tl2br w:val="nil"/>
              <w:tr2bl w:val="nil"/>
            </w:tcBorders>
            <w:noWrap w:val="0"/>
            <w:vAlign w:val="center"/>
          </w:tcPr>
          <w:p w14:paraId="12A7A036">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r>
              <w:rPr>
                <w:rFonts w:hint="eastAsia" w:ascii="宋体" w:hAnsi="宋体" w:eastAsia="宋体"/>
                <w:color w:val="auto"/>
                <w:sz w:val="21"/>
                <w:szCs w:val="21"/>
              </w:rPr>
              <w:t>周边</w:t>
            </w:r>
            <w:r>
              <w:rPr>
                <w:rFonts w:hint="eastAsia" w:ascii="宋体" w:hAnsi="宋体" w:eastAsia="宋体"/>
                <w:color w:val="auto"/>
                <w:spacing w:val="-54"/>
                <w:sz w:val="21"/>
                <w:szCs w:val="21"/>
              </w:rPr>
              <w:t xml:space="preserve"> </w:t>
            </w:r>
            <w:r>
              <w:rPr>
                <w:rFonts w:hint="default" w:ascii="Times New Roman" w:hAnsi="Times New Roman" w:eastAsia="Times New Roman"/>
                <w:color w:val="auto"/>
                <w:sz w:val="21"/>
                <w:szCs w:val="21"/>
              </w:rPr>
              <w:t>200m</w:t>
            </w:r>
            <w:r>
              <w:rPr>
                <w:rFonts w:hint="default" w:ascii="Times New Roman" w:hAnsi="Times New Roman" w:eastAsia="Times New Roman"/>
                <w:color w:val="auto"/>
                <w:spacing w:val="-3"/>
                <w:sz w:val="21"/>
                <w:szCs w:val="21"/>
              </w:rPr>
              <w:t xml:space="preserve"> </w:t>
            </w:r>
            <w:r>
              <w:rPr>
                <w:rFonts w:hint="eastAsia" w:ascii="宋体" w:hAnsi="宋体" w:eastAsia="宋体"/>
                <w:color w:val="auto"/>
                <w:sz w:val="21"/>
                <w:szCs w:val="21"/>
              </w:rPr>
              <w:t>范围</w:t>
            </w:r>
          </w:p>
        </w:tc>
        <w:tc>
          <w:tcPr>
            <w:tcW w:w="2174" w:type="dxa"/>
            <w:tcBorders>
              <w:tl2br w:val="nil"/>
              <w:tr2bl w:val="nil"/>
            </w:tcBorders>
            <w:noWrap w:val="0"/>
            <w:vAlign w:val="center"/>
          </w:tcPr>
          <w:p w14:paraId="24AACAED">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r>
              <w:rPr>
                <w:rFonts w:hint="eastAsia" w:ascii="宋体" w:hAnsi="宋体" w:eastAsia="宋体"/>
                <w:color w:val="auto"/>
                <w:sz w:val="21"/>
                <w:szCs w:val="21"/>
              </w:rPr>
              <w:t>（</w:t>
            </w:r>
            <w:r>
              <w:rPr>
                <w:rFonts w:hint="default" w:ascii="Times New Roman" w:hAnsi="Times New Roman" w:eastAsia="Times New Roman"/>
                <w:color w:val="auto"/>
                <w:sz w:val="21"/>
                <w:szCs w:val="21"/>
              </w:rPr>
              <w:t>GB3096-2008</w:t>
            </w:r>
            <w:r>
              <w:rPr>
                <w:rFonts w:hint="eastAsia" w:ascii="宋体" w:hAnsi="宋体" w:eastAsia="宋体"/>
                <w:color w:val="auto"/>
                <w:sz w:val="21"/>
                <w:szCs w:val="21"/>
              </w:rPr>
              <w:t>）</w:t>
            </w:r>
            <w:r>
              <w:rPr>
                <w:rFonts w:hint="default" w:ascii="Times New Roman" w:hAnsi="Times New Roman" w:eastAsia="Times New Roman"/>
                <w:color w:val="auto"/>
                <w:sz w:val="21"/>
                <w:szCs w:val="21"/>
              </w:rPr>
              <w:t>2</w:t>
            </w:r>
            <w:r>
              <w:rPr>
                <w:rFonts w:hint="default" w:ascii="Times New Roman" w:hAnsi="Times New Roman" w:eastAsia="Times New Roman"/>
                <w:color w:val="auto"/>
                <w:spacing w:val="-2"/>
                <w:sz w:val="21"/>
                <w:szCs w:val="21"/>
              </w:rPr>
              <w:t xml:space="preserve"> </w:t>
            </w:r>
            <w:r>
              <w:rPr>
                <w:rFonts w:hint="eastAsia" w:ascii="宋体" w:hAnsi="宋体" w:eastAsia="宋体"/>
                <w:color w:val="auto"/>
                <w:sz w:val="21"/>
                <w:szCs w:val="21"/>
              </w:rPr>
              <w:t>类</w:t>
            </w:r>
          </w:p>
        </w:tc>
      </w:tr>
      <w:tr w14:paraId="3DEF9DE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312" w:type="dxa"/>
            <w:tcBorders>
              <w:tl2br w:val="nil"/>
              <w:tr2bl w:val="nil"/>
            </w:tcBorders>
            <w:noWrap w:val="0"/>
            <w:vAlign w:val="center"/>
          </w:tcPr>
          <w:p w14:paraId="12734B40">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r>
              <w:rPr>
                <w:rFonts w:hint="eastAsia" w:ascii="宋体" w:hAnsi="宋体" w:eastAsia="宋体"/>
                <w:color w:val="auto"/>
                <w:sz w:val="21"/>
                <w:szCs w:val="21"/>
              </w:rPr>
              <w:t>地表水环境</w:t>
            </w:r>
          </w:p>
        </w:tc>
        <w:tc>
          <w:tcPr>
            <w:tcW w:w="1903" w:type="dxa"/>
            <w:tcBorders>
              <w:tl2br w:val="nil"/>
              <w:tr2bl w:val="nil"/>
            </w:tcBorders>
            <w:noWrap w:val="0"/>
            <w:vAlign w:val="center"/>
          </w:tcPr>
          <w:p w14:paraId="1A5E1A3A">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r>
              <w:rPr>
                <w:rFonts w:hint="eastAsia" w:ascii="宋体" w:hAnsi="宋体" w:eastAsia="宋体"/>
                <w:color w:val="auto"/>
                <w:sz w:val="21"/>
                <w:szCs w:val="21"/>
              </w:rPr>
              <w:t>泸溪河</w:t>
            </w:r>
          </w:p>
        </w:tc>
        <w:tc>
          <w:tcPr>
            <w:tcW w:w="742" w:type="dxa"/>
            <w:tcBorders>
              <w:tl2br w:val="nil"/>
              <w:tr2bl w:val="nil"/>
            </w:tcBorders>
            <w:noWrap w:val="0"/>
            <w:vAlign w:val="center"/>
          </w:tcPr>
          <w:p w14:paraId="3581D9C3">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r>
              <w:rPr>
                <w:rFonts w:hint="eastAsia" w:ascii="宋体" w:hAnsi="宋体" w:eastAsia="宋体"/>
                <w:color w:val="auto"/>
                <w:w w:val="99"/>
                <w:sz w:val="21"/>
                <w:szCs w:val="21"/>
              </w:rPr>
              <w:t>东</w:t>
            </w:r>
          </w:p>
        </w:tc>
        <w:tc>
          <w:tcPr>
            <w:tcW w:w="1406" w:type="dxa"/>
            <w:tcBorders>
              <w:tl2br w:val="nil"/>
              <w:tr2bl w:val="nil"/>
            </w:tcBorders>
            <w:noWrap w:val="0"/>
            <w:vAlign w:val="center"/>
          </w:tcPr>
          <w:p w14:paraId="422A60D0">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r>
              <w:rPr>
                <w:rFonts w:hint="default" w:ascii="Times New Roman" w:hAnsi="Times New Roman" w:eastAsia="Times New Roman"/>
                <w:color w:val="auto"/>
                <w:sz w:val="21"/>
                <w:szCs w:val="21"/>
              </w:rPr>
              <w:t>4m</w:t>
            </w:r>
          </w:p>
        </w:tc>
        <w:tc>
          <w:tcPr>
            <w:tcW w:w="1345" w:type="dxa"/>
            <w:tcBorders>
              <w:tl2br w:val="nil"/>
              <w:tr2bl w:val="nil"/>
            </w:tcBorders>
            <w:noWrap w:val="0"/>
            <w:vAlign w:val="center"/>
          </w:tcPr>
          <w:p w14:paraId="18E1355E">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r>
              <w:rPr>
                <w:rFonts w:hint="eastAsia" w:ascii="宋体" w:hAnsi="宋体" w:eastAsia="宋体"/>
                <w:color w:val="auto"/>
                <w:sz w:val="21"/>
                <w:szCs w:val="21"/>
              </w:rPr>
              <w:t>中河</w:t>
            </w:r>
          </w:p>
        </w:tc>
        <w:tc>
          <w:tcPr>
            <w:tcW w:w="2174" w:type="dxa"/>
            <w:tcBorders>
              <w:tl2br w:val="nil"/>
              <w:tr2bl w:val="nil"/>
            </w:tcBorders>
            <w:noWrap w:val="0"/>
            <w:vAlign w:val="center"/>
          </w:tcPr>
          <w:p w14:paraId="3988952E">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default"/>
                <w:color w:val="auto"/>
                <w:sz w:val="21"/>
                <w:szCs w:val="21"/>
              </w:rPr>
            </w:pPr>
            <w:r>
              <w:rPr>
                <w:rFonts w:hint="eastAsia" w:ascii="宋体" w:hAnsi="宋体" w:eastAsia="宋体"/>
                <w:color w:val="auto"/>
                <w:sz w:val="21"/>
                <w:szCs w:val="21"/>
              </w:rPr>
              <w:t>（</w:t>
            </w:r>
            <w:r>
              <w:rPr>
                <w:rFonts w:hint="default" w:ascii="Times New Roman" w:hAnsi="Times New Roman" w:eastAsia="Times New Roman"/>
                <w:color w:val="auto"/>
                <w:sz w:val="21"/>
                <w:szCs w:val="21"/>
              </w:rPr>
              <w:t>GB3838-2002</w:t>
            </w:r>
            <w:r>
              <w:rPr>
                <w:rFonts w:hint="eastAsia" w:ascii="宋体" w:hAnsi="宋体" w:eastAsia="宋体"/>
                <w:color w:val="auto"/>
                <w:sz w:val="21"/>
                <w:szCs w:val="21"/>
              </w:rPr>
              <w:t>）Ⅲ类</w:t>
            </w:r>
          </w:p>
        </w:tc>
      </w:tr>
      <w:tr w14:paraId="6E2DE1C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312" w:type="dxa"/>
            <w:tcBorders>
              <w:tl2br w:val="nil"/>
              <w:tr2bl w:val="nil"/>
            </w:tcBorders>
            <w:noWrap w:val="0"/>
            <w:vAlign w:val="center"/>
          </w:tcPr>
          <w:p w14:paraId="34E624B1">
            <w:pPr>
              <w:pStyle w:val="41"/>
              <w:keepNext w:val="0"/>
              <w:keepLines w:val="0"/>
              <w:pageBreakBefore w:val="0"/>
              <w:widowControl w:val="0"/>
              <w:kinsoku w:val="0"/>
              <w:wordWrap/>
              <w:overflowPunct w:val="0"/>
              <w:topLinePunct w:val="0"/>
              <w:autoSpaceDE/>
              <w:autoSpaceDN/>
              <w:bidi w:val="0"/>
              <w:adjustRightInd/>
              <w:snapToGrid w:val="0"/>
              <w:spacing w:line="240" w:lineRule="auto"/>
              <w:ind w:left="0" w:right="0" w:firstLine="0" w:firstLineChars="0"/>
              <w:jc w:val="center"/>
              <w:textAlignment w:val="auto"/>
              <w:rPr>
                <w:rFonts w:hint="eastAsia" w:ascii="宋体" w:hAnsi="宋体" w:eastAsia="宋体"/>
                <w:color w:val="auto"/>
                <w:sz w:val="21"/>
                <w:szCs w:val="21"/>
              </w:rPr>
            </w:pPr>
            <w:r>
              <w:rPr>
                <w:rFonts w:hint="eastAsia" w:ascii="宋体" w:hAnsi="宋体" w:eastAsia="宋体"/>
                <w:color w:val="auto"/>
                <w:sz w:val="21"/>
                <w:szCs w:val="21"/>
                <w:lang w:val="en-US" w:eastAsia="zh-CN"/>
              </w:rPr>
              <w:t>土壤</w:t>
            </w:r>
          </w:p>
        </w:tc>
        <w:tc>
          <w:tcPr>
            <w:tcW w:w="5396" w:type="dxa"/>
            <w:gridSpan w:val="4"/>
            <w:tcBorders>
              <w:tl2br w:val="nil"/>
              <w:tr2bl w:val="nil"/>
            </w:tcBorders>
            <w:noWrap w:val="0"/>
            <w:vAlign w:val="center"/>
          </w:tcPr>
          <w:p w14:paraId="3D463F5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lang w:val="en-US" w:eastAsia="zh-CN" w:bidi="ar-SA"/>
              </w:rPr>
            </w:pPr>
            <w:r>
              <w:rPr>
                <w:rFonts w:hint="default" w:ascii="Times New Roman" w:hAnsi="Times New Roman" w:cs="Times New Roman"/>
                <w:color w:val="auto"/>
                <w:sz w:val="21"/>
                <w:szCs w:val="21"/>
              </w:rPr>
              <w:t>场区范围</w:t>
            </w:r>
            <w:r>
              <w:rPr>
                <w:rFonts w:hint="default" w:ascii="Times New Roman" w:hAnsi="Times New Roman" w:cs="Times New Roman"/>
                <w:color w:val="auto"/>
                <w:sz w:val="21"/>
                <w:szCs w:val="21"/>
                <w:lang w:val="en-US" w:eastAsia="zh-CN"/>
              </w:rPr>
              <w:t>及场区外50m范围内的</w:t>
            </w:r>
            <w:r>
              <w:rPr>
                <w:rFonts w:hint="eastAsia" w:ascii="Times New Roman" w:hAnsi="Times New Roman" w:cs="Times New Roman"/>
                <w:color w:val="auto"/>
                <w:sz w:val="21"/>
                <w:szCs w:val="21"/>
                <w:lang w:val="en-US" w:eastAsia="zh-CN"/>
              </w:rPr>
              <w:t>农田</w:t>
            </w:r>
          </w:p>
        </w:tc>
        <w:tc>
          <w:tcPr>
            <w:tcW w:w="2174" w:type="dxa"/>
            <w:tcBorders>
              <w:tl2br w:val="nil"/>
              <w:tr2bl w:val="nil"/>
            </w:tcBorders>
            <w:noWrap w:val="0"/>
            <w:vAlign w:val="center"/>
          </w:tcPr>
          <w:p w14:paraId="496D3E5E">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lang w:val="en-US" w:eastAsia="zh-CN" w:bidi="ar-SA"/>
              </w:rPr>
            </w:pPr>
            <w:r>
              <w:rPr>
                <w:rFonts w:hint="default" w:ascii="Times New Roman" w:hAnsi="Times New Roman" w:cs="Times New Roman"/>
                <w:color w:val="auto"/>
                <w:sz w:val="21"/>
                <w:szCs w:val="21"/>
                <w:lang w:eastAsia="zh-CN"/>
              </w:rPr>
              <w:t>（DB36/1282-2020）</w:t>
            </w:r>
            <w:r>
              <w:rPr>
                <w:rFonts w:hint="default" w:ascii="Times New Roman" w:hAnsi="Times New Roman" w:cs="Times New Roman"/>
                <w:color w:val="auto"/>
                <w:sz w:val="21"/>
                <w:szCs w:val="21"/>
              </w:rPr>
              <w:t>风险筛选值</w:t>
            </w:r>
          </w:p>
        </w:tc>
      </w:tr>
    </w:tbl>
    <w:p w14:paraId="0E56437B">
      <w:pPr>
        <w:pStyle w:val="5"/>
        <w:spacing w:before="156" w:after="156"/>
        <w:rPr>
          <w:rFonts w:hint="default" w:ascii="Times New Roman" w:hAnsi="Times New Roman" w:eastAsia="宋体"/>
          <w:color w:val="auto"/>
          <w:lang w:val="en-US" w:eastAsia="zh-CN"/>
        </w:rPr>
      </w:pPr>
      <w:bookmarkStart w:id="25" w:name="_Toc16998"/>
      <w:bookmarkStart w:id="26" w:name="_Toc476314969"/>
      <w:r>
        <w:rPr>
          <w:rFonts w:hint="eastAsia" w:ascii="Times New Roman" w:hAnsi="Times New Roman" w:eastAsia="宋体"/>
          <w:color w:val="auto"/>
          <w:lang w:val="en-US" w:eastAsia="zh-CN"/>
        </w:rPr>
        <w:t>2.5</w:t>
      </w:r>
      <w:r>
        <w:rPr>
          <w:rFonts w:hint="default" w:ascii="Times New Roman" w:hAnsi="Times New Roman" w:eastAsia="宋体"/>
          <w:color w:val="auto"/>
          <w:lang w:val="en-US" w:eastAsia="zh-CN"/>
        </w:rPr>
        <w:t>环境风险源识别</w:t>
      </w:r>
      <w:bookmarkEnd w:id="25"/>
    </w:p>
    <w:p w14:paraId="7ACEA11D">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w:t>
      </w:r>
      <w:r>
        <w:rPr>
          <w:rFonts w:hint="default" w:ascii="Times New Roman" w:hAnsi="Times New Roman" w:eastAsia="宋体" w:cs="Times New Roman"/>
          <w:color w:val="auto"/>
          <w:sz w:val="24"/>
          <w:lang w:eastAsia="zh-CN"/>
        </w:rPr>
        <w:t>污水处理厂</w:t>
      </w:r>
      <w:r>
        <w:rPr>
          <w:rFonts w:hint="default" w:ascii="Times New Roman" w:hAnsi="Times New Roman" w:eastAsia="宋体" w:cs="Times New Roman"/>
          <w:color w:val="auto"/>
          <w:sz w:val="24"/>
        </w:rPr>
        <w:t>厂区情况，分析确定厂区环境危险源，见表</w:t>
      </w:r>
      <w:r>
        <w:rPr>
          <w:rFonts w:hint="eastAsia" w:ascii="Times New Roman" w:hAnsi="Times New Roman" w:eastAsia="宋体" w:cs="Times New Roman"/>
          <w:color w:val="auto"/>
          <w:sz w:val="24"/>
          <w:lang w:val="en-US" w:eastAsia="zh-CN"/>
        </w:rPr>
        <w:t>2.5-1</w:t>
      </w:r>
      <w:r>
        <w:rPr>
          <w:rFonts w:hint="default" w:ascii="Times New Roman" w:hAnsi="Times New Roman" w:eastAsia="宋体" w:cs="Times New Roman"/>
          <w:color w:val="auto"/>
          <w:sz w:val="24"/>
        </w:rPr>
        <w:t>。</w:t>
      </w:r>
    </w:p>
    <w:p w14:paraId="71040CC7">
      <w:pPr>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w:t>
      </w:r>
      <w:r>
        <w:rPr>
          <w:rFonts w:hint="eastAsia" w:ascii="Times New Roman" w:hAnsi="Times New Roman" w:eastAsia="宋体" w:cs="Times New Roman"/>
          <w:b/>
          <w:color w:val="auto"/>
          <w:sz w:val="24"/>
          <w:szCs w:val="24"/>
          <w:lang w:val="en-US" w:eastAsia="zh-CN"/>
        </w:rPr>
        <w:t>2.5</w:t>
      </w:r>
      <w:r>
        <w:rPr>
          <w:rFonts w:hint="default" w:ascii="Times New Roman" w:hAnsi="Times New Roman" w:eastAsia="宋体" w:cs="Times New Roman"/>
          <w:b/>
          <w:color w:val="auto"/>
          <w:sz w:val="24"/>
          <w:szCs w:val="24"/>
          <w:lang w:val="en-US" w:eastAsia="zh-CN"/>
        </w:rPr>
        <w:t>-1</w:t>
      </w:r>
      <w:r>
        <w:rPr>
          <w:rFonts w:hint="default" w:ascii="Times New Roman" w:hAnsi="Times New Roman" w:eastAsia="宋体" w:cs="Times New Roman"/>
          <w:b/>
          <w:color w:val="auto"/>
          <w:sz w:val="24"/>
          <w:szCs w:val="24"/>
        </w:rPr>
        <w:t xml:space="preserve"> 厂区环境危险源识别汇总表</w:t>
      </w:r>
    </w:p>
    <w:tbl>
      <w:tblPr>
        <w:tblStyle w:val="23"/>
        <w:tblW w:w="851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26"/>
        <w:gridCol w:w="1136"/>
        <w:gridCol w:w="2564"/>
        <w:gridCol w:w="2753"/>
        <w:gridCol w:w="1640"/>
      </w:tblGrid>
      <w:tr w14:paraId="3FDDE3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26" w:type="dxa"/>
            <w:tcBorders>
              <w:top w:val="single" w:color="000000" w:sz="12" w:space="0"/>
            </w:tcBorders>
            <w:vAlign w:val="center"/>
          </w:tcPr>
          <w:p w14:paraId="5C4A4B7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bookmarkStart w:id="27" w:name="_Toc1539"/>
            <w:bookmarkStart w:id="28" w:name="_Toc3322"/>
            <w:r>
              <w:rPr>
                <w:rFonts w:hint="default" w:ascii="Times New Roman" w:hAnsi="Times New Roman" w:eastAsia="宋体" w:cs="Times New Roman"/>
                <w:color w:val="auto"/>
                <w:sz w:val="21"/>
                <w:szCs w:val="21"/>
              </w:rPr>
              <w:t>序号</w:t>
            </w:r>
          </w:p>
        </w:tc>
        <w:tc>
          <w:tcPr>
            <w:tcW w:w="1136" w:type="dxa"/>
            <w:tcBorders>
              <w:top w:val="single" w:color="000000" w:sz="12" w:space="0"/>
            </w:tcBorders>
            <w:vAlign w:val="center"/>
          </w:tcPr>
          <w:p w14:paraId="4288ECF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主要工序或设施</w:t>
            </w:r>
          </w:p>
        </w:tc>
        <w:tc>
          <w:tcPr>
            <w:tcW w:w="2564" w:type="dxa"/>
            <w:tcBorders>
              <w:top w:val="single" w:color="000000" w:sz="12" w:space="0"/>
            </w:tcBorders>
            <w:vAlign w:val="center"/>
          </w:tcPr>
          <w:p w14:paraId="0D6B315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主要危险因素</w:t>
            </w:r>
          </w:p>
        </w:tc>
        <w:tc>
          <w:tcPr>
            <w:tcW w:w="2753" w:type="dxa"/>
            <w:tcBorders>
              <w:top w:val="single" w:color="000000" w:sz="12" w:space="0"/>
            </w:tcBorders>
            <w:vAlign w:val="center"/>
          </w:tcPr>
          <w:p w14:paraId="7D48EBC1">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危害情况及影响范围</w:t>
            </w:r>
          </w:p>
        </w:tc>
        <w:tc>
          <w:tcPr>
            <w:tcW w:w="1640" w:type="dxa"/>
            <w:tcBorders>
              <w:top w:val="single" w:color="000000" w:sz="12" w:space="0"/>
            </w:tcBorders>
            <w:vAlign w:val="center"/>
          </w:tcPr>
          <w:p w14:paraId="741A1DF1">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危险源</w:t>
            </w:r>
            <w:r>
              <w:rPr>
                <w:rFonts w:hint="eastAsia" w:ascii="Times New Roman" w:hAnsi="Times New Roman" w:eastAsia="宋体" w:cs="Times New Roman"/>
                <w:color w:val="auto"/>
                <w:sz w:val="21"/>
                <w:szCs w:val="21"/>
                <w:lang w:val="en-US" w:eastAsia="zh-CN"/>
              </w:rPr>
              <w:t>位置</w:t>
            </w:r>
          </w:p>
        </w:tc>
      </w:tr>
      <w:tr w14:paraId="2810FC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26" w:type="dxa"/>
            <w:vAlign w:val="center"/>
          </w:tcPr>
          <w:p w14:paraId="5262ADF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136" w:type="dxa"/>
            <w:vAlign w:val="center"/>
          </w:tcPr>
          <w:p w14:paraId="7B203760">
            <w:pPr>
              <w:pStyle w:val="48"/>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加氯间</w:t>
            </w:r>
          </w:p>
        </w:tc>
        <w:tc>
          <w:tcPr>
            <w:tcW w:w="2564" w:type="dxa"/>
            <w:vAlign w:val="center"/>
          </w:tcPr>
          <w:p w14:paraId="7B0597B0">
            <w:pPr>
              <w:pStyle w:val="48"/>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加氯间次氯酸钠储罐泄露造成环境污染</w:t>
            </w:r>
            <w:r>
              <w:rPr>
                <w:rFonts w:hint="default" w:ascii="Times New Roman" w:hAnsi="Times New Roman" w:eastAsia="宋体" w:cs="Times New Roman"/>
                <w:color w:val="auto"/>
                <w:sz w:val="21"/>
                <w:szCs w:val="21"/>
              </w:rPr>
              <w:t>。</w:t>
            </w:r>
          </w:p>
        </w:tc>
        <w:tc>
          <w:tcPr>
            <w:tcW w:w="2753" w:type="dxa"/>
            <w:vAlign w:val="center"/>
          </w:tcPr>
          <w:p w14:paraId="2FDBE161">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次氯酸钠泄露造成</w:t>
            </w:r>
            <w:r>
              <w:rPr>
                <w:rFonts w:hint="default" w:ascii="Times New Roman" w:hAnsi="Times New Roman" w:eastAsia="宋体" w:cs="Times New Roman"/>
                <w:color w:val="auto"/>
                <w:sz w:val="21"/>
                <w:szCs w:val="21"/>
              </w:rPr>
              <w:t>环境污染</w:t>
            </w:r>
            <w:r>
              <w:rPr>
                <w:rFonts w:hint="default" w:ascii="Times New Roman" w:hAnsi="Times New Roman" w:eastAsia="宋体" w:cs="Times New Roman"/>
                <w:color w:val="auto"/>
                <w:sz w:val="21"/>
                <w:szCs w:val="21"/>
                <w:lang w:eastAsia="zh-CN"/>
              </w:rPr>
              <w:t>，危害人员健康</w:t>
            </w:r>
            <w:r>
              <w:rPr>
                <w:rFonts w:hint="default" w:ascii="Times New Roman" w:hAnsi="Times New Roman" w:eastAsia="宋体" w:cs="Times New Roman"/>
                <w:color w:val="auto"/>
                <w:sz w:val="21"/>
                <w:szCs w:val="21"/>
              </w:rPr>
              <w:t>。</w:t>
            </w:r>
          </w:p>
        </w:tc>
        <w:tc>
          <w:tcPr>
            <w:tcW w:w="1640" w:type="dxa"/>
            <w:vAlign w:val="center"/>
          </w:tcPr>
          <w:p w14:paraId="7FD91E2C">
            <w:pPr>
              <w:pStyle w:val="2"/>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加氯间</w:t>
            </w:r>
          </w:p>
        </w:tc>
      </w:tr>
      <w:tr w14:paraId="4780F3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26" w:type="dxa"/>
            <w:vAlign w:val="center"/>
          </w:tcPr>
          <w:p w14:paraId="08166B06">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w:t>
            </w:r>
          </w:p>
        </w:tc>
        <w:tc>
          <w:tcPr>
            <w:tcW w:w="1136" w:type="dxa"/>
            <w:vMerge w:val="restart"/>
            <w:vAlign w:val="center"/>
          </w:tcPr>
          <w:p w14:paraId="0574F5AB">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污水处理系统</w:t>
            </w:r>
          </w:p>
          <w:p w14:paraId="309D5F9E">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p>
        </w:tc>
        <w:tc>
          <w:tcPr>
            <w:tcW w:w="2564" w:type="dxa"/>
            <w:vAlign w:val="center"/>
          </w:tcPr>
          <w:p w14:paraId="68A4F32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长时间停水、停电、设备故障等突发事件导致污水超标排放</w:t>
            </w:r>
          </w:p>
        </w:tc>
        <w:tc>
          <w:tcPr>
            <w:tcW w:w="2753" w:type="dxa"/>
            <w:vMerge w:val="restart"/>
            <w:vAlign w:val="center"/>
          </w:tcPr>
          <w:p w14:paraId="4CDCFC86">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污水处理系统故障，造成水质不达标或泄露进入雨水管网，污染水体；恶臭污染物排入大气，造成大气环境污染。</w:t>
            </w:r>
          </w:p>
        </w:tc>
        <w:tc>
          <w:tcPr>
            <w:tcW w:w="1640" w:type="dxa"/>
            <w:vMerge w:val="restart"/>
            <w:vAlign w:val="center"/>
          </w:tcPr>
          <w:p w14:paraId="0081115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green"/>
              </w:rPr>
            </w:pPr>
            <w:r>
              <w:rPr>
                <w:rFonts w:hint="default" w:ascii="Times New Roman" w:hAnsi="Times New Roman" w:eastAsia="宋体" w:cs="Times New Roman"/>
                <w:color w:val="auto"/>
                <w:kern w:val="0"/>
                <w:sz w:val="21"/>
                <w:szCs w:val="21"/>
              </w:rPr>
              <w:t>污水处理系统</w:t>
            </w:r>
          </w:p>
        </w:tc>
      </w:tr>
      <w:tr w14:paraId="1DA3AC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26" w:type="dxa"/>
            <w:vAlign w:val="center"/>
          </w:tcPr>
          <w:p w14:paraId="6DC43C1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3</w:t>
            </w:r>
          </w:p>
        </w:tc>
        <w:tc>
          <w:tcPr>
            <w:tcW w:w="1136" w:type="dxa"/>
            <w:vMerge w:val="continue"/>
            <w:vAlign w:val="center"/>
          </w:tcPr>
          <w:p w14:paraId="2FE3E66C">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p>
        </w:tc>
        <w:tc>
          <w:tcPr>
            <w:tcW w:w="2564" w:type="dxa"/>
            <w:vAlign w:val="center"/>
          </w:tcPr>
          <w:p w14:paraId="11D59D04">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暴雨、严寒、雷击等气象因素引发设备设施损坏</w:t>
            </w:r>
          </w:p>
        </w:tc>
        <w:tc>
          <w:tcPr>
            <w:tcW w:w="2753" w:type="dxa"/>
            <w:vMerge w:val="continue"/>
            <w:vAlign w:val="center"/>
          </w:tcPr>
          <w:p w14:paraId="56547D69">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640" w:type="dxa"/>
            <w:vMerge w:val="continue"/>
            <w:vAlign w:val="center"/>
          </w:tcPr>
          <w:p w14:paraId="73D806C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r>
      <w:tr w14:paraId="676643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26" w:type="dxa"/>
            <w:vAlign w:val="center"/>
          </w:tcPr>
          <w:p w14:paraId="4E9B762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1136" w:type="dxa"/>
            <w:vAlign w:val="center"/>
          </w:tcPr>
          <w:p w14:paraId="614DEFC9">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危废</w:t>
            </w:r>
            <w:r>
              <w:rPr>
                <w:rFonts w:hint="eastAsia" w:ascii="Times New Roman" w:hAnsi="Times New Roman" w:eastAsia="宋体" w:cs="Times New Roman"/>
                <w:color w:val="auto"/>
                <w:sz w:val="21"/>
                <w:szCs w:val="21"/>
                <w:lang w:val="en-US" w:eastAsia="zh-CN"/>
              </w:rPr>
              <w:t>暂存间</w:t>
            </w:r>
          </w:p>
        </w:tc>
        <w:tc>
          <w:tcPr>
            <w:tcW w:w="2564" w:type="dxa"/>
            <w:vAlign w:val="center"/>
          </w:tcPr>
          <w:p w14:paraId="1636D8C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危险废物在线废液、废试剂瓶内废试剂</w:t>
            </w:r>
            <w:r>
              <w:rPr>
                <w:rFonts w:hint="eastAsia" w:cs="Times New Roman"/>
                <w:color w:val="auto"/>
                <w:sz w:val="21"/>
                <w:szCs w:val="21"/>
                <w:lang w:eastAsia="zh-CN"/>
              </w:rPr>
              <w:t>、废机油、实验室废液</w:t>
            </w:r>
            <w:r>
              <w:rPr>
                <w:rFonts w:hint="default" w:ascii="Times New Roman" w:hAnsi="Times New Roman" w:eastAsia="宋体" w:cs="Times New Roman"/>
                <w:color w:val="auto"/>
                <w:sz w:val="21"/>
                <w:szCs w:val="21"/>
                <w:lang w:eastAsia="zh-CN"/>
              </w:rPr>
              <w:t>泄露造成环境污染</w:t>
            </w:r>
          </w:p>
        </w:tc>
        <w:tc>
          <w:tcPr>
            <w:tcW w:w="2753" w:type="dxa"/>
            <w:vAlign w:val="center"/>
          </w:tcPr>
          <w:p w14:paraId="045E378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废液</w:t>
            </w:r>
            <w:r>
              <w:rPr>
                <w:rFonts w:hint="default" w:ascii="Times New Roman" w:hAnsi="Times New Roman" w:eastAsia="宋体" w:cs="Times New Roman"/>
                <w:color w:val="auto"/>
                <w:sz w:val="21"/>
                <w:szCs w:val="21"/>
                <w:lang w:eastAsia="zh-CN"/>
              </w:rPr>
              <w:t>泄露造成</w:t>
            </w:r>
            <w:r>
              <w:rPr>
                <w:rFonts w:hint="default" w:ascii="Times New Roman" w:hAnsi="Times New Roman" w:eastAsia="宋体" w:cs="Times New Roman"/>
                <w:color w:val="auto"/>
                <w:sz w:val="21"/>
                <w:szCs w:val="21"/>
              </w:rPr>
              <w:t>环境污染</w:t>
            </w:r>
            <w:r>
              <w:rPr>
                <w:rFonts w:hint="default" w:ascii="Times New Roman" w:hAnsi="Times New Roman" w:eastAsia="宋体" w:cs="Times New Roman"/>
                <w:color w:val="auto"/>
                <w:sz w:val="21"/>
                <w:szCs w:val="21"/>
                <w:lang w:eastAsia="zh-CN"/>
              </w:rPr>
              <w:t>，危害人员健康</w:t>
            </w:r>
          </w:p>
        </w:tc>
        <w:tc>
          <w:tcPr>
            <w:tcW w:w="1640" w:type="dxa"/>
            <w:vAlign w:val="center"/>
          </w:tcPr>
          <w:p w14:paraId="1779BE45">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危废</w:t>
            </w:r>
            <w:r>
              <w:rPr>
                <w:rFonts w:hint="eastAsia" w:ascii="Times New Roman" w:hAnsi="Times New Roman" w:eastAsia="宋体" w:cs="Times New Roman"/>
                <w:color w:val="auto"/>
                <w:sz w:val="21"/>
                <w:szCs w:val="21"/>
                <w:lang w:val="en-US" w:eastAsia="zh-CN"/>
              </w:rPr>
              <w:t>暂存间</w:t>
            </w:r>
          </w:p>
        </w:tc>
      </w:tr>
    </w:tbl>
    <w:p w14:paraId="31D75A8D">
      <w:pPr>
        <w:pStyle w:val="5"/>
        <w:rPr>
          <w:rFonts w:hint="default" w:ascii="Times New Roman" w:hAnsi="Times New Roman" w:eastAsia="宋体" w:cs="Times New Roman"/>
          <w:color w:val="auto"/>
          <w:lang w:eastAsia="zh-CN"/>
        </w:rPr>
      </w:pPr>
      <w:bookmarkStart w:id="29" w:name="_Toc19020"/>
      <w:r>
        <w:rPr>
          <w:rFonts w:hint="eastAsia" w:ascii="Times New Roman" w:hAnsi="Times New Roman" w:eastAsia="宋体" w:cs="Times New Roman"/>
          <w:color w:val="auto"/>
          <w:lang w:val="en-US" w:eastAsia="zh-CN"/>
        </w:rPr>
        <w:t>2.6</w:t>
      </w:r>
      <w:r>
        <w:rPr>
          <w:rFonts w:hint="default" w:ascii="Times New Roman" w:hAnsi="Times New Roman" w:eastAsia="宋体" w:cs="Times New Roman"/>
          <w:color w:val="auto"/>
        </w:rPr>
        <w:t>涉及环境风险物质</w:t>
      </w:r>
      <w:r>
        <w:rPr>
          <w:rFonts w:hint="default" w:ascii="Times New Roman" w:hAnsi="Times New Roman" w:eastAsia="宋体" w:cs="Times New Roman"/>
          <w:color w:val="auto"/>
          <w:lang w:eastAsia="zh-CN"/>
        </w:rPr>
        <w:t>识别</w:t>
      </w:r>
      <w:bookmarkEnd w:id="27"/>
      <w:bookmarkEnd w:id="28"/>
      <w:bookmarkEnd w:id="29"/>
    </w:p>
    <w:p w14:paraId="507C3D50">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境风险物质识别范围：主要原材料及辅助材料，最终产品、中间产品、副产品、生产过程中排放的污染物等。在污水处理的整个工艺流程过程中污水处理过后的污泥渗滤液由渗滤液排水沟流入粗格栅间，污泥经过干化、除臭进行工艺处理后最终的污泥用来植树熟土改良土壤。辅助材料复合型絮凝剂-净水灵是一种复合型的污水领域使用的药剂其本身没有毒性。因此主要涉及到环境风险的物质为消毒剂</w:t>
      </w:r>
      <w:r>
        <w:rPr>
          <w:rFonts w:hint="eastAsia" w:ascii="Times New Roman" w:hAnsi="Times New Roman" w:eastAsia="宋体" w:cs="Times New Roman"/>
          <w:color w:val="auto"/>
          <w:sz w:val="24"/>
          <w:szCs w:val="24"/>
          <w:lang w:eastAsia="zh-CN"/>
        </w:rPr>
        <w:t>、危险废物</w:t>
      </w:r>
      <w:r>
        <w:rPr>
          <w:rFonts w:hint="default" w:ascii="Times New Roman" w:hAnsi="Times New Roman" w:eastAsia="宋体" w:cs="Times New Roman"/>
          <w:color w:val="auto"/>
          <w:sz w:val="24"/>
          <w:szCs w:val="24"/>
        </w:rPr>
        <w:t>。</w:t>
      </w:r>
    </w:p>
    <w:p w14:paraId="5AC1D216">
      <w:pPr>
        <w:pStyle w:val="54"/>
        <w:spacing w:before="0" w:beforeAutospacing="0" w:after="0" w:afterAutospacing="0" w:line="360" w:lineRule="auto"/>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本厂生产过程中所使用的危险化学品有</w:t>
      </w:r>
      <w:r>
        <w:rPr>
          <w:rFonts w:hint="default" w:ascii="Times New Roman" w:hAnsi="Times New Roman" w:eastAsia="宋体" w:cs="Times New Roman"/>
          <w:color w:val="auto"/>
          <w:lang w:eastAsia="zh-CN"/>
        </w:rPr>
        <w:t>次氯酸钠</w:t>
      </w:r>
      <w:r>
        <w:rPr>
          <w:rFonts w:hint="eastAsia" w:ascii="Times New Roman" w:hAnsi="Times New Roman" w:cs="Times New Roman"/>
          <w:color w:val="auto"/>
          <w:lang w:eastAsia="zh-CN"/>
        </w:rPr>
        <w:t>，</w:t>
      </w:r>
      <w:r>
        <w:rPr>
          <w:rFonts w:hint="default" w:ascii="Times New Roman" w:hAnsi="Times New Roman" w:eastAsia="宋体" w:cs="Times New Roman"/>
          <w:color w:val="auto"/>
        </w:rPr>
        <w:t>用于消毒杀菌。</w:t>
      </w:r>
      <w:r>
        <w:rPr>
          <w:rFonts w:hint="default" w:ascii="Times New Roman" w:hAnsi="Times New Roman" w:eastAsia="宋体" w:cs="Times New Roman"/>
          <w:color w:val="auto"/>
          <w:lang w:eastAsia="zh-CN"/>
        </w:rPr>
        <w:t>次氯酸钠</w:t>
      </w:r>
      <w:r>
        <w:rPr>
          <w:rFonts w:hint="default" w:ascii="Times New Roman" w:hAnsi="Times New Roman" w:eastAsia="宋体" w:cs="Times New Roman"/>
          <w:color w:val="auto"/>
        </w:rPr>
        <w:t>储罐位于加氯车间内，设置围堰。</w:t>
      </w:r>
    </w:p>
    <w:p w14:paraId="33F0389A">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涉及环境风险物质情况具体见下表</w:t>
      </w:r>
      <w:r>
        <w:rPr>
          <w:rFonts w:hint="eastAsia" w:ascii="Times New Roman" w:hAnsi="Times New Roman" w:eastAsia="宋体" w:cs="Times New Roman"/>
          <w:color w:val="auto"/>
          <w:sz w:val="24"/>
          <w:szCs w:val="24"/>
          <w:lang w:val="en-US" w:eastAsia="zh-CN"/>
        </w:rPr>
        <w:t>2.6</w:t>
      </w:r>
      <w:r>
        <w:rPr>
          <w:rFonts w:hint="default" w:ascii="Times New Roman" w:hAnsi="Times New Roman" w:eastAsia="宋体" w:cs="Times New Roman"/>
          <w:color w:val="auto"/>
          <w:sz w:val="24"/>
          <w:szCs w:val="24"/>
          <w:lang w:val="en-US" w:eastAsia="zh-CN"/>
        </w:rPr>
        <w:t>-1.</w:t>
      </w:r>
    </w:p>
    <w:p w14:paraId="0A17C053">
      <w:pPr>
        <w:spacing w:line="360" w:lineRule="auto"/>
        <w:ind w:firstLine="422" w:firstLineChars="20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eastAsia" w:ascii="Times New Roman" w:hAnsi="Times New Roman" w:eastAsia="宋体" w:cs="Times New Roman"/>
          <w:b/>
          <w:color w:val="auto"/>
          <w:sz w:val="21"/>
          <w:szCs w:val="21"/>
          <w:lang w:val="en-US" w:eastAsia="zh-CN"/>
        </w:rPr>
        <w:t>2.6</w:t>
      </w:r>
      <w:r>
        <w:rPr>
          <w:rFonts w:hint="default" w:ascii="Times New Roman" w:hAnsi="Times New Roman" w:eastAsia="宋体" w:cs="Times New Roman"/>
          <w:b/>
          <w:color w:val="auto"/>
          <w:sz w:val="21"/>
          <w:szCs w:val="21"/>
          <w:lang w:val="en-US" w:eastAsia="zh-CN"/>
        </w:rPr>
        <w:t>-1</w:t>
      </w:r>
      <w:r>
        <w:rPr>
          <w:rFonts w:hint="default" w:ascii="Times New Roman" w:hAnsi="Times New Roman" w:eastAsia="宋体" w:cs="Times New Roman"/>
          <w:b/>
          <w:color w:val="auto"/>
          <w:sz w:val="21"/>
          <w:szCs w:val="21"/>
        </w:rPr>
        <w:t>涉及环境风险物质情况一览表</w:t>
      </w:r>
    </w:p>
    <w:tbl>
      <w:tblPr>
        <w:tblStyle w:val="23"/>
        <w:tblW w:w="8519"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236"/>
        <w:gridCol w:w="1038"/>
        <w:gridCol w:w="1524"/>
        <w:gridCol w:w="1628"/>
        <w:gridCol w:w="1185"/>
        <w:gridCol w:w="1908"/>
      </w:tblGrid>
      <w:tr w14:paraId="4D9E522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525" w:hRule="atLeast"/>
          <w:jc w:val="center"/>
        </w:trPr>
        <w:tc>
          <w:tcPr>
            <w:tcW w:w="1236" w:type="dxa"/>
            <w:tcBorders>
              <w:tl2br w:val="nil"/>
              <w:tr2bl w:val="nil"/>
            </w:tcBorders>
            <w:vAlign w:val="center"/>
          </w:tcPr>
          <w:p w14:paraId="5565FFB9">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名 称</w:t>
            </w:r>
          </w:p>
        </w:tc>
        <w:tc>
          <w:tcPr>
            <w:tcW w:w="1038" w:type="dxa"/>
            <w:tcBorders>
              <w:tl2br w:val="nil"/>
              <w:tr2bl w:val="nil"/>
            </w:tcBorders>
            <w:vAlign w:val="center"/>
          </w:tcPr>
          <w:p w14:paraId="310E720D">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储存容器</w:t>
            </w:r>
          </w:p>
        </w:tc>
        <w:tc>
          <w:tcPr>
            <w:tcW w:w="1524" w:type="dxa"/>
            <w:tcBorders>
              <w:tl2br w:val="nil"/>
              <w:tr2bl w:val="nil"/>
            </w:tcBorders>
            <w:vAlign w:val="center"/>
          </w:tcPr>
          <w:p w14:paraId="51E0E845">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储存位置</w:t>
            </w:r>
          </w:p>
        </w:tc>
        <w:tc>
          <w:tcPr>
            <w:tcW w:w="1628" w:type="dxa"/>
            <w:tcBorders>
              <w:tl2br w:val="nil"/>
              <w:tr2bl w:val="nil"/>
            </w:tcBorders>
            <w:vAlign w:val="center"/>
          </w:tcPr>
          <w:p w14:paraId="08122566">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最大储存量</w:t>
            </w:r>
          </w:p>
        </w:tc>
        <w:tc>
          <w:tcPr>
            <w:tcW w:w="1185" w:type="dxa"/>
            <w:tcBorders>
              <w:tl2br w:val="nil"/>
              <w:tr2bl w:val="nil"/>
            </w:tcBorders>
            <w:vAlign w:val="center"/>
          </w:tcPr>
          <w:p w14:paraId="2C9EFE2C">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临界量</w:t>
            </w:r>
          </w:p>
        </w:tc>
        <w:tc>
          <w:tcPr>
            <w:tcW w:w="1908" w:type="dxa"/>
            <w:tcBorders>
              <w:tl2br w:val="nil"/>
              <w:tr2bl w:val="nil"/>
            </w:tcBorders>
            <w:vAlign w:val="center"/>
          </w:tcPr>
          <w:p w14:paraId="2B369485">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危险源辨识</w:t>
            </w:r>
          </w:p>
        </w:tc>
      </w:tr>
      <w:tr w14:paraId="06024D3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25" w:hRule="atLeast"/>
          <w:jc w:val="center"/>
        </w:trPr>
        <w:tc>
          <w:tcPr>
            <w:tcW w:w="1236" w:type="dxa"/>
            <w:tcBorders>
              <w:tl2br w:val="nil"/>
              <w:tr2bl w:val="nil"/>
            </w:tcBorders>
            <w:vAlign w:val="center"/>
          </w:tcPr>
          <w:p w14:paraId="2539385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val="en-US" w:eastAsia="zh-CN"/>
              </w:rPr>
              <w:t>10%</w:t>
            </w:r>
            <w:r>
              <w:rPr>
                <w:rFonts w:hint="default" w:ascii="Times New Roman" w:hAnsi="Times New Roman" w:eastAsia="宋体" w:cs="Times New Roman"/>
                <w:color w:val="auto"/>
                <w:kern w:val="0"/>
                <w:sz w:val="21"/>
                <w:szCs w:val="21"/>
                <w:lang w:eastAsia="zh-CN"/>
              </w:rPr>
              <w:t>次氯酸钠</w:t>
            </w:r>
            <w:r>
              <w:rPr>
                <w:rFonts w:hint="eastAsia" w:ascii="Times New Roman" w:hAnsi="Times New Roman" w:eastAsia="宋体" w:cs="Times New Roman"/>
                <w:color w:val="auto"/>
                <w:kern w:val="0"/>
                <w:sz w:val="21"/>
                <w:szCs w:val="21"/>
                <w:lang w:eastAsia="zh-CN"/>
              </w:rPr>
              <w:t>溶液</w:t>
            </w:r>
          </w:p>
        </w:tc>
        <w:tc>
          <w:tcPr>
            <w:tcW w:w="1038" w:type="dxa"/>
            <w:tcBorders>
              <w:tl2br w:val="nil"/>
              <w:tr2bl w:val="nil"/>
            </w:tcBorders>
            <w:vAlign w:val="center"/>
          </w:tcPr>
          <w:p w14:paraId="74EE981D">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桶装</w:t>
            </w:r>
          </w:p>
        </w:tc>
        <w:tc>
          <w:tcPr>
            <w:tcW w:w="1524" w:type="dxa"/>
            <w:tcBorders>
              <w:tl2br w:val="nil"/>
              <w:tr2bl w:val="nil"/>
            </w:tcBorders>
            <w:vAlign w:val="center"/>
          </w:tcPr>
          <w:p w14:paraId="1CC76DA7">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加氯车间</w:t>
            </w:r>
          </w:p>
        </w:tc>
        <w:tc>
          <w:tcPr>
            <w:tcW w:w="1628" w:type="dxa"/>
            <w:tcBorders>
              <w:tl2br w:val="nil"/>
              <w:tr2bl w:val="nil"/>
            </w:tcBorders>
            <w:vAlign w:val="center"/>
          </w:tcPr>
          <w:p w14:paraId="68DB0B11">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val="en-US" w:eastAsia="zh-CN"/>
              </w:rPr>
              <w:t>0.2</w:t>
            </w:r>
            <w:r>
              <w:rPr>
                <w:rFonts w:hint="default" w:ascii="Times New Roman" w:hAnsi="Times New Roman" w:eastAsia="宋体" w:cs="Times New Roman"/>
                <w:color w:val="auto"/>
                <w:kern w:val="0"/>
                <w:sz w:val="21"/>
                <w:szCs w:val="21"/>
              </w:rPr>
              <w:t>t</w:t>
            </w:r>
            <w:r>
              <w:rPr>
                <w:rFonts w:hint="eastAsia" w:ascii="Times New Roman" w:hAnsi="Times New Roman" w:eastAsia="宋体" w:cs="Times New Roman"/>
                <w:color w:val="auto"/>
                <w:kern w:val="0"/>
                <w:sz w:val="21"/>
                <w:szCs w:val="21"/>
                <w:lang w:eastAsia="zh-CN"/>
              </w:rPr>
              <w:t>（折算</w:t>
            </w:r>
            <w:r>
              <w:rPr>
                <w:rFonts w:hint="eastAsia" w:ascii="Times New Roman" w:hAnsi="Times New Roman" w:eastAsia="宋体" w:cs="Times New Roman"/>
                <w:color w:val="auto"/>
                <w:kern w:val="0"/>
                <w:sz w:val="21"/>
                <w:szCs w:val="21"/>
                <w:lang w:val="en-US" w:eastAsia="zh-CN"/>
              </w:rPr>
              <w:t>100%</w:t>
            </w:r>
            <w:r>
              <w:rPr>
                <w:rFonts w:hint="default" w:ascii="Times New Roman" w:hAnsi="Times New Roman" w:eastAsia="宋体" w:cs="Times New Roman"/>
                <w:color w:val="auto"/>
                <w:kern w:val="0"/>
                <w:sz w:val="21"/>
                <w:szCs w:val="21"/>
                <w:lang w:eastAsia="zh-CN"/>
              </w:rPr>
              <w:t>次氯酸钠</w:t>
            </w:r>
            <w:r>
              <w:rPr>
                <w:rFonts w:hint="eastAsia" w:ascii="Times New Roman" w:hAnsi="Times New Roman" w:eastAsia="宋体" w:cs="Times New Roman"/>
                <w:color w:val="auto"/>
                <w:kern w:val="0"/>
                <w:sz w:val="21"/>
                <w:szCs w:val="21"/>
                <w:lang w:eastAsia="zh-CN"/>
              </w:rPr>
              <w:t>）</w:t>
            </w:r>
          </w:p>
        </w:tc>
        <w:tc>
          <w:tcPr>
            <w:tcW w:w="1185" w:type="dxa"/>
            <w:tcBorders>
              <w:tl2br w:val="nil"/>
              <w:tr2bl w:val="nil"/>
            </w:tcBorders>
            <w:vAlign w:val="center"/>
          </w:tcPr>
          <w:p w14:paraId="49A4952C">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w:t>
            </w:r>
            <w:r>
              <w:rPr>
                <w:rFonts w:hint="eastAsia" w:ascii="Times New Roman" w:hAnsi="Times New Roman" w:eastAsia="宋体" w:cs="Times New Roman"/>
                <w:color w:val="auto"/>
                <w:kern w:val="0"/>
                <w:sz w:val="21"/>
                <w:szCs w:val="21"/>
                <w:lang w:val="en-US" w:eastAsia="zh-CN"/>
              </w:rPr>
              <w:t>t</w:t>
            </w:r>
          </w:p>
        </w:tc>
        <w:tc>
          <w:tcPr>
            <w:tcW w:w="1908" w:type="dxa"/>
            <w:tcBorders>
              <w:tl2br w:val="nil"/>
              <w:tr2bl w:val="nil"/>
            </w:tcBorders>
            <w:vAlign w:val="center"/>
          </w:tcPr>
          <w:p w14:paraId="741037EB">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val="en-US" w:eastAsia="zh-CN"/>
              </w:rPr>
              <w:t>毒性</w:t>
            </w:r>
          </w:p>
        </w:tc>
      </w:tr>
      <w:tr w14:paraId="75DA539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25" w:hRule="atLeast"/>
          <w:jc w:val="center"/>
        </w:trPr>
        <w:tc>
          <w:tcPr>
            <w:tcW w:w="1236" w:type="dxa"/>
            <w:tcBorders>
              <w:tl2br w:val="nil"/>
              <w:tr2bl w:val="nil"/>
            </w:tcBorders>
            <w:vAlign w:val="center"/>
          </w:tcPr>
          <w:p w14:paraId="2707C313">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rPr>
            </w:pPr>
            <w:bookmarkStart w:id="30" w:name="_Toc205110035"/>
            <w:r>
              <w:rPr>
                <w:rFonts w:hint="eastAsia" w:ascii="Times New Roman" w:hAnsi="Times New Roman" w:eastAsia="宋体" w:cs="Times New Roman"/>
                <w:color w:val="auto"/>
                <w:kern w:val="0"/>
                <w:sz w:val="21"/>
                <w:szCs w:val="21"/>
                <w:lang w:val="en-US" w:eastAsia="zh-CN"/>
              </w:rPr>
              <w:t>在线废液</w:t>
            </w:r>
          </w:p>
        </w:tc>
        <w:tc>
          <w:tcPr>
            <w:tcW w:w="1038" w:type="dxa"/>
            <w:tcBorders>
              <w:tl2br w:val="nil"/>
              <w:tr2bl w:val="nil"/>
            </w:tcBorders>
            <w:vAlign w:val="center"/>
          </w:tcPr>
          <w:p w14:paraId="4A0FA224">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val="en-US" w:eastAsia="zh-CN"/>
              </w:rPr>
              <w:t>桶装</w:t>
            </w:r>
          </w:p>
        </w:tc>
        <w:tc>
          <w:tcPr>
            <w:tcW w:w="1524" w:type="dxa"/>
            <w:tcBorders>
              <w:tl2br w:val="nil"/>
              <w:tr2bl w:val="nil"/>
            </w:tcBorders>
            <w:vAlign w:val="center"/>
          </w:tcPr>
          <w:p w14:paraId="41D5A44A">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危废暂存间</w:t>
            </w:r>
          </w:p>
        </w:tc>
        <w:tc>
          <w:tcPr>
            <w:tcW w:w="1628" w:type="dxa"/>
            <w:tcBorders>
              <w:tl2br w:val="nil"/>
              <w:tr2bl w:val="nil"/>
            </w:tcBorders>
            <w:vAlign w:val="center"/>
          </w:tcPr>
          <w:p w14:paraId="4BB06998">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0.</w:t>
            </w:r>
            <w:r>
              <w:rPr>
                <w:rFonts w:hint="eastAsia" w:cs="Times New Roman"/>
                <w:color w:val="auto"/>
                <w:kern w:val="0"/>
                <w:sz w:val="21"/>
                <w:szCs w:val="21"/>
                <w:lang w:val="en-US" w:eastAsia="zh-CN"/>
              </w:rPr>
              <w:t>19</w:t>
            </w:r>
            <w:r>
              <w:rPr>
                <w:rFonts w:hint="eastAsia" w:ascii="Times New Roman" w:hAnsi="Times New Roman" w:eastAsia="宋体" w:cs="Times New Roman"/>
                <w:color w:val="auto"/>
                <w:kern w:val="0"/>
                <w:sz w:val="21"/>
                <w:szCs w:val="21"/>
                <w:lang w:val="en-US" w:eastAsia="zh-CN"/>
              </w:rPr>
              <w:t>t</w:t>
            </w:r>
          </w:p>
        </w:tc>
        <w:tc>
          <w:tcPr>
            <w:tcW w:w="1185" w:type="dxa"/>
            <w:tcBorders>
              <w:tl2br w:val="nil"/>
              <w:tr2bl w:val="nil"/>
            </w:tcBorders>
            <w:vAlign w:val="center"/>
          </w:tcPr>
          <w:p w14:paraId="5012373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50t</w:t>
            </w:r>
          </w:p>
        </w:tc>
        <w:tc>
          <w:tcPr>
            <w:tcW w:w="1908" w:type="dxa"/>
            <w:tcBorders>
              <w:tl2br w:val="nil"/>
              <w:tr2bl w:val="nil"/>
            </w:tcBorders>
            <w:vAlign w:val="center"/>
          </w:tcPr>
          <w:p w14:paraId="0411A3C3">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val="en-US" w:eastAsia="zh-CN"/>
              </w:rPr>
              <w:t>毒性</w:t>
            </w:r>
          </w:p>
        </w:tc>
      </w:tr>
      <w:tr w14:paraId="121DAB9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25" w:hRule="atLeast"/>
          <w:jc w:val="center"/>
        </w:trPr>
        <w:tc>
          <w:tcPr>
            <w:tcW w:w="1236" w:type="dxa"/>
            <w:tcBorders>
              <w:tl2br w:val="nil"/>
              <w:tr2bl w:val="nil"/>
            </w:tcBorders>
            <w:vAlign w:val="center"/>
          </w:tcPr>
          <w:p w14:paraId="511226A8">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实验室废液</w:t>
            </w:r>
          </w:p>
        </w:tc>
        <w:tc>
          <w:tcPr>
            <w:tcW w:w="1038" w:type="dxa"/>
            <w:tcBorders>
              <w:tl2br w:val="nil"/>
              <w:tr2bl w:val="nil"/>
            </w:tcBorders>
            <w:vAlign w:val="center"/>
          </w:tcPr>
          <w:p w14:paraId="05CDC00F">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val="en-US" w:eastAsia="zh-CN"/>
              </w:rPr>
              <w:t>桶装</w:t>
            </w:r>
          </w:p>
        </w:tc>
        <w:tc>
          <w:tcPr>
            <w:tcW w:w="1524" w:type="dxa"/>
            <w:tcBorders>
              <w:tl2br w:val="nil"/>
              <w:tr2bl w:val="nil"/>
            </w:tcBorders>
            <w:vAlign w:val="center"/>
          </w:tcPr>
          <w:p w14:paraId="7357CADC">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危废暂存间</w:t>
            </w:r>
          </w:p>
        </w:tc>
        <w:tc>
          <w:tcPr>
            <w:tcW w:w="1628" w:type="dxa"/>
            <w:tcBorders>
              <w:tl2br w:val="nil"/>
              <w:tr2bl w:val="nil"/>
            </w:tcBorders>
            <w:vAlign w:val="center"/>
          </w:tcPr>
          <w:p w14:paraId="6D3F1D6F">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w:t>
            </w:r>
            <w:r>
              <w:rPr>
                <w:rFonts w:hint="eastAsia" w:cs="Times New Roman"/>
                <w:color w:val="auto"/>
                <w:kern w:val="0"/>
                <w:sz w:val="21"/>
                <w:szCs w:val="21"/>
                <w:lang w:val="en-US" w:eastAsia="zh-CN"/>
              </w:rPr>
              <w:t>19</w:t>
            </w:r>
            <w:r>
              <w:rPr>
                <w:rFonts w:hint="eastAsia" w:ascii="Times New Roman" w:hAnsi="Times New Roman" w:eastAsia="宋体" w:cs="Times New Roman"/>
                <w:color w:val="auto"/>
                <w:kern w:val="0"/>
                <w:sz w:val="21"/>
                <w:szCs w:val="21"/>
                <w:lang w:val="en-US" w:eastAsia="zh-CN"/>
              </w:rPr>
              <w:t>t</w:t>
            </w:r>
          </w:p>
        </w:tc>
        <w:tc>
          <w:tcPr>
            <w:tcW w:w="1185" w:type="dxa"/>
            <w:tcBorders>
              <w:tl2br w:val="nil"/>
              <w:tr2bl w:val="nil"/>
            </w:tcBorders>
            <w:vAlign w:val="center"/>
          </w:tcPr>
          <w:p w14:paraId="583341FF">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50t</w:t>
            </w:r>
          </w:p>
        </w:tc>
        <w:tc>
          <w:tcPr>
            <w:tcW w:w="1908" w:type="dxa"/>
            <w:tcBorders>
              <w:tl2br w:val="nil"/>
              <w:tr2bl w:val="nil"/>
            </w:tcBorders>
            <w:vAlign w:val="center"/>
          </w:tcPr>
          <w:p w14:paraId="7D6FD509">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val="en-US" w:eastAsia="zh-CN"/>
              </w:rPr>
              <w:t>毒性</w:t>
            </w:r>
          </w:p>
        </w:tc>
      </w:tr>
      <w:tr w14:paraId="541BB69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25" w:hRule="atLeast"/>
          <w:jc w:val="center"/>
        </w:trPr>
        <w:tc>
          <w:tcPr>
            <w:tcW w:w="1236" w:type="dxa"/>
            <w:tcBorders>
              <w:tl2br w:val="nil"/>
              <w:tr2bl w:val="nil"/>
            </w:tcBorders>
            <w:vAlign w:val="center"/>
          </w:tcPr>
          <w:p w14:paraId="19F011A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废试剂瓶</w:t>
            </w:r>
          </w:p>
        </w:tc>
        <w:tc>
          <w:tcPr>
            <w:tcW w:w="1038" w:type="dxa"/>
            <w:tcBorders>
              <w:tl2br w:val="nil"/>
              <w:tr2bl w:val="nil"/>
            </w:tcBorders>
            <w:vAlign w:val="center"/>
          </w:tcPr>
          <w:p w14:paraId="09AF579F">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val="en-US" w:eastAsia="zh-CN"/>
              </w:rPr>
              <w:t>桶装</w:t>
            </w:r>
          </w:p>
        </w:tc>
        <w:tc>
          <w:tcPr>
            <w:tcW w:w="1524" w:type="dxa"/>
            <w:tcBorders>
              <w:tl2br w:val="nil"/>
              <w:tr2bl w:val="nil"/>
            </w:tcBorders>
            <w:vAlign w:val="center"/>
          </w:tcPr>
          <w:p w14:paraId="4DB96230">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eastAsia="zh-CN"/>
              </w:rPr>
              <w:t>危废暂存间</w:t>
            </w:r>
          </w:p>
        </w:tc>
        <w:tc>
          <w:tcPr>
            <w:tcW w:w="1628" w:type="dxa"/>
            <w:tcBorders>
              <w:tl2br w:val="nil"/>
              <w:tr2bl w:val="nil"/>
            </w:tcBorders>
            <w:vAlign w:val="center"/>
          </w:tcPr>
          <w:p w14:paraId="7E05859C">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0.</w:t>
            </w:r>
            <w:r>
              <w:rPr>
                <w:rFonts w:hint="eastAsia" w:cs="Times New Roman"/>
                <w:color w:val="auto"/>
                <w:kern w:val="0"/>
                <w:sz w:val="21"/>
                <w:szCs w:val="21"/>
                <w:lang w:val="en-US" w:eastAsia="zh-CN"/>
              </w:rPr>
              <w:t>04</w:t>
            </w:r>
            <w:r>
              <w:rPr>
                <w:rFonts w:hint="eastAsia" w:ascii="Times New Roman" w:hAnsi="Times New Roman" w:eastAsia="宋体" w:cs="Times New Roman"/>
                <w:color w:val="auto"/>
                <w:kern w:val="0"/>
                <w:sz w:val="21"/>
                <w:szCs w:val="21"/>
                <w:lang w:val="en-US" w:eastAsia="zh-CN"/>
              </w:rPr>
              <w:t>t</w:t>
            </w:r>
          </w:p>
        </w:tc>
        <w:tc>
          <w:tcPr>
            <w:tcW w:w="1185" w:type="dxa"/>
            <w:tcBorders>
              <w:tl2br w:val="nil"/>
              <w:tr2bl w:val="nil"/>
            </w:tcBorders>
            <w:vAlign w:val="center"/>
          </w:tcPr>
          <w:p w14:paraId="55B91648">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50t</w:t>
            </w:r>
          </w:p>
        </w:tc>
        <w:tc>
          <w:tcPr>
            <w:tcW w:w="1908" w:type="dxa"/>
            <w:tcBorders>
              <w:tl2br w:val="nil"/>
              <w:tr2bl w:val="nil"/>
            </w:tcBorders>
            <w:vAlign w:val="center"/>
          </w:tcPr>
          <w:p w14:paraId="4AC03014">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val="en-US" w:eastAsia="zh-CN"/>
              </w:rPr>
              <w:t>毒性</w:t>
            </w:r>
          </w:p>
        </w:tc>
      </w:tr>
      <w:tr w14:paraId="58D70B0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25" w:hRule="atLeast"/>
          <w:jc w:val="center"/>
        </w:trPr>
        <w:tc>
          <w:tcPr>
            <w:tcW w:w="1236" w:type="dxa"/>
            <w:tcBorders>
              <w:tl2br w:val="nil"/>
              <w:tr2bl w:val="nil"/>
            </w:tcBorders>
            <w:vAlign w:val="center"/>
          </w:tcPr>
          <w:p w14:paraId="5304410C">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废机油</w:t>
            </w:r>
          </w:p>
        </w:tc>
        <w:tc>
          <w:tcPr>
            <w:tcW w:w="1038" w:type="dxa"/>
            <w:tcBorders>
              <w:tl2br w:val="nil"/>
              <w:tr2bl w:val="nil"/>
            </w:tcBorders>
            <w:vAlign w:val="center"/>
          </w:tcPr>
          <w:p w14:paraId="50432475">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桶装</w:t>
            </w:r>
          </w:p>
        </w:tc>
        <w:tc>
          <w:tcPr>
            <w:tcW w:w="1524" w:type="dxa"/>
            <w:tcBorders>
              <w:tl2br w:val="nil"/>
              <w:tr2bl w:val="nil"/>
            </w:tcBorders>
            <w:vAlign w:val="center"/>
          </w:tcPr>
          <w:p w14:paraId="15FA76B0">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危废暂存间</w:t>
            </w:r>
          </w:p>
        </w:tc>
        <w:tc>
          <w:tcPr>
            <w:tcW w:w="1628" w:type="dxa"/>
            <w:tcBorders>
              <w:tl2br w:val="nil"/>
              <w:tr2bl w:val="nil"/>
            </w:tcBorders>
            <w:vAlign w:val="center"/>
          </w:tcPr>
          <w:p w14:paraId="647A6694">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w:t>
            </w:r>
            <w:r>
              <w:rPr>
                <w:rFonts w:hint="eastAsia" w:cs="Times New Roman"/>
                <w:color w:val="auto"/>
                <w:kern w:val="0"/>
                <w:sz w:val="21"/>
                <w:szCs w:val="21"/>
                <w:lang w:val="en-US" w:eastAsia="zh-CN"/>
              </w:rPr>
              <w:t>2</w:t>
            </w:r>
            <w:r>
              <w:rPr>
                <w:rFonts w:hint="eastAsia" w:ascii="Times New Roman" w:hAnsi="Times New Roman" w:eastAsia="宋体" w:cs="Times New Roman"/>
                <w:color w:val="auto"/>
                <w:kern w:val="0"/>
                <w:sz w:val="21"/>
                <w:szCs w:val="21"/>
                <w:lang w:val="en-US" w:eastAsia="zh-CN"/>
              </w:rPr>
              <w:t>t</w:t>
            </w:r>
          </w:p>
        </w:tc>
        <w:tc>
          <w:tcPr>
            <w:tcW w:w="1185" w:type="dxa"/>
            <w:tcBorders>
              <w:tl2br w:val="nil"/>
              <w:tr2bl w:val="nil"/>
            </w:tcBorders>
            <w:vAlign w:val="center"/>
          </w:tcPr>
          <w:p w14:paraId="092D6307">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50t</w:t>
            </w:r>
          </w:p>
        </w:tc>
        <w:tc>
          <w:tcPr>
            <w:tcW w:w="1908" w:type="dxa"/>
            <w:tcBorders>
              <w:tl2br w:val="nil"/>
              <w:tr2bl w:val="nil"/>
            </w:tcBorders>
            <w:vAlign w:val="center"/>
          </w:tcPr>
          <w:p w14:paraId="4143B769">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易燃性、毒性</w:t>
            </w:r>
          </w:p>
        </w:tc>
      </w:tr>
      <w:bookmarkEnd w:id="30"/>
    </w:tbl>
    <w:p w14:paraId="20AF7893">
      <w:pPr>
        <w:pStyle w:val="5"/>
        <w:rPr>
          <w:rFonts w:hint="default" w:ascii="Times New Roman" w:hAnsi="Times New Roman" w:eastAsia="宋体" w:cs="Times New Roman"/>
          <w:color w:val="auto"/>
        </w:rPr>
      </w:pPr>
      <w:bookmarkStart w:id="31" w:name="_Toc2984"/>
      <w:bookmarkStart w:id="32" w:name="_Toc16217"/>
      <w:r>
        <w:rPr>
          <w:rFonts w:hint="eastAsia" w:ascii="Times New Roman" w:hAnsi="Times New Roman" w:eastAsia="宋体" w:cs="Times New Roman"/>
          <w:color w:val="auto"/>
          <w:lang w:val="en-US" w:eastAsia="zh-CN"/>
        </w:rPr>
        <w:t>2.7</w:t>
      </w:r>
      <w:r>
        <w:rPr>
          <w:rFonts w:hint="default" w:ascii="Times New Roman" w:hAnsi="Times New Roman" w:eastAsia="宋体" w:cs="Times New Roman"/>
          <w:color w:val="auto"/>
        </w:rPr>
        <w:t>.重大危险源辨识</w:t>
      </w:r>
      <w:bookmarkEnd w:id="31"/>
      <w:bookmarkEnd w:id="32"/>
    </w:p>
    <w:p w14:paraId="2D6845C8">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outlineLvl w:val="9"/>
        <w:rPr>
          <w:rFonts w:hint="default" w:ascii="Times New Roman" w:hAnsi="Times New Roman" w:eastAsia="宋体" w:cs="Times New Roman"/>
          <w:color w:val="auto"/>
          <w:spacing w:val="0"/>
          <w:w w:val="100"/>
          <w:position w:val="0"/>
          <w:lang w:eastAsia="zh-CN"/>
        </w:rPr>
      </w:pPr>
      <w:r>
        <w:rPr>
          <w:rFonts w:hint="default" w:ascii="Times New Roman" w:hAnsi="Times New Roman" w:cs="Times New Roman"/>
          <w:color w:val="auto"/>
          <w:spacing w:val="0"/>
          <w:w w:val="100"/>
          <w:position w:val="0"/>
        </w:rPr>
        <w:t>根据《建设项目环境风险评价技术导则》（</w:t>
      </w:r>
      <w:r>
        <w:rPr>
          <w:rFonts w:hint="default" w:ascii="Times New Roman" w:hAnsi="Times New Roman" w:eastAsia="Times New Roman" w:cs="Times New Roman"/>
          <w:color w:val="auto"/>
          <w:spacing w:val="0"/>
          <w:w w:val="100"/>
          <w:position w:val="0"/>
        </w:rPr>
        <w:t>HJ/T169-2018</w:t>
      </w:r>
      <w:r>
        <w:rPr>
          <w:rFonts w:hint="default" w:ascii="Times New Roman" w:hAnsi="Times New Roman" w:cs="Times New Roman"/>
          <w:color w:val="auto"/>
          <w:spacing w:val="0"/>
          <w:w w:val="100"/>
          <w:position w:val="0"/>
        </w:rPr>
        <w:t>）和《危险化学品重大危险源辨识》（</w:t>
      </w:r>
      <w:r>
        <w:rPr>
          <w:rFonts w:hint="default" w:ascii="Times New Roman" w:hAnsi="Times New Roman" w:eastAsia="Times New Roman" w:cs="Times New Roman"/>
          <w:color w:val="auto"/>
          <w:spacing w:val="0"/>
          <w:w w:val="100"/>
          <w:position w:val="0"/>
        </w:rPr>
        <w:t>GB18218-2018</w:t>
      </w:r>
      <w:r>
        <w:rPr>
          <w:rFonts w:hint="default" w:ascii="Times New Roman" w:hAnsi="Times New Roman" w:cs="Times New Roman"/>
          <w:color w:val="auto"/>
          <w:spacing w:val="0"/>
          <w:w w:val="100"/>
          <w:position w:val="0"/>
        </w:rPr>
        <w:t>）</w:t>
      </w:r>
      <w:r>
        <w:rPr>
          <w:rFonts w:hint="default" w:ascii="Times New Roman" w:hAnsi="Times New Roman" w:eastAsia="宋体" w:cs="Times New Roman"/>
          <w:color w:val="auto"/>
          <w:spacing w:val="0"/>
          <w:w w:val="100"/>
          <w:position w:val="0"/>
        </w:rPr>
        <w:t>，本单位所涉及的危险物质为</w:t>
      </w:r>
      <w:r>
        <w:rPr>
          <w:rFonts w:hint="default" w:ascii="Times New Roman" w:hAnsi="Times New Roman" w:eastAsia="宋体" w:cs="Times New Roman"/>
          <w:color w:val="auto"/>
          <w:spacing w:val="0"/>
          <w:w w:val="100"/>
          <w:position w:val="0"/>
          <w:lang w:eastAsia="zh-CN"/>
        </w:rPr>
        <w:t>次氯酸钠</w:t>
      </w:r>
      <w:r>
        <w:rPr>
          <w:rFonts w:hint="default" w:ascii="Times New Roman" w:hAnsi="Times New Roman" w:eastAsia="宋体" w:cs="Times New Roman"/>
          <w:color w:val="auto"/>
          <w:spacing w:val="0"/>
          <w:w w:val="100"/>
          <w:position w:val="0"/>
        </w:rPr>
        <w:t>、</w:t>
      </w:r>
      <w:r>
        <w:rPr>
          <w:rFonts w:hint="eastAsia" w:ascii="Times New Roman" w:hAnsi="Times New Roman" w:eastAsia="宋体" w:cs="Times New Roman"/>
          <w:color w:val="auto"/>
          <w:spacing w:val="0"/>
          <w:w w:val="100"/>
          <w:position w:val="0"/>
          <w:lang w:val="en-US" w:eastAsia="zh-CN"/>
        </w:rPr>
        <w:t>在线废液</w:t>
      </w:r>
      <w:r>
        <w:rPr>
          <w:rFonts w:hint="default" w:ascii="Times New Roman" w:hAnsi="Times New Roman" w:eastAsia="宋体" w:cs="Times New Roman"/>
          <w:color w:val="auto"/>
          <w:spacing w:val="0"/>
          <w:w w:val="100"/>
          <w:position w:val="0"/>
        </w:rPr>
        <w:t>、</w:t>
      </w:r>
      <w:r>
        <w:rPr>
          <w:rFonts w:hint="eastAsia" w:ascii="Times New Roman" w:hAnsi="Times New Roman" w:eastAsia="宋体" w:cs="Times New Roman"/>
          <w:color w:val="auto"/>
          <w:spacing w:val="0"/>
          <w:w w:val="100"/>
          <w:position w:val="0"/>
          <w:lang w:val="en-US" w:eastAsia="zh-CN"/>
        </w:rPr>
        <w:t>实验室废液</w:t>
      </w:r>
      <w:r>
        <w:rPr>
          <w:rFonts w:hint="default" w:ascii="Times New Roman" w:hAnsi="Times New Roman" w:eastAsia="宋体" w:cs="Times New Roman"/>
          <w:color w:val="auto"/>
          <w:spacing w:val="0"/>
          <w:w w:val="100"/>
          <w:position w:val="0"/>
        </w:rPr>
        <w:t>、</w:t>
      </w:r>
      <w:r>
        <w:rPr>
          <w:rFonts w:hint="eastAsia" w:ascii="Times New Roman" w:hAnsi="Times New Roman" w:eastAsia="宋体" w:cs="Times New Roman"/>
          <w:color w:val="auto"/>
          <w:spacing w:val="0"/>
          <w:w w:val="100"/>
          <w:position w:val="0"/>
          <w:lang w:val="en-US" w:eastAsia="zh-CN"/>
        </w:rPr>
        <w:t>废试剂瓶、废机油</w:t>
      </w:r>
      <w:r>
        <w:rPr>
          <w:rFonts w:hint="default" w:ascii="Times New Roman" w:hAnsi="Times New Roman" w:eastAsia="宋体" w:cs="Times New Roman"/>
          <w:color w:val="auto"/>
          <w:spacing w:val="0"/>
          <w:w w:val="100"/>
          <w:position w:val="0"/>
          <w:lang w:eastAsia="zh-CN"/>
        </w:rPr>
        <w:t>。</w:t>
      </w:r>
    </w:p>
    <w:p w14:paraId="5D487A9C">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outlineLvl w:val="9"/>
        <w:rPr>
          <w:rFonts w:hint="default" w:ascii="Times New Roman" w:hAnsi="Times New Roman" w:cs="Times New Roman"/>
          <w:color w:val="auto"/>
          <w:spacing w:val="0"/>
          <w:w w:val="100"/>
          <w:position w:val="0"/>
        </w:rPr>
      </w:pPr>
      <w:r>
        <w:rPr>
          <w:rFonts w:hint="default" w:ascii="Times New Roman" w:hAnsi="Times New Roman" w:cs="Times New Roman"/>
          <w:color w:val="auto"/>
          <w:spacing w:val="0"/>
          <w:w w:val="100"/>
          <w:position w:val="0"/>
        </w:rPr>
        <w:t>单元内存在的危险化学品的数量根据处理危险化学品种类的多少区分为以下两种情况：</w:t>
      </w:r>
    </w:p>
    <w:p w14:paraId="2AB0A4BF">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outlineLvl w:val="9"/>
        <w:rPr>
          <w:rFonts w:hint="default" w:ascii="Times New Roman" w:hAnsi="Times New Roman" w:cs="Times New Roman"/>
          <w:color w:val="auto"/>
          <w:spacing w:val="0"/>
          <w:w w:val="100"/>
          <w:position w:val="0"/>
        </w:rPr>
      </w:pPr>
      <w:r>
        <w:rPr>
          <w:rFonts w:hint="default" w:ascii="Times New Roman" w:hAnsi="Times New Roman" w:cs="Times New Roman"/>
          <w:color w:val="auto"/>
          <w:spacing w:val="0"/>
          <w:w w:val="100"/>
          <w:position w:val="0"/>
        </w:rPr>
        <w:t>①单元内存在的危险化学品为单一品种，则该危险化学品的数量即为单元内危险化学品的总量，若等于或超过相应的临界量，则定为重大危险源。</w:t>
      </w:r>
    </w:p>
    <w:p w14:paraId="4850FA54">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outlineLvl w:val="9"/>
        <w:rPr>
          <w:rFonts w:hint="default" w:ascii="Times New Roman" w:hAnsi="Times New Roman" w:cs="Times New Roman"/>
          <w:color w:val="auto"/>
          <w:spacing w:val="0"/>
          <w:w w:val="100"/>
          <w:position w:val="0"/>
        </w:rPr>
      </w:pPr>
      <w:r>
        <w:rPr>
          <w:rFonts w:hint="default" w:ascii="Times New Roman" w:hAnsi="Times New Roman" w:cs="Times New Roman"/>
          <w:color w:val="auto"/>
          <w:spacing w:val="0"/>
          <w:w w:val="100"/>
          <w:position w:val="0"/>
        </w:rPr>
        <w:t>②单元内存在的危险化学品为多品种时，则按下式计算，若满足下式，则定为重大危险源：</w:t>
      </w:r>
    </w:p>
    <w:p w14:paraId="17EDCAA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center"/>
        <w:textAlignment w:val="baseline"/>
        <w:outlineLvl w:val="9"/>
        <w:rPr>
          <w:rFonts w:hint="default" w:ascii="Times New Roman" w:hAnsi="Times New Roman" w:eastAsia="Times New Roman" w:cs="Times New Roman"/>
          <w:color w:val="auto"/>
          <w:spacing w:val="0"/>
          <w:w w:val="100"/>
          <w:position w:val="0"/>
          <w:sz w:val="24"/>
          <w:szCs w:val="24"/>
        </w:rPr>
      </w:pPr>
      <w:r>
        <w:rPr>
          <w:rFonts w:hint="default" w:ascii="Times New Roman" w:hAnsi="Times New Roman" w:eastAsia="Times New Roman" w:cs="Times New Roman"/>
          <w:color w:val="auto"/>
          <w:spacing w:val="0"/>
          <w:w w:val="100"/>
          <w:position w:val="0"/>
          <w:sz w:val="24"/>
          <w:szCs w:val="24"/>
        </w:rPr>
        <w:t>q</w:t>
      </w:r>
      <w:r>
        <w:rPr>
          <w:rFonts w:hint="default" w:ascii="Times New Roman" w:hAnsi="Times New Roman" w:eastAsia="Times New Roman" w:cs="Times New Roman"/>
          <w:color w:val="auto"/>
          <w:spacing w:val="0"/>
          <w:w w:val="100"/>
          <w:position w:val="0"/>
          <w:sz w:val="15"/>
          <w:szCs w:val="15"/>
        </w:rPr>
        <w:t>1</w:t>
      </w:r>
      <w:r>
        <w:rPr>
          <w:rFonts w:hint="default" w:ascii="Times New Roman" w:hAnsi="Times New Roman" w:eastAsia="Times New Roman" w:cs="Times New Roman"/>
          <w:color w:val="auto"/>
          <w:spacing w:val="0"/>
          <w:w w:val="100"/>
          <w:position w:val="0"/>
          <w:sz w:val="24"/>
          <w:szCs w:val="24"/>
        </w:rPr>
        <w:t>/Q</w:t>
      </w:r>
      <w:r>
        <w:rPr>
          <w:rFonts w:hint="default" w:ascii="Times New Roman" w:hAnsi="Times New Roman" w:eastAsia="Times New Roman" w:cs="Times New Roman"/>
          <w:color w:val="auto"/>
          <w:spacing w:val="0"/>
          <w:w w:val="100"/>
          <w:position w:val="0"/>
          <w:sz w:val="15"/>
          <w:szCs w:val="15"/>
        </w:rPr>
        <w:t>1</w:t>
      </w:r>
      <w:r>
        <w:rPr>
          <w:rFonts w:hint="default" w:ascii="Times New Roman" w:hAnsi="Times New Roman" w:eastAsia="Times New Roman" w:cs="Times New Roman"/>
          <w:color w:val="auto"/>
          <w:spacing w:val="0"/>
          <w:w w:val="100"/>
          <w:position w:val="0"/>
          <w:sz w:val="24"/>
          <w:szCs w:val="24"/>
        </w:rPr>
        <w:t>+q</w:t>
      </w:r>
      <w:r>
        <w:rPr>
          <w:rFonts w:hint="default" w:ascii="Times New Roman" w:hAnsi="Times New Roman" w:eastAsia="Times New Roman" w:cs="Times New Roman"/>
          <w:color w:val="auto"/>
          <w:spacing w:val="0"/>
          <w:w w:val="100"/>
          <w:position w:val="0"/>
          <w:sz w:val="15"/>
          <w:szCs w:val="15"/>
        </w:rPr>
        <w:t>2</w:t>
      </w:r>
      <w:r>
        <w:rPr>
          <w:rFonts w:hint="default" w:ascii="Times New Roman" w:hAnsi="Times New Roman" w:eastAsia="Times New Roman" w:cs="Times New Roman"/>
          <w:color w:val="auto"/>
          <w:spacing w:val="0"/>
          <w:w w:val="100"/>
          <w:position w:val="0"/>
          <w:sz w:val="24"/>
          <w:szCs w:val="24"/>
        </w:rPr>
        <w:t>/Q</w:t>
      </w:r>
      <w:r>
        <w:rPr>
          <w:rFonts w:hint="default" w:ascii="Times New Roman" w:hAnsi="Times New Roman" w:eastAsia="Times New Roman" w:cs="Times New Roman"/>
          <w:color w:val="auto"/>
          <w:spacing w:val="0"/>
          <w:w w:val="100"/>
          <w:position w:val="0"/>
          <w:sz w:val="15"/>
          <w:szCs w:val="15"/>
        </w:rPr>
        <w:t>2</w:t>
      </w:r>
      <w:r>
        <w:rPr>
          <w:rFonts w:hint="default" w:ascii="Times New Roman" w:hAnsi="Times New Roman" w:eastAsia="Times New Roman" w:cs="Times New Roman"/>
          <w:color w:val="auto"/>
          <w:spacing w:val="0"/>
          <w:w w:val="100"/>
          <w:position w:val="0"/>
          <w:sz w:val="24"/>
          <w:szCs w:val="24"/>
        </w:rPr>
        <w:t>……+q</w:t>
      </w:r>
      <w:r>
        <w:rPr>
          <w:rFonts w:hint="default" w:ascii="Times New Roman" w:hAnsi="Times New Roman" w:eastAsia="Times New Roman" w:cs="Times New Roman"/>
          <w:color w:val="auto"/>
          <w:spacing w:val="0"/>
          <w:w w:val="100"/>
          <w:position w:val="0"/>
          <w:sz w:val="15"/>
          <w:szCs w:val="15"/>
        </w:rPr>
        <w:t>n</w:t>
      </w:r>
      <w:r>
        <w:rPr>
          <w:rFonts w:hint="default" w:ascii="Times New Roman" w:hAnsi="Times New Roman" w:eastAsia="Times New Roman" w:cs="Times New Roman"/>
          <w:color w:val="auto"/>
          <w:spacing w:val="0"/>
          <w:w w:val="100"/>
          <w:position w:val="0"/>
          <w:sz w:val="24"/>
          <w:szCs w:val="24"/>
        </w:rPr>
        <w:t>/Q</w:t>
      </w:r>
      <w:r>
        <w:rPr>
          <w:rFonts w:hint="default" w:ascii="Times New Roman" w:hAnsi="Times New Roman" w:eastAsia="Times New Roman" w:cs="Times New Roman"/>
          <w:color w:val="auto"/>
          <w:spacing w:val="0"/>
          <w:w w:val="100"/>
          <w:position w:val="0"/>
          <w:sz w:val="15"/>
          <w:szCs w:val="15"/>
        </w:rPr>
        <w:t>n</w:t>
      </w:r>
      <w:r>
        <w:rPr>
          <w:rFonts w:hint="default" w:ascii="Times New Roman" w:hAnsi="Times New Roman" w:eastAsia="Times New Roman" w:cs="Times New Roman"/>
          <w:color w:val="auto"/>
          <w:spacing w:val="0"/>
          <w:w w:val="100"/>
          <w:position w:val="0"/>
          <w:sz w:val="24"/>
          <w:szCs w:val="24"/>
        </w:rPr>
        <w:t>≥1</w:t>
      </w:r>
    </w:p>
    <w:p w14:paraId="685B4BB4">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outlineLvl w:val="9"/>
        <w:rPr>
          <w:rFonts w:hint="default" w:ascii="Times New Roman" w:hAnsi="Times New Roman" w:cs="Times New Roman"/>
          <w:color w:val="auto"/>
          <w:spacing w:val="0"/>
          <w:w w:val="100"/>
          <w:position w:val="0"/>
        </w:rPr>
      </w:pPr>
      <w:r>
        <w:rPr>
          <w:rFonts w:hint="default" w:ascii="Times New Roman" w:hAnsi="Times New Roman" w:cs="Times New Roman"/>
          <w:color w:val="auto"/>
          <w:spacing w:val="0"/>
          <w:w w:val="100"/>
          <w:position w:val="0"/>
        </w:rPr>
        <w:t>式中：</w:t>
      </w:r>
      <w:r>
        <w:rPr>
          <w:rFonts w:hint="default" w:ascii="Times New Roman" w:hAnsi="Times New Roman" w:eastAsia="Times New Roman" w:cs="Times New Roman"/>
          <w:color w:val="auto"/>
          <w:spacing w:val="0"/>
          <w:w w:val="100"/>
          <w:position w:val="0"/>
        </w:rPr>
        <w:t>q</w:t>
      </w:r>
      <w:r>
        <w:rPr>
          <w:rFonts w:hint="default" w:ascii="Times New Roman" w:hAnsi="Times New Roman" w:eastAsia="Times New Roman" w:cs="Times New Roman"/>
          <w:color w:val="auto"/>
          <w:spacing w:val="0"/>
          <w:w w:val="100"/>
          <w:position w:val="0"/>
          <w:sz w:val="15"/>
          <w:szCs w:val="15"/>
        </w:rPr>
        <w:t>1</w:t>
      </w:r>
      <w:r>
        <w:rPr>
          <w:rFonts w:hint="default" w:ascii="Times New Roman" w:hAnsi="Times New Roman" w:cs="Times New Roman"/>
          <w:color w:val="auto"/>
          <w:spacing w:val="0"/>
          <w:w w:val="100"/>
          <w:position w:val="0"/>
        </w:rPr>
        <w:t>、</w:t>
      </w:r>
      <w:r>
        <w:rPr>
          <w:rFonts w:hint="default" w:ascii="Times New Roman" w:hAnsi="Times New Roman" w:eastAsia="Times New Roman" w:cs="Times New Roman"/>
          <w:color w:val="auto"/>
          <w:spacing w:val="0"/>
          <w:w w:val="100"/>
          <w:position w:val="0"/>
        </w:rPr>
        <w:t>q</w:t>
      </w:r>
      <w:r>
        <w:rPr>
          <w:rFonts w:hint="default" w:ascii="Times New Roman" w:hAnsi="Times New Roman" w:eastAsia="Times New Roman" w:cs="Times New Roman"/>
          <w:color w:val="auto"/>
          <w:spacing w:val="0"/>
          <w:w w:val="100"/>
          <w:position w:val="0"/>
          <w:sz w:val="15"/>
          <w:szCs w:val="15"/>
        </w:rPr>
        <w:t>2</w:t>
      </w:r>
      <w:r>
        <w:rPr>
          <w:rFonts w:hint="default" w:ascii="Times New Roman" w:hAnsi="Times New Roman" w:eastAsia="Times New Roman" w:cs="Times New Roman"/>
          <w:color w:val="auto"/>
          <w:spacing w:val="0"/>
          <w:w w:val="100"/>
          <w:position w:val="0"/>
        </w:rPr>
        <w:t>…q</w:t>
      </w:r>
      <w:r>
        <w:rPr>
          <w:rFonts w:hint="default" w:ascii="Times New Roman" w:hAnsi="Times New Roman" w:eastAsia="Times New Roman" w:cs="Times New Roman"/>
          <w:color w:val="auto"/>
          <w:spacing w:val="0"/>
          <w:w w:val="100"/>
          <w:position w:val="0"/>
          <w:sz w:val="15"/>
          <w:szCs w:val="15"/>
        </w:rPr>
        <w:t>n</w:t>
      </w:r>
      <w:r>
        <w:rPr>
          <w:rFonts w:hint="default" w:ascii="Times New Roman" w:hAnsi="Times New Roman" w:eastAsia="Times New Roman" w:cs="Times New Roman"/>
          <w:color w:val="auto"/>
          <w:spacing w:val="0"/>
          <w:w w:val="100"/>
          <w:position w:val="0"/>
        </w:rPr>
        <w:t>——</w:t>
      </w:r>
      <w:r>
        <w:rPr>
          <w:rFonts w:hint="default" w:ascii="Times New Roman" w:hAnsi="Times New Roman" w:cs="Times New Roman"/>
          <w:color w:val="auto"/>
          <w:spacing w:val="0"/>
          <w:w w:val="100"/>
          <w:position w:val="0"/>
        </w:rPr>
        <w:t>每种危险物质实际存在量，</w:t>
      </w:r>
      <w:r>
        <w:rPr>
          <w:rFonts w:hint="default" w:ascii="Times New Roman" w:hAnsi="Times New Roman" w:eastAsia="Times New Roman" w:cs="Times New Roman"/>
          <w:color w:val="auto"/>
          <w:spacing w:val="0"/>
          <w:w w:val="100"/>
          <w:position w:val="0"/>
        </w:rPr>
        <w:t>t</w:t>
      </w:r>
      <w:r>
        <w:rPr>
          <w:rFonts w:hint="default" w:ascii="Times New Roman" w:hAnsi="Times New Roman" w:cs="Times New Roman"/>
          <w:color w:val="auto"/>
          <w:spacing w:val="0"/>
          <w:w w:val="100"/>
          <w:position w:val="0"/>
        </w:rPr>
        <w:t>；</w:t>
      </w:r>
    </w:p>
    <w:p w14:paraId="55341A0A">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outlineLvl w:val="9"/>
        <w:rPr>
          <w:rFonts w:hint="default" w:ascii="Times New Roman" w:hAnsi="Times New Roman" w:cs="Times New Roman"/>
          <w:color w:val="auto"/>
          <w:spacing w:val="0"/>
          <w:w w:val="100"/>
          <w:position w:val="0"/>
        </w:rPr>
      </w:pPr>
      <w:r>
        <w:rPr>
          <w:rFonts w:hint="default" w:ascii="Times New Roman" w:hAnsi="Times New Roman" w:eastAsia="Times New Roman" w:cs="Times New Roman"/>
          <w:color w:val="auto"/>
          <w:spacing w:val="0"/>
          <w:w w:val="100"/>
          <w:position w:val="0"/>
        </w:rPr>
        <w:t>Q</w:t>
      </w:r>
      <w:r>
        <w:rPr>
          <w:rFonts w:hint="default" w:ascii="Times New Roman" w:hAnsi="Times New Roman" w:eastAsia="Times New Roman" w:cs="Times New Roman"/>
          <w:color w:val="auto"/>
          <w:spacing w:val="0"/>
          <w:w w:val="100"/>
          <w:position w:val="0"/>
          <w:sz w:val="15"/>
          <w:szCs w:val="15"/>
        </w:rPr>
        <w:t>1</w:t>
      </w:r>
      <w:r>
        <w:rPr>
          <w:rFonts w:hint="default" w:ascii="Times New Roman" w:hAnsi="Times New Roman" w:cs="Times New Roman"/>
          <w:color w:val="auto"/>
          <w:spacing w:val="0"/>
          <w:w w:val="100"/>
          <w:position w:val="0"/>
        </w:rPr>
        <w:t>、</w:t>
      </w:r>
      <w:r>
        <w:rPr>
          <w:rFonts w:hint="default" w:ascii="Times New Roman" w:hAnsi="Times New Roman" w:eastAsia="Times New Roman" w:cs="Times New Roman"/>
          <w:color w:val="auto"/>
          <w:spacing w:val="0"/>
          <w:w w:val="100"/>
          <w:position w:val="0"/>
        </w:rPr>
        <w:t>Q</w:t>
      </w:r>
      <w:r>
        <w:rPr>
          <w:rFonts w:hint="default" w:ascii="Times New Roman" w:hAnsi="Times New Roman" w:eastAsia="Times New Roman" w:cs="Times New Roman"/>
          <w:color w:val="auto"/>
          <w:spacing w:val="0"/>
          <w:w w:val="100"/>
          <w:position w:val="0"/>
          <w:sz w:val="15"/>
          <w:szCs w:val="15"/>
        </w:rPr>
        <w:t>2</w:t>
      </w:r>
      <w:r>
        <w:rPr>
          <w:rFonts w:hint="default" w:ascii="Times New Roman" w:hAnsi="Times New Roman" w:eastAsia="Times New Roman" w:cs="Times New Roman"/>
          <w:color w:val="auto"/>
          <w:spacing w:val="0"/>
          <w:w w:val="100"/>
          <w:position w:val="0"/>
        </w:rPr>
        <w:t>…Q</w:t>
      </w:r>
      <w:r>
        <w:rPr>
          <w:rFonts w:hint="default" w:ascii="Times New Roman" w:hAnsi="Times New Roman" w:eastAsia="Times New Roman" w:cs="Times New Roman"/>
          <w:color w:val="auto"/>
          <w:spacing w:val="0"/>
          <w:w w:val="100"/>
          <w:position w:val="0"/>
          <w:sz w:val="15"/>
          <w:szCs w:val="15"/>
        </w:rPr>
        <w:t>n</w:t>
      </w:r>
      <w:r>
        <w:rPr>
          <w:rFonts w:hint="default" w:ascii="Times New Roman" w:hAnsi="Times New Roman" w:eastAsia="Times New Roman" w:cs="Times New Roman"/>
          <w:color w:val="auto"/>
          <w:spacing w:val="0"/>
          <w:w w:val="100"/>
          <w:position w:val="0"/>
        </w:rPr>
        <w:t>——</w:t>
      </w:r>
      <w:r>
        <w:rPr>
          <w:rFonts w:hint="default" w:ascii="Times New Roman" w:hAnsi="Times New Roman" w:cs="Times New Roman"/>
          <w:color w:val="auto"/>
          <w:spacing w:val="0"/>
          <w:w w:val="100"/>
          <w:position w:val="0"/>
        </w:rPr>
        <w:t>与各危险化学品相对应的临界量，</w:t>
      </w:r>
      <w:r>
        <w:rPr>
          <w:rFonts w:hint="default" w:ascii="Times New Roman" w:hAnsi="Times New Roman" w:eastAsia="Times New Roman" w:cs="Times New Roman"/>
          <w:color w:val="auto"/>
          <w:spacing w:val="0"/>
          <w:w w:val="100"/>
          <w:position w:val="0"/>
        </w:rPr>
        <w:t>t</w:t>
      </w:r>
      <w:r>
        <w:rPr>
          <w:rFonts w:hint="default" w:ascii="Times New Roman" w:hAnsi="Times New Roman" w:cs="Times New Roman"/>
          <w:color w:val="auto"/>
          <w:spacing w:val="0"/>
          <w:w w:val="100"/>
          <w:position w:val="0"/>
        </w:rPr>
        <w:t>。</w:t>
      </w:r>
    </w:p>
    <w:p w14:paraId="3760DB90">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outlineLvl w:val="9"/>
        <w:rPr>
          <w:rFonts w:hint="default" w:ascii="Times New Roman" w:hAnsi="Times New Roman" w:eastAsia="宋体" w:cs="Times New Roman"/>
          <w:color w:val="auto"/>
          <w:spacing w:val="0"/>
          <w:w w:val="100"/>
          <w:position w:val="0"/>
        </w:rPr>
      </w:pPr>
      <w:r>
        <w:rPr>
          <w:rFonts w:hint="default" w:ascii="Times New Roman" w:hAnsi="Times New Roman" w:eastAsia="宋体" w:cs="Times New Roman"/>
          <w:color w:val="auto"/>
          <w:spacing w:val="0"/>
          <w:w w:val="100"/>
          <w:position w:val="0"/>
        </w:rPr>
        <w:t>重大危险源辨识结果详见表</w:t>
      </w:r>
      <w:r>
        <w:rPr>
          <w:rFonts w:hint="eastAsia" w:ascii="Times New Roman" w:hAnsi="Times New Roman" w:cs="Times New Roman"/>
          <w:color w:val="auto"/>
          <w:spacing w:val="0"/>
          <w:w w:val="100"/>
          <w:position w:val="0"/>
          <w:lang w:val="en-US" w:eastAsia="zh-CN"/>
        </w:rPr>
        <w:t>2.7-1</w:t>
      </w:r>
      <w:r>
        <w:rPr>
          <w:rFonts w:hint="default" w:ascii="Times New Roman" w:hAnsi="Times New Roman" w:eastAsia="宋体" w:cs="Times New Roman"/>
          <w:color w:val="auto"/>
          <w:spacing w:val="0"/>
          <w:w w:val="100"/>
          <w:position w:val="0"/>
        </w:rPr>
        <w:t>。</w:t>
      </w:r>
    </w:p>
    <w:p w14:paraId="4103B2D7">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default" w:ascii="Times New Roman" w:hAnsi="Times New Roman" w:eastAsia="宋体" w:cs="Times New Roman"/>
          <w:b/>
          <w:bCs/>
          <w:color w:val="auto"/>
          <w:spacing w:val="0"/>
          <w:w w:val="100"/>
          <w:position w:val="0"/>
          <w:sz w:val="21"/>
          <w:szCs w:val="21"/>
        </w:rPr>
      </w:pPr>
      <w:r>
        <w:rPr>
          <w:rFonts w:hint="default" w:ascii="Times New Roman" w:hAnsi="Times New Roman" w:eastAsia="宋体" w:cs="Times New Roman"/>
          <w:b/>
          <w:bCs/>
          <w:color w:val="auto"/>
          <w:spacing w:val="0"/>
          <w:w w:val="100"/>
          <w:position w:val="0"/>
          <w:sz w:val="21"/>
          <w:szCs w:val="21"/>
        </w:rPr>
        <w:t>表</w:t>
      </w:r>
      <w:r>
        <w:rPr>
          <w:rFonts w:hint="eastAsia" w:cs="Times New Roman"/>
          <w:b/>
          <w:bCs/>
          <w:color w:val="auto"/>
          <w:spacing w:val="0"/>
          <w:w w:val="100"/>
          <w:position w:val="0"/>
          <w:sz w:val="21"/>
          <w:szCs w:val="21"/>
          <w:lang w:val="en-US" w:eastAsia="zh-CN"/>
        </w:rPr>
        <w:t>2.7</w:t>
      </w:r>
      <w:r>
        <w:rPr>
          <w:rFonts w:hint="default" w:ascii="Times New Roman" w:hAnsi="Times New Roman" w:eastAsia="宋体" w:cs="Times New Roman"/>
          <w:b/>
          <w:bCs/>
          <w:color w:val="auto"/>
          <w:spacing w:val="0"/>
          <w:w w:val="100"/>
          <w:position w:val="0"/>
          <w:sz w:val="21"/>
          <w:szCs w:val="21"/>
        </w:rPr>
        <w:t>-</w:t>
      </w:r>
      <w:r>
        <w:rPr>
          <w:rFonts w:hint="eastAsia" w:cs="Times New Roman"/>
          <w:b/>
          <w:bCs/>
          <w:color w:val="auto"/>
          <w:spacing w:val="0"/>
          <w:w w:val="100"/>
          <w:position w:val="0"/>
          <w:sz w:val="21"/>
          <w:szCs w:val="21"/>
          <w:lang w:val="en-US" w:eastAsia="zh-CN"/>
        </w:rPr>
        <w:t>1</w:t>
      </w:r>
      <w:r>
        <w:rPr>
          <w:rFonts w:hint="default" w:ascii="Times New Roman" w:hAnsi="Times New Roman" w:eastAsia="宋体" w:cs="Times New Roman"/>
          <w:b/>
          <w:bCs/>
          <w:color w:val="auto"/>
          <w:spacing w:val="0"/>
          <w:w w:val="100"/>
          <w:position w:val="0"/>
          <w:sz w:val="21"/>
          <w:szCs w:val="21"/>
          <w:lang w:val="en-US" w:eastAsia="zh-CN"/>
        </w:rPr>
        <w:t xml:space="preserve">   </w:t>
      </w:r>
      <w:r>
        <w:rPr>
          <w:rFonts w:hint="default" w:ascii="Times New Roman" w:hAnsi="Times New Roman" w:eastAsia="宋体" w:cs="Times New Roman"/>
          <w:b/>
          <w:bCs/>
          <w:color w:val="auto"/>
          <w:spacing w:val="0"/>
          <w:w w:val="100"/>
          <w:position w:val="0"/>
          <w:sz w:val="21"/>
          <w:szCs w:val="21"/>
        </w:rPr>
        <w:t>重大危险源辨识结果</w:t>
      </w:r>
    </w:p>
    <w:tbl>
      <w:tblPr>
        <w:tblStyle w:val="50"/>
        <w:tblW w:w="9003"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888"/>
        <w:gridCol w:w="1322"/>
        <w:gridCol w:w="2789"/>
        <w:gridCol w:w="1322"/>
        <w:gridCol w:w="1619"/>
        <w:gridCol w:w="1063"/>
      </w:tblGrid>
      <w:tr w14:paraId="50D1F1F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888" w:type="dxa"/>
            <w:tcBorders>
              <w:tl2br w:val="nil"/>
              <w:tr2bl w:val="nil"/>
            </w:tcBorders>
            <w:vAlign w:val="center"/>
          </w:tcPr>
          <w:p w14:paraId="2CC11979">
            <w:pPr>
              <w:pStyle w:val="49"/>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序号</w:t>
            </w:r>
          </w:p>
        </w:tc>
        <w:tc>
          <w:tcPr>
            <w:tcW w:w="1322" w:type="dxa"/>
            <w:tcBorders>
              <w:tl2br w:val="nil"/>
              <w:tr2bl w:val="nil"/>
            </w:tcBorders>
            <w:vAlign w:val="center"/>
          </w:tcPr>
          <w:p w14:paraId="7F66338C">
            <w:pPr>
              <w:pStyle w:val="49"/>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危险物质名称</w:t>
            </w:r>
          </w:p>
        </w:tc>
        <w:tc>
          <w:tcPr>
            <w:tcW w:w="2789" w:type="dxa"/>
            <w:tcBorders>
              <w:tl2br w:val="nil"/>
              <w:tr2bl w:val="nil"/>
            </w:tcBorders>
            <w:vAlign w:val="center"/>
          </w:tcPr>
          <w:p w14:paraId="71877B4B">
            <w:pPr>
              <w:pStyle w:val="49"/>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储存方式</w:t>
            </w:r>
          </w:p>
        </w:tc>
        <w:tc>
          <w:tcPr>
            <w:tcW w:w="1322" w:type="dxa"/>
            <w:tcBorders>
              <w:tl2br w:val="nil"/>
              <w:tr2bl w:val="nil"/>
            </w:tcBorders>
            <w:vAlign w:val="center"/>
          </w:tcPr>
          <w:p w14:paraId="2CAB9141">
            <w:pPr>
              <w:pStyle w:val="49"/>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临界量</w:t>
            </w:r>
          </w:p>
          <w:p w14:paraId="673D3A00">
            <w:pPr>
              <w:pStyle w:val="49"/>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w:t>
            </w:r>
            <w:r>
              <w:rPr>
                <w:rFonts w:hint="default" w:ascii="Times New Roman" w:hAnsi="Times New Roman" w:eastAsia="Times New Roman" w:cs="Times New Roman"/>
                <w:color w:val="auto"/>
                <w:spacing w:val="0"/>
                <w:w w:val="100"/>
                <w:position w:val="0"/>
                <w:sz w:val="21"/>
                <w:szCs w:val="21"/>
              </w:rPr>
              <w:t>t</w:t>
            </w:r>
            <w:r>
              <w:rPr>
                <w:rFonts w:hint="default" w:ascii="Times New Roman" w:hAnsi="Times New Roman" w:cs="Times New Roman"/>
                <w:color w:val="auto"/>
                <w:spacing w:val="0"/>
                <w:w w:val="100"/>
                <w:position w:val="0"/>
                <w:sz w:val="21"/>
                <w:szCs w:val="21"/>
              </w:rPr>
              <w:t>）</w:t>
            </w:r>
          </w:p>
        </w:tc>
        <w:tc>
          <w:tcPr>
            <w:tcW w:w="1619" w:type="dxa"/>
            <w:tcBorders>
              <w:tl2br w:val="nil"/>
              <w:tr2bl w:val="nil"/>
            </w:tcBorders>
            <w:vAlign w:val="center"/>
          </w:tcPr>
          <w:p w14:paraId="41554F44">
            <w:pPr>
              <w:pStyle w:val="49"/>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最大存在量</w:t>
            </w:r>
          </w:p>
          <w:p w14:paraId="71FCAAE6">
            <w:pPr>
              <w:pStyle w:val="49"/>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w:t>
            </w:r>
            <w:r>
              <w:rPr>
                <w:rFonts w:hint="default" w:ascii="Times New Roman" w:hAnsi="Times New Roman" w:eastAsia="Times New Roman" w:cs="Times New Roman"/>
                <w:color w:val="auto"/>
                <w:spacing w:val="0"/>
                <w:w w:val="100"/>
                <w:position w:val="0"/>
                <w:sz w:val="21"/>
                <w:szCs w:val="21"/>
              </w:rPr>
              <w:t>t</w:t>
            </w:r>
            <w:r>
              <w:rPr>
                <w:rFonts w:hint="default" w:ascii="Times New Roman" w:hAnsi="Times New Roman" w:cs="Times New Roman"/>
                <w:color w:val="auto"/>
                <w:spacing w:val="0"/>
                <w:w w:val="100"/>
                <w:position w:val="0"/>
                <w:sz w:val="21"/>
                <w:szCs w:val="21"/>
              </w:rPr>
              <w:t>）</w:t>
            </w:r>
          </w:p>
        </w:tc>
        <w:tc>
          <w:tcPr>
            <w:tcW w:w="1063" w:type="dxa"/>
            <w:tcBorders>
              <w:tl2br w:val="nil"/>
              <w:tr2bl w:val="nil"/>
            </w:tcBorders>
            <w:vAlign w:val="center"/>
          </w:tcPr>
          <w:p w14:paraId="1C251FF0">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Times New Roman" w:cs="Times New Roman"/>
                <w:color w:val="auto"/>
                <w:spacing w:val="0"/>
                <w:w w:val="100"/>
                <w:position w:val="0"/>
                <w:sz w:val="21"/>
                <w:szCs w:val="21"/>
              </w:rPr>
            </w:pPr>
            <w:r>
              <w:rPr>
                <w:rFonts w:hint="default" w:ascii="Times New Roman" w:hAnsi="Times New Roman" w:eastAsia="Times New Roman" w:cs="Times New Roman"/>
                <w:color w:val="auto"/>
                <w:spacing w:val="0"/>
                <w:w w:val="100"/>
                <w:position w:val="0"/>
                <w:sz w:val="21"/>
                <w:szCs w:val="21"/>
              </w:rPr>
              <w:t>qn/Qn</w:t>
            </w:r>
          </w:p>
        </w:tc>
      </w:tr>
      <w:tr w14:paraId="2435A7C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888" w:type="dxa"/>
            <w:tcBorders>
              <w:tl2br w:val="nil"/>
              <w:tr2bl w:val="nil"/>
            </w:tcBorders>
            <w:vAlign w:val="center"/>
          </w:tcPr>
          <w:p w14:paraId="1515928C">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Times New Roman" w:cs="Times New Roman"/>
                <w:color w:val="auto"/>
                <w:spacing w:val="0"/>
                <w:w w:val="100"/>
                <w:position w:val="0"/>
                <w:sz w:val="21"/>
                <w:szCs w:val="21"/>
              </w:rPr>
            </w:pPr>
            <w:r>
              <w:rPr>
                <w:rFonts w:hint="default" w:ascii="Times New Roman" w:hAnsi="Times New Roman" w:eastAsia="Times New Roman" w:cs="Times New Roman"/>
                <w:color w:val="auto"/>
                <w:spacing w:val="0"/>
                <w:w w:val="100"/>
                <w:position w:val="0"/>
                <w:sz w:val="21"/>
                <w:szCs w:val="21"/>
              </w:rPr>
              <w:t>1</w:t>
            </w:r>
          </w:p>
        </w:tc>
        <w:tc>
          <w:tcPr>
            <w:tcW w:w="1322" w:type="dxa"/>
            <w:tcBorders>
              <w:tl2br w:val="nil"/>
              <w:tr2bl w:val="nil"/>
            </w:tcBorders>
            <w:vAlign w:val="center"/>
          </w:tcPr>
          <w:p w14:paraId="6135FA86">
            <w:pPr>
              <w:keepNext w:val="0"/>
              <w:keepLines w:val="0"/>
              <w:pageBreakBefore w:val="0"/>
              <w:widowControl/>
              <w:wordWrap/>
              <w:overflowPunct/>
              <w:topLinePunct w:val="0"/>
              <w:bidi w:val="0"/>
              <w:adjustRightInd w:val="0"/>
              <w:snapToGrid w:val="0"/>
              <w:spacing w:line="240" w:lineRule="auto"/>
              <w:ind w:firstLine="0" w:firstLineChars="0"/>
              <w:jc w:val="center"/>
              <w:rPr>
                <w:rFonts w:hint="default" w:ascii="Times New Roman" w:hAnsi="Times New Roman" w:cs="Times New Roman"/>
                <w:color w:val="auto"/>
                <w:spacing w:val="0"/>
                <w:w w:val="100"/>
                <w:position w:val="0"/>
                <w:sz w:val="21"/>
                <w:szCs w:val="21"/>
              </w:rPr>
            </w:pPr>
            <w:r>
              <w:rPr>
                <w:rFonts w:hint="default" w:ascii="Times New Roman" w:hAnsi="Times New Roman" w:eastAsia="宋体" w:cs="Times New Roman"/>
                <w:color w:val="auto"/>
                <w:kern w:val="0"/>
                <w:sz w:val="21"/>
                <w:szCs w:val="21"/>
                <w:lang w:eastAsia="zh-CN"/>
              </w:rPr>
              <w:t>次氯酸钠</w:t>
            </w:r>
          </w:p>
        </w:tc>
        <w:tc>
          <w:tcPr>
            <w:tcW w:w="2789" w:type="dxa"/>
            <w:tcBorders>
              <w:tl2br w:val="nil"/>
              <w:tr2bl w:val="nil"/>
            </w:tcBorders>
            <w:vAlign w:val="center"/>
          </w:tcPr>
          <w:p w14:paraId="6A86320C">
            <w:pPr>
              <w:keepNext w:val="0"/>
              <w:keepLines w:val="0"/>
              <w:pageBreakBefore w:val="0"/>
              <w:widowControl/>
              <w:wordWrap/>
              <w:overflowPunct/>
              <w:topLinePunct w:val="0"/>
              <w:bidi w:val="0"/>
              <w:adjustRightInd w:val="0"/>
              <w:snapToGrid w:val="0"/>
              <w:spacing w:line="240" w:lineRule="auto"/>
              <w:ind w:firstLine="0" w:firstLineChars="0"/>
              <w:jc w:val="center"/>
              <w:rPr>
                <w:rFonts w:hint="default" w:ascii="Times New Roman" w:hAnsi="Times New Roman" w:cs="Times New Roman"/>
                <w:color w:val="auto"/>
                <w:spacing w:val="0"/>
                <w:w w:val="100"/>
                <w:position w:val="0"/>
                <w:sz w:val="21"/>
                <w:szCs w:val="21"/>
              </w:rPr>
            </w:pPr>
            <w:r>
              <w:rPr>
                <w:rFonts w:hint="eastAsia" w:ascii="Times New Roman" w:hAnsi="Times New Roman" w:eastAsia="宋体" w:cs="Times New Roman"/>
                <w:color w:val="auto"/>
                <w:kern w:val="0"/>
                <w:sz w:val="21"/>
                <w:szCs w:val="21"/>
                <w:lang w:val="en-US" w:eastAsia="zh-CN"/>
              </w:rPr>
              <w:t>桶装</w:t>
            </w:r>
          </w:p>
        </w:tc>
        <w:tc>
          <w:tcPr>
            <w:tcW w:w="1322" w:type="dxa"/>
            <w:tcBorders>
              <w:tl2br w:val="nil"/>
              <w:tr2bl w:val="nil"/>
            </w:tcBorders>
            <w:vAlign w:val="center"/>
          </w:tcPr>
          <w:p w14:paraId="5DCB723D">
            <w:pPr>
              <w:keepNext w:val="0"/>
              <w:keepLines w:val="0"/>
              <w:pageBreakBefore w:val="0"/>
              <w:wordWrap/>
              <w:overflowPunct/>
              <w:topLinePunct w:val="0"/>
              <w:bidi w:val="0"/>
              <w:adjustRightInd w:val="0"/>
              <w:snapToGrid w:val="0"/>
              <w:spacing w:after="0" w:line="240" w:lineRule="auto"/>
              <w:ind w:firstLine="0" w:firstLineChars="0"/>
              <w:jc w:val="center"/>
              <w:rPr>
                <w:rFonts w:hint="default" w:ascii="Times New Roman" w:hAnsi="Times New Roman" w:eastAsia="Times New Roman" w:cs="Times New Roman"/>
                <w:color w:val="auto"/>
                <w:spacing w:val="0"/>
                <w:w w:val="100"/>
                <w:position w:val="0"/>
                <w:sz w:val="21"/>
                <w:szCs w:val="21"/>
              </w:rPr>
            </w:pPr>
            <w:r>
              <w:rPr>
                <w:rFonts w:hint="eastAsia" w:ascii="Times New Roman" w:hAnsi="Times New Roman" w:eastAsia="宋体" w:cs="Times New Roman"/>
                <w:color w:val="auto"/>
                <w:kern w:val="2"/>
                <w:sz w:val="21"/>
                <w:szCs w:val="21"/>
              </w:rPr>
              <w:t>5</w:t>
            </w:r>
          </w:p>
        </w:tc>
        <w:tc>
          <w:tcPr>
            <w:tcW w:w="1619" w:type="dxa"/>
            <w:tcBorders>
              <w:tl2br w:val="nil"/>
              <w:tr2bl w:val="nil"/>
            </w:tcBorders>
            <w:vAlign w:val="center"/>
          </w:tcPr>
          <w:p w14:paraId="4F759DAF">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pacing w:val="0"/>
                <w:w w:val="100"/>
                <w:position w:val="0"/>
                <w:sz w:val="21"/>
                <w:szCs w:val="21"/>
                <w:lang w:val="en-US" w:eastAsia="zh-CN"/>
              </w:rPr>
            </w:pPr>
            <w:r>
              <w:rPr>
                <w:rFonts w:hint="eastAsia" w:cs="Times New Roman"/>
                <w:color w:val="auto"/>
                <w:kern w:val="0"/>
                <w:sz w:val="21"/>
                <w:szCs w:val="21"/>
                <w:lang w:val="en-US" w:eastAsia="zh-CN"/>
              </w:rPr>
              <w:t>0.2</w:t>
            </w:r>
          </w:p>
        </w:tc>
        <w:tc>
          <w:tcPr>
            <w:tcW w:w="1063" w:type="dxa"/>
            <w:tcBorders>
              <w:tl2br w:val="nil"/>
              <w:tr2bl w:val="nil"/>
            </w:tcBorders>
            <w:vAlign w:val="center"/>
          </w:tcPr>
          <w:p w14:paraId="70082F99">
            <w:pPr>
              <w:keepNext w:val="0"/>
              <w:keepLines w:val="0"/>
              <w:pageBreakBefore w:val="0"/>
              <w:wordWrap/>
              <w:overflowPunct/>
              <w:topLinePunct w:val="0"/>
              <w:bidi w:val="0"/>
              <w:adjustRightInd w:val="0"/>
              <w:snapToGrid w:val="0"/>
              <w:spacing w:after="0" w:line="240" w:lineRule="auto"/>
              <w:ind w:firstLine="0" w:firstLineChars="0"/>
              <w:jc w:val="center"/>
              <w:rPr>
                <w:rFonts w:hint="default" w:ascii="Times New Roman" w:hAnsi="Times New Roman" w:eastAsia="宋体" w:cs="Times New Roman"/>
                <w:color w:val="auto"/>
                <w:spacing w:val="0"/>
                <w:w w:val="100"/>
                <w:position w:val="0"/>
                <w:sz w:val="21"/>
                <w:szCs w:val="21"/>
                <w:lang w:val="en-US" w:eastAsia="zh-CN"/>
              </w:rPr>
            </w:pPr>
            <w:r>
              <w:rPr>
                <w:rFonts w:ascii="Times New Roman" w:hAnsi="Times New Roman" w:eastAsia="宋体" w:cs="Times New Roman"/>
                <w:color w:val="auto"/>
                <w:sz w:val="21"/>
                <w:szCs w:val="21"/>
              </w:rPr>
              <w:t>0.</w:t>
            </w:r>
            <w:r>
              <w:rPr>
                <w:rFonts w:hint="eastAsia" w:cs="Times New Roman"/>
                <w:color w:val="auto"/>
                <w:sz w:val="21"/>
                <w:szCs w:val="21"/>
                <w:lang w:val="en-US" w:eastAsia="zh-CN"/>
              </w:rPr>
              <w:t>04</w:t>
            </w:r>
          </w:p>
        </w:tc>
      </w:tr>
      <w:tr w14:paraId="30E7A2B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888" w:type="dxa"/>
            <w:tcBorders>
              <w:tl2br w:val="nil"/>
              <w:tr2bl w:val="nil"/>
            </w:tcBorders>
            <w:vAlign w:val="center"/>
          </w:tcPr>
          <w:p w14:paraId="248197A4">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Times New Roman" w:cs="Times New Roman"/>
                <w:color w:val="auto"/>
                <w:spacing w:val="0"/>
                <w:w w:val="100"/>
                <w:position w:val="0"/>
                <w:sz w:val="21"/>
                <w:szCs w:val="21"/>
              </w:rPr>
            </w:pPr>
            <w:r>
              <w:rPr>
                <w:rFonts w:hint="default" w:ascii="Times New Roman" w:hAnsi="Times New Roman" w:eastAsia="Times New Roman" w:cs="Times New Roman"/>
                <w:color w:val="auto"/>
                <w:spacing w:val="0"/>
                <w:w w:val="100"/>
                <w:position w:val="0"/>
                <w:sz w:val="21"/>
                <w:szCs w:val="21"/>
              </w:rPr>
              <w:t>2</w:t>
            </w:r>
          </w:p>
        </w:tc>
        <w:tc>
          <w:tcPr>
            <w:tcW w:w="1322" w:type="dxa"/>
            <w:tcBorders>
              <w:tl2br w:val="nil"/>
              <w:tr2bl w:val="nil"/>
            </w:tcBorders>
            <w:vAlign w:val="center"/>
          </w:tcPr>
          <w:p w14:paraId="47E2E3F2">
            <w:pPr>
              <w:keepNext w:val="0"/>
              <w:keepLines w:val="0"/>
              <w:pageBreakBefore w:val="0"/>
              <w:widowControl/>
              <w:wordWrap/>
              <w:overflowPunct/>
              <w:topLinePunct w:val="0"/>
              <w:bidi w:val="0"/>
              <w:adjustRightInd w:val="0"/>
              <w:snapToGrid w:val="0"/>
              <w:spacing w:line="240" w:lineRule="auto"/>
              <w:ind w:firstLine="0" w:firstLineChars="0"/>
              <w:jc w:val="center"/>
              <w:rPr>
                <w:rFonts w:hint="default" w:ascii="Times New Roman" w:hAnsi="Times New Roman" w:cs="Times New Roman"/>
                <w:color w:val="auto"/>
                <w:spacing w:val="0"/>
                <w:w w:val="100"/>
                <w:position w:val="0"/>
                <w:sz w:val="21"/>
                <w:szCs w:val="21"/>
              </w:rPr>
            </w:pPr>
            <w:r>
              <w:rPr>
                <w:rFonts w:hint="eastAsia" w:ascii="Times New Roman" w:hAnsi="Times New Roman" w:eastAsia="宋体" w:cs="Times New Roman"/>
                <w:color w:val="auto"/>
                <w:kern w:val="0"/>
                <w:sz w:val="21"/>
                <w:szCs w:val="21"/>
                <w:lang w:val="en-US" w:eastAsia="zh-CN"/>
              </w:rPr>
              <w:t>在线废液</w:t>
            </w:r>
          </w:p>
        </w:tc>
        <w:tc>
          <w:tcPr>
            <w:tcW w:w="2789" w:type="dxa"/>
            <w:tcBorders>
              <w:tl2br w:val="nil"/>
              <w:tr2bl w:val="nil"/>
            </w:tcBorders>
            <w:vAlign w:val="center"/>
          </w:tcPr>
          <w:p w14:paraId="69ABA197">
            <w:pPr>
              <w:keepNext w:val="0"/>
              <w:keepLines w:val="0"/>
              <w:pageBreakBefore w:val="0"/>
              <w:widowControl/>
              <w:wordWrap/>
              <w:overflowPunct/>
              <w:topLinePunct w:val="0"/>
              <w:bidi w:val="0"/>
              <w:adjustRightInd w:val="0"/>
              <w:snapToGrid w:val="0"/>
              <w:spacing w:line="240" w:lineRule="auto"/>
              <w:ind w:firstLine="0" w:firstLineChars="0"/>
              <w:jc w:val="center"/>
              <w:rPr>
                <w:rFonts w:hint="default" w:ascii="Times New Roman" w:hAnsi="Times New Roman" w:cs="Times New Roman"/>
                <w:color w:val="auto"/>
                <w:spacing w:val="0"/>
                <w:w w:val="100"/>
                <w:position w:val="0"/>
                <w:sz w:val="21"/>
                <w:szCs w:val="21"/>
              </w:rPr>
            </w:pPr>
            <w:r>
              <w:rPr>
                <w:rFonts w:hint="eastAsia" w:ascii="Times New Roman" w:hAnsi="Times New Roman" w:eastAsia="宋体" w:cs="Times New Roman"/>
                <w:color w:val="auto"/>
                <w:kern w:val="0"/>
                <w:sz w:val="21"/>
                <w:szCs w:val="21"/>
                <w:lang w:val="en-US" w:eastAsia="zh-CN"/>
              </w:rPr>
              <w:t>桶装</w:t>
            </w:r>
          </w:p>
        </w:tc>
        <w:tc>
          <w:tcPr>
            <w:tcW w:w="1322" w:type="dxa"/>
            <w:tcBorders>
              <w:tl2br w:val="nil"/>
              <w:tr2bl w:val="nil"/>
            </w:tcBorders>
            <w:vAlign w:val="center"/>
          </w:tcPr>
          <w:p w14:paraId="398A98B0">
            <w:pPr>
              <w:keepNext w:val="0"/>
              <w:keepLines w:val="0"/>
              <w:pageBreakBefore w:val="0"/>
              <w:widowControl/>
              <w:wordWrap/>
              <w:overflowPunct/>
              <w:topLinePunct w:val="0"/>
              <w:bidi w:val="0"/>
              <w:adjustRightInd w:val="0"/>
              <w:snapToGrid w:val="0"/>
              <w:spacing w:line="240" w:lineRule="auto"/>
              <w:ind w:firstLine="0" w:firstLineChars="0"/>
              <w:jc w:val="center"/>
              <w:rPr>
                <w:rFonts w:hint="default" w:ascii="Times New Roman" w:hAnsi="Times New Roman" w:eastAsia="Times New Roman" w:cs="Times New Roman"/>
                <w:color w:val="auto"/>
                <w:spacing w:val="0"/>
                <w:w w:val="100"/>
                <w:position w:val="0"/>
                <w:sz w:val="21"/>
                <w:szCs w:val="21"/>
              </w:rPr>
            </w:pPr>
            <w:r>
              <w:rPr>
                <w:rFonts w:hint="eastAsia" w:ascii="Times New Roman" w:hAnsi="Times New Roman" w:eastAsia="宋体" w:cs="Times New Roman"/>
                <w:color w:val="auto"/>
                <w:kern w:val="0"/>
                <w:sz w:val="21"/>
                <w:szCs w:val="21"/>
                <w:lang w:val="en-US" w:eastAsia="zh-CN"/>
              </w:rPr>
              <w:t>50</w:t>
            </w:r>
          </w:p>
        </w:tc>
        <w:tc>
          <w:tcPr>
            <w:tcW w:w="1619" w:type="dxa"/>
            <w:tcBorders>
              <w:tl2br w:val="nil"/>
              <w:tr2bl w:val="nil"/>
            </w:tcBorders>
            <w:vAlign w:val="center"/>
          </w:tcPr>
          <w:p w14:paraId="64EAFBD5">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0.</w:t>
            </w:r>
            <w:r>
              <w:rPr>
                <w:rFonts w:hint="eastAsia" w:cs="Times New Roman"/>
                <w:color w:val="auto"/>
                <w:kern w:val="0"/>
                <w:sz w:val="21"/>
                <w:szCs w:val="21"/>
                <w:lang w:val="en-US" w:eastAsia="zh-CN"/>
              </w:rPr>
              <w:t>19</w:t>
            </w:r>
          </w:p>
        </w:tc>
        <w:tc>
          <w:tcPr>
            <w:tcW w:w="1063" w:type="dxa"/>
            <w:tcBorders>
              <w:tl2br w:val="nil"/>
              <w:tr2bl w:val="nil"/>
            </w:tcBorders>
            <w:vAlign w:val="center"/>
          </w:tcPr>
          <w:p w14:paraId="298C94C5">
            <w:pPr>
              <w:keepNext w:val="0"/>
              <w:keepLines w:val="0"/>
              <w:pageBreakBefore w:val="0"/>
              <w:wordWrap/>
              <w:overflowPunct/>
              <w:topLinePunct w:val="0"/>
              <w:bidi w:val="0"/>
              <w:adjustRightInd w:val="0"/>
              <w:snapToGrid w:val="0"/>
              <w:spacing w:after="0" w:line="240" w:lineRule="auto"/>
              <w:ind w:firstLine="0" w:firstLineChars="0"/>
              <w:jc w:val="center"/>
              <w:rPr>
                <w:rFonts w:hint="default" w:ascii="Times New Roman" w:hAnsi="Times New Roman" w:eastAsia="宋体" w:cs="Times New Roman"/>
                <w:color w:val="auto"/>
                <w:spacing w:val="0"/>
                <w:w w:val="100"/>
                <w:position w:val="0"/>
                <w:sz w:val="21"/>
                <w:szCs w:val="21"/>
                <w:lang w:val="en-US" w:eastAsia="zh-CN"/>
              </w:rPr>
            </w:pPr>
            <w:r>
              <w:rPr>
                <w:rFonts w:hint="eastAsia" w:ascii="Times New Roman" w:hAnsi="Times New Roman" w:eastAsia="宋体" w:cs="Times New Roman"/>
                <w:color w:val="auto"/>
                <w:sz w:val="21"/>
                <w:szCs w:val="21"/>
                <w:lang w:val="en-US" w:eastAsia="zh-CN"/>
              </w:rPr>
              <w:t>0.00</w:t>
            </w:r>
            <w:r>
              <w:rPr>
                <w:rFonts w:hint="eastAsia" w:cs="Times New Roman"/>
                <w:color w:val="auto"/>
                <w:sz w:val="21"/>
                <w:szCs w:val="21"/>
                <w:lang w:val="en-US" w:eastAsia="zh-CN"/>
              </w:rPr>
              <w:t>38</w:t>
            </w:r>
          </w:p>
        </w:tc>
      </w:tr>
      <w:tr w14:paraId="14C1E14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888" w:type="dxa"/>
            <w:tcBorders>
              <w:tl2br w:val="nil"/>
              <w:tr2bl w:val="nil"/>
            </w:tcBorders>
            <w:vAlign w:val="center"/>
          </w:tcPr>
          <w:p w14:paraId="0B10AA0E">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Times New Roman" w:cs="Times New Roman"/>
                <w:color w:val="auto"/>
                <w:spacing w:val="0"/>
                <w:w w:val="100"/>
                <w:position w:val="0"/>
                <w:sz w:val="21"/>
                <w:szCs w:val="21"/>
              </w:rPr>
            </w:pPr>
            <w:r>
              <w:rPr>
                <w:rFonts w:hint="default" w:ascii="Times New Roman" w:hAnsi="Times New Roman" w:eastAsia="Times New Roman" w:cs="Times New Roman"/>
                <w:color w:val="auto"/>
                <w:spacing w:val="0"/>
                <w:w w:val="100"/>
                <w:position w:val="0"/>
                <w:sz w:val="21"/>
                <w:szCs w:val="21"/>
              </w:rPr>
              <w:t>3</w:t>
            </w:r>
          </w:p>
        </w:tc>
        <w:tc>
          <w:tcPr>
            <w:tcW w:w="1322" w:type="dxa"/>
            <w:tcBorders>
              <w:tl2br w:val="nil"/>
              <w:tr2bl w:val="nil"/>
            </w:tcBorders>
            <w:vAlign w:val="center"/>
          </w:tcPr>
          <w:p w14:paraId="04675990">
            <w:pPr>
              <w:keepNext w:val="0"/>
              <w:keepLines w:val="0"/>
              <w:pageBreakBefore w:val="0"/>
              <w:widowControl/>
              <w:wordWrap/>
              <w:overflowPunct/>
              <w:topLinePunct w:val="0"/>
              <w:bidi w:val="0"/>
              <w:adjustRightInd w:val="0"/>
              <w:snapToGrid w:val="0"/>
              <w:spacing w:line="240" w:lineRule="auto"/>
              <w:ind w:firstLine="0" w:firstLineChars="0"/>
              <w:jc w:val="center"/>
              <w:rPr>
                <w:rFonts w:hint="default" w:ascii="Times New Roman" w:hAnsi="Times New Roman" w:cs="Times New Roman"/>
                <w:color w:val="auto"/>
                <w:spacing w:val="0"/>
                <w:w w:val="100"/>
                <w:position w:val="0"/>
                <w:sz w:val="21"/>
                <w:szCs w:val="21"/>
              </w:rPr>
            </w:pPr>
            <w:r>
              <w:rPr>
                <w:rFonts w:hint="eastAsia" w:ascii="Times New Roman" w:hAnsi="Times New Roman" w:eastAsia="宋体" w:cs="Times New Roman"/>
                <w:color w:val="auto"/>
                <w:kern w:val="0"/>
                <w:sz w:val="21"/>
                <w:szCs w:val="21"/>
                <w:lang w:val="en-US" w:eastAsia="zh-CN"/>
              </w:rPr>
              <w:t>实验室废液</w:t>
            </w:r>
          </w:p>
        </w:tc>
        <w:tc>
          <w:tcPr>
            <w:tcW w:w="2789" w:type="dxa"/>
            <w:tcBorders>
              <w:tl2br w:val="nil"/>
              <w:tr2bl w:val="nil"/>
            </w:tcBorders>
            <w:vAlign w:val="center"/>
          </w:tcPr>
          <w:p w14:paraId="56220A18">
            <w:pPr>
              <w:keepNext w:val="0"/>
              <w:keepLines w:val="0"/>
              <w:pageBreakBefore w:val="0"/>
              <w:widowControl/>
              <w:wordWrap/>
              <w:overflowPunct/>
              <w:topLinePunct w:val="0"/>
              <w:bidi w:val="0"/>
              <w:adjustRightInd w:val="0"/>
              <w:snapToGrid w:val="0"/>
              <w:spacing w:line="240" w:lineRule="auto"/>
              <w:ind w:firstLine="0" w:firstLineChars="0"/>
              <w:jc w:val="center"/>
              <w:rPr>
                <w:rFonts w:hint="default" w:ascii="Times New Roman" w:hAnsi="Times New Roman" w:cs="Times New Roman"/>
                <w:color w:val="auto"/>
                <w:spacing w:val="0"/>
                <w:w w:val="100"/>
                <w:position w:val="0"/>
                <w:sz w:val="21"/>
                <w:szCs w:val="21"/>
              </w:rPr>
            </w:pPr>
            <w:r>
              <w:rPr>
                <w:rFonts w:hint="eastAsia" w:ascii="Times New Roman" w:hAnsi="Times New Roman" w:eastAsia="宋体" w:cs="Times New Roman"/>
                <w:color w:val="auto"/>
                <w:kern w:val="0"/>
                <w:sz w:val="21"/>
                <w:szCs w:val="21"/>
                <w:lang w:val="en-US" w:eastAsia="zh-CN"/>
              </w:rPr>
              <w:t>桶装</w:t>
            </w:r>
          </w:p>
        </w:tc>
        <w:tc>
          <w:tcPr>
            <w:tcW w:w="1322" w:type="dxa"/>
            <w:tcBorders>
              <w:tl2br w:val="nil"/>
              <w:tr2bl w:val="nil"/>
            </w:tcBorders>
            <w:vAlign w:val="center"/>
          </w:tcPr>
          <w:p w14:paraId="7CCE2A83">
            <w:pPr>
              <w:keepNext w:val="0"/>
              <w:keepLines w:val="0"/>
              <w:pageBreakBefore w:val="0"/>
              <w:widowControl/>
              <w:wordWrap/>
              <w:overflowPunct/>
              <w:topLinePunct w:val="0"/>
              <w:bidi w:val="0"/>
              <w:adjustRightInd w:val="0"/>
              <w:snapToGrid w:val="0"/>
              <w:spacing w:line="240" w:lineRule="auto"/>
              <w:ind w:firstLine="0" w:firstLineChars="0"/>
              <w:jc w:val="center"/>
              <w:rPr>
                <w:rFonts w:hint="default" w:ascii="Times New Roman" w:hAnsi="Times New Roman" w:eastAsia="Times New Roman" w:cs="Times New Roman"/>
                <w:color w:val="auto"/>
                <w:spacing w:val="0"/>
                <w:w w:val="100"/>
                <w:position w:val="0"/>
                <w:sz w:val="21"/>
                <w:szCs w:val="21"/>
              </w:rPr>
            </w:pPr>
            <w:r>
              <w:rPr>
                <w:rFonts w:hint="eastAsia" w:ascii="Times New Roman" w:hAnsi="Times New Roman" w:eastAsia="宋体" w:cs="Times New Roman"/>
                <w:color w:val="auto"/>
                <w:kern w:val="0"/>
                <w:sz w:val="21"/>
                <w:szCs w:val="21"/>
                <w:lang w:val="en-US" w:eastAsia="zh-CN"/>
              </w:rPr>
              <w:t>50</w:t>
            </w:r>
          </w:p>
        </w:tc>
        <w:tc>
          <w:tcPr>
            <w:tcW w:w="1619" w:type="dxa"/>
            <w:tcBorders>
              <w:tl2br w:val="nil"/>
              <w:tr2bl w:val="nil"/>
            </w:tcBorders>
            <w:vAlign w:val="center"/>
          </w:tcPr>
          <w:p w14:paraId="51CD2145">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0.</w:t>
            </w:r>
            <w:r>
              <w:rPr>
                <w:rFonts w:hint="eastAsia" w:cs="Times New Roman"/>
                <w:color w:val="auto"/>
                <w:kern w:val="0"/>
                <w:sz w:val="21"/>
                <w:szCs w:val="21"/>
                <w:lang w:val="en-US" w:eastAsia="zh-CN"/>
              </w:rPr>
              <w:t>19</w:t>
            </w:r>
          </w:p>
        </w:tc>
        <w:tc>
          <w:tcPr>
            <w:tcW w:w="1063" w:type="dxa"/>
            <w:tcBorders>
              <w:tl2br w:val="nil"/>
              <w:tr2bl w:val="nil"/>
            </w:tcBorders>
            <w:vAlign w:val="center"/>
          </w:tcPr>
          <w:p w14:paraId="1F9A1748">
            <w:pPr>
              <w:keepNext w:val="0"/>
              <w:keepLines w:val="0"/>
              <w:pageBreakBefore w:val="0"/>
              <w:wordWrap/>
              <w:overflowPunct/>
              <w:topLinePunct w:val="0"/>
              <w:bidi w:val="0"/>
              <w:adjustRightInd w:val="0"/>
              <w:snapToGrid w:val="0"/>
              <w:spacing w:after="0" w:line="240" w:lineRule="auto"/>
              <w:ind w:firstLine="0" w:firstLineChars="0"/>
              <w:jc w:val="center"/>
              <w:rPr>
                <w:rFonts w:hint="default" w:ascii="Times New Roman" w:hAnsi="Times New Roman" w:eastAsia="宋体" w:cs="Times New Roman"/>
                <w:color w:val="auto"/>
                <w:spacing w:val="0"/>
                <w:w w:val="100"/>
                <w:position w:val="0"/>
                <w:sz w:val="21"/>
                <w:szCs w:val="21"/>
                <w:lang w:val="en-US" w:eastAsia="zh-CN"/>
              </w:rPr>
            </w:pPr>
            <w:r>
              <w:rPr>
                <w:rFonts w:hint="eastAsia" w:ascii="Times New Roman" w:hAnsi="Times New Roman" w:eastAsia="宋体" w:cs="Times New Roman"/>
                <w:color w:val="auto"/>
                <w:sz w:val="21"/>
                <w:szCs w:val="21"/>
                <w:lang w:val="en-US" w:eastAsia="zh-CN"/>
              </w:rPr>
              <w:t>0.00</w:t>
            </w:r>
            <w:r>
              <w:rPr>
                <w:rFonts w:hint="eastAsia" w:cs="Times New Roman"/>
                <w:color w:val="auto"/>
                <w:sz w:val="21"/>
                <w:szCs w:val="21"/>
                <w:lang w:val="en-US" w:eastAsia="zh-CN"/>
              </w:rPr>
              <w:t>38</w:t>
            </w:r>
          </w:p>
        </w:tc>
      </w:tr>
      <w:tr w14:paraId="77F99EF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888" w:type="dxa"/>
            <w:tcBorders>
              <w:tl2br w:val="nil"/>
              <w:tr2bl w:val="nil"/>
            </w:tcBorders>
            <w:vAlign w:val="center"/>
          </w:tcPr>
          <w:p w14:paraId="39A7D7A2">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Times New Roman" w:cs="Times New Roman"/>
                <w:color w:val="auto"/>
                <w:spacing w:val="0"/>
                <w:w w:val="100"/>
                <w:position w:val="0"/>
                <w:sz w:val="21"/>
                <w:szCs w:val="21"/>
              </w:rPr>
            </w:pPr>
            <w:r>
              <w:rPr>
                <w:rFonts w:hint="default" w:ascii="Times New Roman" w:hAnsi="Times New Roman" w:eastAsia="Times New Roman" w:cs="Times New Roman"/>
                <w:color w:val="auto"/>
                <w:spacing w:val="0"/>
                <w:w w:val="100"/>
                <w:position w:val="0"/>
                <w:sz w:val="21"/>
                <w:szCs w:val="21"/>
              </w:rPr>
              <w:t>4</w:t>
            </w:r>
          </w:p>
        </w:tc>
        <w:tc>
          <w:tcPr>
            <w:tcW w:w="1322" w:type="dxa"/>
            <w:tcBorders>
              <w:tl2br w:val="nil"/>
              <w:tr2bl w:val="nil"/>
            </w:tcBorders>
            <w:vAlign w:val="center"/>
          </w:tcPr>
          <w:p w14:paraId="0A8BE485">
            <w:pPr>
              <w:keepNext w:val="0"/>
              <w:keepLines w:val="0"/>
              <w:pageBreakBefore w:val="0"/>
              <w:widowControl/>
              <w:wordWrap/>
              <w:overflowPunct/>
              <w:topLinePunct w:val="0"/>
              <w:bidi w:val="0"/>
              <w:adjustRightInd w:val="0"/>
              <w:snapToGrid w:val="0"/>
              <w:spacing w:line="240" w:lineRule="auto"/>
              <w:ind w:firstLine="0" w:firstLineChars="0"/>
              <w:jc w:val="center"/>
              <w:rPr>
                <w:rFonts w:hint="default" w:ascii="Times New Roman" w:hAnsi="Times New Roman" w:cs="Times New Roman"/>
                <w:color w:val="auto"/>
                <w:spacing w:val="0"/>
                <w:w w:val="100"/>
                <w:position w:val="0"/>
                <w:sz w:val="21"/>
                <w:szCs w:val="21"/>
              </w:rPr>
            </w:pPr>
            <w:r>
              <w:rPr>
                <w:rFonts w:hint="eastAsia" w:ascii="Times New Roman" w:hAnsi="Times New Roman" w:eastAsia="宋体" w:cs="Times New Roman"/>
                <w:color w:val="auto"/>
                <w:kern w:val="0"/>
                <w:sz w:val="21"/>
                <w:szCs w:val="21"/>
                <w:lang w:val="en-US" w:eastAsia="zh-CN"/>
              </w:rPr>
              <w:t>废试剂瓶</w:t>
            </w:r>
          </w:p>
        </w:tc>
        <w:tc>
          <w:tcPr>
            <w:tcW w:w="2789" w:type="dxa"/>
            <w:tcBorders>
              <w:tl2br w:val="nil"/>
              <w:tr2bl w:val="nil"/>
            </w:tcBorders>
            <w:vAlign w:val="center"/>
          </w:tcPr>
          <w:p w14:paraId="264C5139">
            <w:pPr>
              <w:keepNext w:val="0"/>
              <w:keepLines w:val="0"/>
              <w:pageBreakBefore w:val="0"/>
              <w:widowControl/>
              <w:wordWrap/>
              <w:overflowPunct/>
              <w:topLinePunct w:val="0"/>
              <w:bidi w:val="0"/>
              <w:adjustRightInd w:val="0"/>
              <w:snapToGrid w:val="0"/>
              <w:spacing w:line="240" w:lineRule="auto"/>
              <w:ind w:firstLine="0" w:firstLineChars="0"/>
              <w:jc w:val="center"/>
              <w:rPr>
                <w:rFonts w:hint="default" w:ascii="Times New Roman" w:hAnsi="Times New Roman" w:cs="Times New Roman"/>
                <w:color w:val="auto"/>
                <w:spacing w:val="0"/>
                <w:w w:val="100"/>
                <w:position w:val="0"/>
                <w:sz w:val="21"/>
                <w:szCs w:val="21"/>
              </w:rPr>
            </w:pPr>
            <w:r>
              <w:rPr>
                <w:rFonts w:hint="eastAsia" w:ascii="Times New Roman" w:hAnsi="Times New Roman" w:eastAsia="宋体" w:cs="Times New Roman"/>
                <w:color w:val="auto"/>
                <w:kern w:val="0"/>
                <w:sz w:val="21"/>
                <w:szCs w:val="21"/>
                <w:lang w:val="en-US" w:eastAsia="zh-CN"/>
              </w:rPr>
              <w:t>桶装</w:t>
            </w:r>
          </w:p>
        </w:tc>
        <w:tc>
          <w:tcPr>
            <w:tcW w:w="1322" w:type="dxa"/>
            <w:tcBorders>
              <w:tl2br w:val="nil"/>
              <w:tr2bl w:val="nil"/>
            </w:tcBorders>
            <w:vAlign w:val="center"/>
          </w:tcPr>
          <w:p w14:paraId="13761A01">
            <w:pPr>
              <w:keepNext w:val="0"/>
              <w:keepLines w:val="0"/>
              <w:pageBreakBefore w:val="0"/>
              <w:widowControl/>
              <w:wordWrap/>
              <w:overflowPunct/>
              <w:topLinePunct w:val="0"/>
              <w:bidi w:val="0"/>
              <w:adjustRightInd w:val="0"/>
              <w:snapToGrid w:val="0"/>
              <w:spacing w:line="240" w:lineRule="auto"/>
              <w:ind w:firstLine="0" w:firstLineChars="0"/>
              <w:jc w:val="center"/>
              <w:rPr>
                <w:rFonts w:hint="default" w:ascii="Times New Roman" w:hAnsi="Times New Roman" w:eastAsia="Times New Roman" w:cs="Times New Roman"/>
                <w:color w:val="auto"/>
                <w:spacing w:val="0"/>
                <w:w w:val="100"/>
                <w:position w:val="0"/>
                <w:sz w:val="21"/>
                <w:szCs w:val="21"/>
              </w:rPr>
            </w:pPr>
            <w:r>
              <w:rPr>
                <w:rFonts w:hint="eastAsia" w:ascii="Times New Roman" w:hAnsi="Times New Roman" w:eastAsia="宋体" w:cs="Times New Roman"/>
                <w:color w:val="auto"/>
                <w:kern w:val="0"/>
                <w:sz w:val="21"/>
                <w:szCs w:val="21"/>
                <w:lang w:val="en-US" w:eastAsia="zh-CN"/>
              </w:rPr>
              <w:t>50</w:t>
            </w:r>
          </w:p>
        </w:tc>
        <w:tc>
          <w:tcPr>
            <w:tcW w:w="1619" w:type="dxa"/>
            <w:tcBorders>
              <w:tl2br w:val="nil"/>
              <w:tr2bl w:val="nil"/>
            </w:tcBorders>
            <w:vAlign w:val="center"/>
          </w:tcPr>
          <w:p w14:paraId="44B85CE3">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0.</w:t>
            </w:r>
            <w:r>
              <w:rPr>
                <w:rFonts w:hint="eastAsia" w:cs="Times New Roman"/>
                <w:color w:val="auto"/>
                <w:kern w:val="0"/>
                <w:sz w:val="21"/>
                <w:szCs w:val="21"/>
                <w:lang w:val="en-US" w:eastAsia="zh-CN"/>
              </w:rPr>
              <w:t>04</w:t>
            </w:r>
          </w:p>
        </w:tc>
        <w:tc>
          <w:tcPr>
            <w:tcW w:w="1063" w:type="dxa"/>
            <w:tcBorders>
              <w:tl2br w:val="nil"/>
              <w:tr2bl w:val="nil"/>
            </w:tcBorders>
            <w:vAlign w:val="center"/>
          </w:tcPr>
          <w:p w14:paraId="2F160CD6">
            <w:pPr>
              <w:keepNext w:val="0"/>
              <w:keepLines w:val="0"/>
              <w:pageBreakBefore w:val="0"/>
              <w:wordWrap/>
              <w:overflowPunct/>
              <w:topLinePunct w:val="0"/>
              <w:bidi w:val="0"/>
              <w:adjustRightInd w:val="0"/>
              <w:snapToGrid w:val="0"/>
              <w:spacing w:after="0" w:line="240" w:lineRule="auto"/>
              <w:ind w:firstLine="0" w:firstLineChars="0"/>
              <w:jc w:val="center"/>
              <w:rPr>
                <w:rFonts w:hint="default" w:ascii="Times New Roman" w:hAnsi="Times New Roman" w:eastAsia="宋体" w:cs="Times New Roman"/>
                <w:color w:val="auto"/>
                <w:spacing w:val="0"/>
                <w:w w:val="100"/>
                <w:position w:val="0"/>
                <w:sz w:val="21"/>
                <w:szCs w:val="21"/>
                <w:lang w:val="en-US" w:eastAsia="zh-CN"/>
              </w:rPr>
            </w:pPr>
            <w:r>
              <w:rPr>
                <w:rFonts w:hint="eastAsia" w:ascii="Times New Roman" w:hAnsi="Times New Roman" w:eastAsia="宋体" w:cs="Times New Roman"/>
                <w:color w:val="auto"/>
                <w:sz w:val="21"/>
                <w:szCs w:val="21"/>
                <w:lang w:val="en-US" w:eastAsia="zh-CN"/>
              </w:rPr>
              <w:t>0.00</w:t>
            </w:r>
            <w:r>
              <w:rPr>
                <w:rFonts w:hint="eastAsia" w:cs="Times New Roman"/>
                <w:color w:val="auto"/>
                <w:sz w:val="21"/>
                <w:szCs w:val="21"/>
                <w:lang w:val="en-US" w:eastAsia="zh-CN"/>
              </w:rPr>
              <w:t>08</w:t>
            </w:r>
          </w:p>
        </w:tc>
      </w:tr>
      <w:tr w14:paraId="3BC1588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888" w:type="dxa"/>
            <w:tcBorders>
              <w:tl2br w:val="nil"/>
              <w:tr2bl w:val="nil"/>
            </w:tcBorders>
            <w:vAlign w:val="center"/>
          </w:tcPr>
          <w:p w14:paraId="4F699AAD">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Times New Roman" w:hAnsi="Times New Roman" w:eastAsia="宋体" w:cs="Times New Roman"/>
                <w:color w:val="auto"/>
                <w:spacing w:val="0"/>
                <w:w w:val="100"/>
                <w:position w:val="0"/>
                <w:sz w:val="21"/>
                <w:szCs w:val="21"/>
                <w:lang w:val="en-US" w:eastAsia="zh-CN"/>
              </w:rPr>
            </w:pPr>
            <w:r>
              <w:rPr>
                <w:rFonts w:hint="eastAsia" w:eastAsia="宋体" w:cs="Times New Roman"/>
                <w:color w:val="auto"/>
                <w:spacing w:val="0"/>
                <w:w w:val="100"/>
                <w:position w:val="0"/>
                <w:sz w:val="21"/>
                <w:szCs w:val="21"/>
                <w:lang w:val="en-US" w:eastAsia="zh-CN"/>
              </w:rPr>
              <w:t>5</w:t>
            </w:r>
          </w:p>
        </w:tc>
        <w:tc>
          <w:tcPr>
            <w:tcW w:w="1322" w:type="dxa"/>
            <w:tcBorders>
              <w:tl2br w:val="nil"/>
              <w:tr2bl w:val="nil"/>
            </w:tcBorders>
            <w:vAlign w:val="center"/>
          </w:tcPr>
          <w:p w14:paraId="16C667FD">
            <w:pPr>
              <w:keepNext w:val="0"/>
              <w:keepLines w:val="0"/>
              <w:pageBreakBefore w:val="0"/>
              <w:widowControl/>
              <w:wordWrap/>
              <w:overflowPunct/>
              <w:topLinePunct w:val="0"/>
              <w:bidi w:val="0"/>
              <w:adjustRightInd w:val="0"/>
              <w:snapToGrid w:val="0"/>
              <w:spacing w:line="240" w:lineRule="auto"/>
              <w:ind w:firstLine="0" w:firstLineChars="0"/>
              <w:jc w:val="center"/>
              <w:rPr>
                <w:rFonts w:hint="default" w:ascii="Times New Roman" w:hAnsi="Times New Roman" w:cs="Times New Roman"/>
                <w:color w:val="auto"/>
                <w:spacing w:val="0"/>
                <w:w w:val="100"/>
                <w:position w:val="0"/>
                <w:sz w:val="21"/>
                <w:szCs w:val="21"/>
              </w:rPr>
            </w:pPr>
            <w:r>
              <w:rPr>
                <w:rFonts w:hint="eastAsia" w:ascii="Times New Roman" w:hAnsi="Times New Roman" w:eastAsia="宋体" w:cs="Times New Roman"/>
                <w:color w:val="auto"/>
                <w:kern w:val="0"/>
                <w:sz w:val="21"/>
                <w:szCs w:val="21"/>
                <w:lang w:val="en-US" w:eastAsia="zh-CN"/>
              </w:rPr>
              <w:t>废机油</w:t>
            </w:r>
          </w:p>
        </w:tc>
        <w:tc>
          <w:tcPr>
            <w:tcW w:w="2789" w:type="dxa"/>
            <w:tcBorders>
              <w:tl2br w:val="nil"/>
              <w:tr2bl w:val="nil"/>
            </w:tcBorders>
            <w:vAlign w:val="center"/>
          </w:tcPr>
          <w:p w14:paraId="72513DB9">
            <w:pPr>
              <w:keepNext w:val="0"/>
              <w:keepLines w:val="0"/>
              <w:pageBreakBefore w:val="0"/>
              <w:widowControl/>
              <w:wordWrap/>
              <w:overflowPunct/>
              <w:topLinePunct w:val="0"/>
              <w:bidi w:val="0"/>
              <w:adjustRightInd w:val="0"/>
              <w:snapToGrid w:val="0"/>
              <w:spacing w:line="240" w:lineRule="auto"/>
              <w:ind w:firstLine="0" w:firstLineChars="0"/>
              <w:jc w:val="center"/>
              <w:rPr>
                <w:rFonts w:hint="default" w:ascii="Times New Roman" w:hAnsi="Times New Roman" w:cs="Times New Roman"/>
                <w:color w:val="auto"/>
                <w:spacing w:val="0"/>
                <w:w w:val="100"/>
                <w:position w:val="0"/>
                <w:sz w:val="21"/>
                <w:szCs w:val="21"/>
              </w:rPr>
            </w:pPr>
            <w:r>
              <w:rPr>
                <w:rFonts w:hint="eastAsia" w:ascii="Times New Roman" w:hAnsi="Times New Roman" w:eastAsia="宋体" w:cs="Times New Roman"/>
                <w:color w:val="auto"/>
                <w:kern w:val="0"/>
                <w:sz w:val="21"/>
                <w:szCs w:val="21"/>
                <w:lang w:val="en-US" w:eastAsia="zh-CN"/>
              </w:rPr>
              <w:t>桶装</w:t>
            </w:r>
          </w:p>
        </w:tc>
        <w:tc>
          <w:tcPr>
            <w:tcW w:w="1322" w:type="dxa"/>
            <w:tcBorders>
              <w:tl2br w:val="nil"/>
              <w:tr2bl w:val="nil"/>
            </w:tcBorders>
            <w:vAlign w:val="center"/>
          </w:tcPr>
          <w:p w14:paraId="2EA5BE53">
            <w:pPr>
              <w:keepNext w:val="0"/>
              <w:keepLines w:val="0"/>
              <w:pageBreakBefore w:val="0"/>
              <w:widowControl/>
              <w:wordWrap/>
              <w:overflowPunct/>
              <w:topLinePunct w:val="0"/>
              <w:bidi w:val="0"/>
              <w:adjustRightInd w:val="0"/>
              <w:snapToGrid w:val="0"/>
              <w:spacing w:line="240" w:lineRule="auto"/>
              <w:ind w:firstLine="0" w:firstLineChars="0"/>
              <w:jc w:val="center"/>
              <w:rPr>
                <w:rFonts w:hint="default" w:ascii="Times New Roman" w:hAnsi="Times New Roman" w:eastAsia="Times New Roman" w:cs="Times New Roman"/>
                <w:color w:val="auto"/>
                <w:spacing w:val="0"/>
                <w:w w:val="100"/>
                <w:position w:val="0"/>
                <w:sz w:val="21"/>
                <w:szCs w:val="21"/>
              </w:rPr>
            </w:pPr>
            <w:r>
              <w:rPr>
                <w:rFonts w:hint="eastAsia" w:ascii="Times New Roman" w:hAnsi="Times New Roman" w:eastAsia="宋体" w:cs="Times New Roman"/>
                <w:color w:val="auto"/>
                <w:kern w:val="0"/>
                <w:sz w:val="21"/>
                <w:szCs w:val="21"/>
                <w:lang w:val="en-US" w:eastAsia="zh-CN"/>
              </w:rPr>
              <w:t>50</w:t>
            </w:r>
          </w:p>
        </w:tc>
        <w:tc>
          <w:tcPr>
            <w:tcW w:w="1619" w:type="dxa"/>
            <w:tcBorders>
              <w:tl2br w:val="nil"/>
              <w:tr2bl w:val="nil"/>
            </w:tcBorders>
            <w:vAlign w:val="center"/>
          </w:tcPr>
          <w:p w14:paraId="6365B3F0">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0.</w:t>
            </w:r>
            <w:r>
              <w:rPr>
                <w:rFonts w:hint="eastAsia" w:cs="Times New Roman"/>
                <w:color w:val="auto"/>
                <w:kern w:val="0"/>
                <w:sz w:val="21"/>
                <w:szCs w:val="21"/>
                <w:lang w:val="en-US" w:eastAsia="zh-CN"/>
              </w:rPr>
              <w:t>2</w:t>
            </w:r>
          </w:p>
        </w:tc>
        <w:tc>
          <w:tcPr>
            <w:tcW w:w="1063" w:type="dxa"/>
            <w:tcBorders>
              <w:tl2br w:val="nil"/>
              <w:tr2bl w:val="nil"/>
            </w:tcBorders>
            <w:vAlign w:val="center"/>
          </w:tcPr>
          <w:p w14:paraId="71D23E5D">
            <w:pPr>
              <w:keepNext w:val="0"/>
              <w:keepLines w:val="0"/>
              <w:pageBreakBefore w:val="0"/>
              <w:wordWrap/>
              <w:overflowPunct/>
              <w:topLinePunct w:val="0"/>
              <w:bidi w:val="0"/>
              <w:adjustRightInd w:val="0"/>
              <w:snapToGrid w:val="0"/>
              <w:spacing w:after="0" w:line="240" w:lineRule="auto"/>
              <w:ind w:firstLine="0" w:firstLineChars="0"/>
              <w:jc w:val="center"/>
              <w:rPr>
                <w:rFonts w:hint="default" w:ascii="Times New Roman" w:hAnsi="Times New Roman" w:eastAsia="Times New Roman" w:cs="Times New Roman"/>
                <w:color w:val="auto"/>
                <w:spacing w:val="0"/>
                <w:w w:val="100"/>
                <w:position w:val="0"/>
                <w:sz w:val="21"/>
                <w:szCs w:val="21"/>
              </w:rPr>
            </w:pPr>
            <w:r>
              <w:rPr>
                <w:rFonts w:hint="eastAsia" w:ascii="Times New Roman" w:hAnsi="Times New Roman" w:eastAsia="宋体" w:cs="Times New Roman"/>
                <w:color w:val="auto"/>
                <w:sz w:val="21"/>
                <w:szCs w:val="21"/>
                <w:lang w:val="en-US" w:eastAsia="zh-CN"/>
              </w:rPr>
              <w:t>0.00</w:t>
            </w:r>
            <w:r>
              <w:rPr>
                <w:rFonts w:hint="eastAsia" w:cs="Times New Roman"/>
                <w:color w:val="auto"/>
                <w:sz w:val="21"/>
                <w:szCs w:val="21"/>
                <w:lang w:val="en-US" w:eastAsia="zh-CN"/>
              </w:rPr>
              <w:t>4</w:t>
            </w:r>
          </w:p>
        </w:tc>
      </w:tr>
      <w:tr w14:paraId="49427E8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940" w:type="dxa"/>
            <w:gridSpan w:val="5"/>
            <w:tcBorders>
              <w:tl2br w:val="nil"/>
              <w:tr2bl w:val="nil"/>
            </w:tcBorders>
            <w:vAlign w:val="center"/>
          </w:tcPr>
          <w:p w14:paraId="1424E804">
            <w:pPr>
              <w:pStyle w:val="49"/>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合计</w:t>
            </w:r>
          </w:p>
        </w:tc>
        <w:tc>
          <w:tcPr>
            <w:tcW w:w="1063" w:type="dxa"/>
            <w:tcBorders>
              <w:tl2br w:val="nil"/>
              <w:tr2bl w:val="nil"/>
            </w:tcBorders>
            <w:vAlign w:val="center"/>
          </w:tcPr>
          <w:p w14:paraId="232EF6FD">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pacing w:val="0"/>
                <w:w w:val="100"/>
                <w:position w:val="0"/>
                <w:sz w:val="21"/>
                <w:szCs w:val="21"/>
                <w:lang w:val="en-US" w:eastAsia="zh-CN"/>
              </w:rPr>
            </w:pPr>
            <w:r>
              <w:rPr>
                <w:rFonts w:hint="eastAsia" w:ascii="Times New Roman" w:hAnsi="Times New Roman" w:eastAsia="宋体" w:cs="Times New Roman"/>
                <w:color w:val="auto"/>
                <w:sz w:val="21"/>
                <w:szCs w:val="21"/>
              </w:rPr>
              <w:t>0.</w:t>
            </w:r>
            <w:r>
              <w:rPr>
                <w:rFonts w:hint="eastAsia" w:cs="Times New Roman"/>
                <w:color w:val="auto"/>
                <w:sz w:val="21"/>
                <w:szCs w:val="21"/>
                <w:lang w:val="en-US" w:eastAsia="zh-CN"/>
              </w:rPr>
              <w:t>0524</w:t>
            </w:r>
          </w:p>
        </w:tc>
      </w:tr>
    </w:tbl>
    <w:p w14:paraId="6673A0FE">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eastAsia"/>
          <w:color w:val="auto"/>
          <w:lang w:val="en-US" w:eastAsia="zh-CN"/>
        </w:rPr>
      </w:pPr>
      <w:r>
        <w:rPr>
          <w:rFonts w:hint="default" w:ascii="Times New Roman" w:hAnsi="Times New Roman" w:eastAsia="宋体" w:cs="Times New Roman"/>
          <w:color w:val="auto"/>
          <w:spacing w:val="0"/>
          <w:w w:val="100"/>
          <w:position w:val="0"/>
        </w:rPr>
        <w:t>由表</w:t>
      </w:r>
      <w:r>
        <w:rPr>
          <w:rFonts w:hint="eastAsia" w:ascii="Times New Roman" w:hAnsi="Times New Roman" w:cs="Times New Roman"/>
          <w:color w:val="auto"/>
          <w:spacing w:val="0"/>
          <w:w w:val="100"/>
          <w:position w:val="0"/>
          <w:lang w:val="en-US" w:eastAsia="zh-CN"/>
        </w:rPr>
        <w:t>2.7-1</w:t>
      </w:r>
      <w:r>
        <w:rPr>
          <w:rFonts w:hint="default" w:ascii="Times New Roman" w:hAnsi="Times New Roman" w:eastAsia="宋体" w:cs="Times New Roman"/>
          <w:color w:val="auto"/>
          <w:spacing w:val="0"/>
          <w:w w:val="100"/>
          <w:position w:val="0"/>
        </w:rPr>
        <w:t>可知，本单位重大危险源综合辨识指标为q</w:t>
      </w:r>
      <w:r>
        <w:rPr>
          <w:rFonts w:hint="default" w:ascii="Times New Roman" w:hAnsi="Times New Roman" w:eastAsia="宋体" w:cs="Times New Roman"/>
          <w:color w:val="auto"/>
          <w:spacing w:val="0"/>
          <w:w w:val="100"/>
          <w:position w:val="0"/>
          <w:vertAlign w:val="subscript"/>
        </w:rPr>
        <w:t>n</w:t>
      </w:r>
      <w:r>
        <w:rPr>
          <w:rFonts w:hint="default" w:ascii="Times New Roman" w:hAnsi="Times New Roman" w:eastAsia="宋体" w:cs="Times New Roman"/>
          <w:color w:val="auto"/>
          <w:spacing w:val="0"/>
          <w:w w:val="100"/>
          <w:position w:val="0"/>
        </w:rPr>
        <w:t>/Q</w:t>
      </w:r>
      <w:r>
        <w:rPr>
          <w:rFonts w:hint="default" w:ascii="Times New Roman" w:hAnsi="Times New Roman" w:eastAsia="宋体" w:cs="Times New Roman"/>
          <w:color w:val="auto"/>
          <w:spacing w:val="0"/>
          <w:w w:val="100"/>
          <w:position w:val="0"/>
          <w:vertAlign w:val="subscript"/>
        </w:rPr>
        <w:t>n</w:t>
      </w:r>
      <w:r>
        <w:rPr>
          <w:rFonts w:hint="default" w:ascii="Times New Roman" w:hAnsi="Times New Roman" w:eastAsia="宋体" w:cs="Times New Roman"/>
          <w:color w:val="auto"/>
          <w:spacing w:val="0"/>
          <w:w w:val="100"/>
          <w:position w:val="0"/>
        </w:rPr>
        <w:t>﹤1，不构成重大危险源。</w:t>
      </w:r>
      <w:r>
        <w:rPr>
          <w:rFonts w:hint="eastAsia"/>
          <w:color w:val="auto"/>
          <w:lang w:val="en-US" w:eastAsia="zh-CN"/>
        </w:rPr>
        <w:br w:type="page"/>
      </w:r>
    </w:p>
    <w:p w14:paraId="56F45D61">
      <w:pPr>
        <w:pStyle w:val="4"/>
        <w:spacing w:before="156" w:after="156"/>
        <w:rPr>
          <w:color w:val="auto"/>
        </w:rPr>
      </w:pPr>
      <w:bookmarkStart w:id="33" w:name="_Toc5475"/>
      <w:r>
        <w:rPr>
          <w:rFonts w:hint="eastAsia"/>
          <w:color w:val="auto"/>
          <w:lang w:val="en-US" w:eastAsia="zh-CN"/>
        </w:rPr>
        <w:t>3</w:t>
      </w:r>
      <w:r>
        <w:rPr>
          <w:rFonts w:hint="eastAsia"/>
          <w:color w:val="auto"/>
        </w:rPr>
        <w:t>应急组织体系与职责</w:t>
      </w:r>
      <w:bookmarkEnd w:id="26"/>
      <w:bookmarkEnd w:id="33"/>
    </w:p>
    <w:p w14:paraId="5398F6EE">
      <w:pPr>
        <w:pStyle w:val="31"/>
        <w:rPr>
          <w:color w:val="auto"/>
        </w:rPr>
      </w:pPr>
      <w:r>
        <w:rPr>
          <w:color w:val="auto"/>
          <w:szCs w:val="22"/>
        </w:rPr>
        <w:t>为了提高厂区突发事件的预警和应急处置能力，保障厂区内突发环境污染事故发生后，参与救援的人员都有具体分工，并能够迅速、准确、高效地展开抢险救援工作，最大限度地降低事故造成的人员伤亡、财产损失和社会影响，组建</w:t>
      </w:r>
      <w:r>
        <w:rPr>
          <w:rFonts w:hint="eastAsia"/>
          <w:color w:val="auto"/>
          <w:lang w:val="zh-TW" w:eastAsia="zh-CN"/>
        </w:rPr>
        <w:t>抚州市富盛纸业有限公司</w:t>
      </w:r>
      <w:r>
        <w:rPr>
          <w:color w:val="auto"/>
          <w:szCs w:val="22"/>
        </w:rPr>
        <w:t>突发环境污染事故应急救援工作领导小组（简称“应急救援领导小组”），全面负责整个厂区突发环境污染事故的应急救援组织工作。应急救援领导小组最高指挥机构是应急救援指挥部，指挥部下设各个救援小组。应急指挥办公室挂靠安环部，日常应急工作由安环部负责</w:t>
      </w:r>
      <w:r>
        <w:rPr>
          <w:rFonts w:hint="eastAsia"/>
          <w:color w:val="auto"/>
        </w:rPr>
        <w:t>。</w:t>
      </w:r>
    </w:p>
    <w:p w14:paraId="7DA49A96">
      <w:pPr>
        <w:pStyle w:val="5"/>
        <w:spacing w:before="156" w:after="156"/>
        <w:rPr>
          <w:color w:val="auto"/>
        </w:rPr>
      </w:pPr>
      <w:bookmarkStart w:id="34" w:name="_Toc476314970"/>
      <w:bookmarkStart w:id="35" w:name="_Toc8548"/>
      <w:r>
        <w:rPr>
          <w:rFonts w:hint="eastAsia"/>
          <w:color w:val="auto"/>
          <w:lang w:val="en-US" w:eastAsia="zh-CN"/>
        </w:rPr>
        <w:t>3</w:t>
      </w:r>
      <w:r>
        <w:rPr>
          <w:rFonts w:hint="eastAsia"/>
          <w:color w:val="auto"/>
        </w:rPr>
        <w:t>.1指挥机构的组成</w:t>
      </w:r>
      <w:bookmarkEnd w:id="34"/>
      <w:bookmarkEnd w:id="35"/>
    </w:p>
    <w:p w14:paraId="17A9CB31">
      <w:pPr>
        <w:pStyle w:val="6"/>
        <w:spacing w:before="156" w:after="156"/>
        <w:rPr>
          <w:color w:val="auto"/>
        </w:rPr>
      </w:pPr>
      <w:r>
        <w:rPr>
          <w:rFonts w:hint="eastAsia"/>
          <w:color w:val="auto"/>
          <w:lang w:val="en-US" w:eastAsia="zh-CN"/>
        </w:rPr>
        <w:t>3</w:t>
      </w:r>
      <w:r>
        <w:rPr>
          <w:rFonts w:hint="eastAsia"/>
          <w:color w:val="auto"/>
        </w:rPr>
        <w:t>.1.1应急救援组织体系</w:t>
      </w:r>
    </w:p>
    <w:p w14:paraId="5A1FB12F">
      <w:pPr>
        <w:pStyle w:val="31"/>
        <w:rPr>
          <w:rFonts w:ascii="仿宋_GB2312" w:hAnsi="宋体" w:eastAsia="仿宋_GB2312"/>
          <w:color w:val="auto"/>
          <w:szCs w:val="28"/>
        </w:rPr>
      </w:pPr>
      <w:r>
        <w:rPr>
          <w:rFonts w:hint="eastAsia"/>
          <w:color w:val="auto"/>
          <w:lang w:eastAsia="zh-CN"/>
        </w:rPr>
        <w:t>江西洪城水业环保有限公司资溪县分公司</w:t>
      </w:r>
      <w:r>
        <w:rPr>
          <w:rFonts w:hint="eastAsia"/>
          <w:color w:val="auto"/>
        </w:rPr>
        <w:t>设突发环境事件应急指挥中心，发生突发环境事件时成立现场应急指挥部。应急救援体系见图</w:t>
      </w:r>
      <w:r>
        <w:rPr>
          <w:rFonts w:hint="eastAsia"/>
          <w:color w:val="auto"/>
          <w:lang w:eastAsia="zh-CN"/>
        </w:rPr>
        <w:t>3</w:t>
      </w:r>
      <w:r>
        <w:rPr>
          <w:rFonts w:hint="eastAsia"/>
          <w:color w:val="auto"/>
        </w:rPr>
        <w:t>.1-1。</w:t>
      </w:r>
    </w:p>
    <w:p w14:paraId="1DD37AED">
      <w:pPr>
        <w:pStyle w:val="31"/>
        <w:rPr>
          <w:color w:val="auto"/>
        </w:rPr>
      </w:pPr>
      <w:r>
        <w:rPr>
          <w:rFonts w:ascii="Times New Roman" w:cs="Times New Roman"/>
          <w:color w:val="auto"/>
        </w:rPr>
        <w:object>
          <v:shape id="_x0000_i1026" o:spt="75" type="#_x0000_t75" style="height:228.05pt;width:321pt;" o:ole="t" filled="f" o:preferrelative="t" stroked="f" coordsize="21600,21600">
            <v:path/>
            <v:fill on="f" focussize="0,0"/>
            <v:stroke on="f"/>
            <v:imagedata r:id="rId20" o:title=""/>
            <o:lock v:ext="edit" aspectratio="t"/>
            <w10:wrap type="none"/>
            <w10:anchorlock/>
          </v:shape>
          <o:OLEObject Type="Embed" ProgID="Visio.Drawing.11" ShapeID="_x0000_i1026" DrawAspect="Content" ObjectID="_1468075726" r:id="rId19">
            <o:LockedField>false</o:LockedField>
          </o:OLEObject>
        </w:object>
      </w:r>
    </w:p>
    <w:p w14:paraId="4BCC30AC">
      <w:pPr>
        <w:pStyle w:val="31"/>
        <w:spacing w:afterLines="50"/>
        <w:ind w:firstLine="482"/>
        <w:jc w:val="center"/>
        <w:rPr>
          <w:b/>
          <w:bCs/>
          <w:color w:val="auto"/>
        </w:rPr>
      </w:pPr>
      <w:r>
        <w:rPr>
          <w:rFonts w:hint="eastAsia"/>
          <w:b/>
          <w:bCs/>
          <w:color w:val="auto"/>
        </w:rPr>
        <w:t>图</w:t>
      </w:r>
      <w:r>
        <w:rPr>
          <w:rFonts w:hint="eastAsia"/>
          <w:b/>
          <w:bCs/>
          <w:color w:val="auto"/>
          <w:lang w:eastAsia="zh-CN"/>
        </w:rPr>
        <w:t>3</w:t>
      </w:r>
      <w:r>
        <w:rPr>
          <w:rFonts w:hint="eastAsia"/>
          <w:b/>
          <w:bCs/>
          <w:color w:val="auto"/>
        </w:rPr>
        <w:t>.1-1   应急救援体系图</w:t>
      </w:r>
    </w:p>
    <w:p w14:paraId="67C1E200">
      <w:pPr>
        <w:pStyle w:val="6"/>
        <w:spacing w:before="156" w:after="156"/>
        <w:rPr>
          <w:color w:val="auto"/>
        </w:rPr>
      </w:pPr>
      <w:r>
        <w:rPr>
          <w:rFonts w:hint="eastAsia"/>
          <w:color w:val="auto"/>
          <w:lang w:eastAsia="zh-CN"/>
        </w:rPr>
        <w:t>3</w:t>
      </w:r>
      <w:r>
        <w:rPr>
          <w:rFonts w:hint="eastAsia"/>
          <w:color w:val="auto"/>
        </w:rPr>
        <w:t>.1.1应急指挥机构组成</w:t>
      </w:r>
    </w:p>
    <w:p w14:paraId="50F17F5E">
      <w:pPr>
        <w:pStyle w:val="31"/>
        <w:rPr>
          <w:color w:val="auto"/>
        </w:rPr>
      </w:pPr>
      <w:r>
        <w:rPr>
          <w:rFonts w:hint="eastAsia"/>
          <w:color w:val="auto"/>
        </w:rPr>
        <w:t>(1)应急指挥中心</w:t>
      </w:r>
    </w:p>
    <w:p w14:paraId="69B5CC80">
      <w:pPr>
        <w:pStyle w:val="31"/>
        <w:rPr>
          <w:color w:val="auto"/>
        </w:rPr>
      </w:pPr>
      <w:r>
        <w:rPr>
          <w:rFonts w:hint="eastAsia"/>
          <w:color w:val="auto"/>
        </w:rPr>
        <w:t>公司应急指挥中心由总指挥、副总指挥、指挥中心成员组成。具体组成如下：</w:t>
      </w:r>
    </w:p>
    <w:p w14:paraId="0505F300">
      <w:pPr>
        <w:pStyle w:val="31"/>
        <w:rPr>
          <w:color w:val="auto"/>
          <w:sz w:val="24"/>
          <w:szCs w:val="24"/>
        </w:rPr>
      </w:pPr>
      <w:r>
        <w:rPr>
          <w:rFonts w:hint="eastAsia"/>
          <w:color w:val="auto"/>
        </w:rPr>
        <w:t>总指</w:t>
      </w:r>
      <w:r>
        <w:rPr>
          <w:rFonts w:hint="eastAsia"/>
          <w:color w:val="auto"/>
          <w:sz w:val="24"/>
          <w:szCs w:val="24"/>
        </w:rPr>
        <w:t>挥：</w:t>
      </w:r>
      <w:r>
        <w:rPr>
          <w:rFonts w:hint="eastAsia"/>
          <w:color w:val="auto"/>
          <w:sz w:val="24"/>
          <w:szCs w:val="24"/>
          <w:lang w:val="en-US" w:eastAsia="zh-CN"/>
        </w:rPr>
        <w:t xml:space="preserve"> 厂长</w:t>
      </w:r>
    </w:p>
    <w:p w14:paraId="4D8B239D">
      <w:pPr>
        <w:pStyle w:val="31"/>
        <w:rPr>
          <w:color w:val="auto"/>
          <w:sz w:val="24"/>
          <w:szCs w:val="24"/>
        </w:rPr>
      </w:pPr>
      <w:r>
        <w:rPr>
          <w:rFonts w:hint="eastAsia"/>
          <w:color w:val="auto"/>
          <w:sz w:val="24"/>
          <w:szCs w:val="24"/>
        </w:rPr>
        <w:t>副总指挥：</w:t>
      </w:r>
      <w:r>
        <w:rPr>
          <w:rFonts w:hint="eastAsia" w:cs="Times New Roman"/>
          <w:color w:val="auto"/>
          <w:sz w:val="24"/>
          <w:szCs w:val="24"/>
          <w:lang w:val="en-US" w:eastAsia="zh-CN" w:bidi="ar-SA"/>
        </w:rPr>
        <w:t>生产</w:t>
      </w:r>
      <w:r>
        <w:rPr>
          <w:rFonts w:hint="default" w:ascii="Times New Roman" w:hAnsi="Times New Roman" w:cs="Times New Roman"/>
          <w:color w:val="auto"/>
          <w:sz w:val="24"/>
          <w:szCs w:val="24"/>
          <w:lang w:val="en-US" w:eastAsia="zh-CN" w:bidi="ar-SA"/>
        </w:rPr>
        <w:t>部长</w:t>
      </w:r>
    </w:p>
    <w:p w14:paraId="10771A86">
      <w:pPr>
        <w:pStyle w:val="31"/>
        <w:rPr>
          <w:color w:val="auto"/>
          <w:sz w:val="24"/>
          <w:szCs w:val="24"/>
        </w:rPr>
      </w:pPr>
      <w:r>
        <w:rPr>
          <w:rFonts w:hint="eastAsia"/>
          <w:color w:val="auto"/>
          <w:sz w:val="24"/>
          <w:szCs w:val="24"/>
        </w:rPr>
        <w:t>指挥中心成员：</w:t>
      </w:r>
      <w:r>
        <w:rPr>
          <w:rFonts w:hint="eastAsia"/>
          <w:color w:val="auto"/>
          <w:sz w:val="24"/>
          <w:szCs w:val="24"/>
          <w:lang w:val="en-US" w:eastAsia="zh-CN"/>
        </w:rPr>
        <w:t>通讯联络组、医疗救护组、抢险救灾</w:t>
      </w:r>
      <w:r>
        <w:rPr>
          <w:rFonts w:hint="eastAsia"/>
          <w:color w:val="auto"/>
          <w:sz w:val="24"/>
          <w:szCs w:val="24"/>
        </w:rPr>
        <w:t>组、</w:t>
      </w:r>
      <w:r>
        <w:rPr>
          <w:rFonts w:hint="eastAsia"/>
          <w:color w:val="auto"/>
          <w:sz w:val="24"/>
          <w:szCs w:val="24"/>
          <w:lang w:val="en-US" w:eastAsia="zh-CN"/>
        </w:rPr>
        <w:t>治安警戒组、治安</w:t>
      </w:r>
      <w:r>
        <w:rPr>
          <w:rFonts w:hint="eastAsia"/>
          <w:color w:val="auto"/>
          <w:sz w:val="24"/>
          <w:szCs w:val="24"/>
        </w:rPr>
        <w:t>疏散组、</w:t>
      </w:r>
      <w:r>
        <w:rPr>
          <w:rFonts w:hint="eastAsia"/>
          <w:color w:val="auto"/>
          <w:sz w:val="24"/>
          <w:szCs w:val="24"/>
          <w:lang w:val="en-US" w:eastAsia="zh-CN"/>
        </w:rPr>
        <w:t>应急</w:t>
      </w:r>
      <w:r>
        <w:rPr>
          <w:rFonts w:hint="eastAsia"/>
          <w:color w:val="auto"/>
          <w:sz w:val="24"/>
          <w:szCs w:val="24"/>
        </w:rPr>
        <w:t>监测组、后勤保障组</w:t>
      </w:r>
    </w:p>
    <w:p w14:paraId="51B9D7CD">
      <w:pPr>
        <w:pStyle w:val="31"/>
        <w:rPr>
          <w:color w:val="auto"/>
          <w:sz w:val="24"/>
          <w:szCs w:val="24"/>
        </w:rPr>
      </w:pPr>
      <w:r>
        <w:rPr>
          <w:rFonts w:hint="eastAsia"/>
          <w:color w:val="auto"/>
          <w:sz w:val="24"/>
          <w:szCs w:val="24"/>
        </w:rPr>
        <w:t>(2)应急办公室</w:t>
      </w:r>
    </w:p>
    <w:p w14:paraId="7EFE778B">
      <w:pPr>
        <w:pStyle w:val="31"/>
        <w:rPr>
          <w:color w:val="auto"/>
          <w:sz w:val="24"/>
          <w:szCs w:val="24"/>
        </w:rPr>
      </w:pPr>
      <w:r>
        <w:rPr>
          <w:rFonts w:hint="eastAsia"/>
          <w:color w:val="auto"/>
          <w:sz w:val="24"/>
          <w:szCs w:val="24"/>
          <w:lang w:eastAsia="zh-CN"/>
        </w:rPr>
        <w:t>江西洪城水业环保有限公司资溪县分公司应急指挥中心</w:t>
      </w:r>
      <w:r>
        <w:rPr>
          <w:rFonts w:hint="eastAsia"/>
          <w:color w:val="auto"/>
          <w:sz w:val="24"/>
          <w:szCs w:val="24"/>
        </w:rPr>
        <w:t>设立环境应急工作日常办事机构，设在中控室，实行24小时值班制度。24小时负责人为</w:t>
      </w:r>
      <w:r>
        <w:rPr>
          <w:rFonts w:hint="eastAsia"/>
          <w:color w:val="auto"/>
          <w:sz w:val="24"/>
          <w:szCs w:val="24"/>
          <w:lang w:eastAsia="zh-CN"/>
        </w:rPr>
        <w:t>生产部长</w:t>
      </w:r>
      <w:r>
        <w:rPr>
          <w:rFonts w:hint="eastAsia"/>
          <w:color w:val="auto"/>
          <w:sz w:val="24"/>
          <w:szCs w:val="24"/>
        </w:rPr>
        <w:t>，值班电话为</w:t>
      </w:r>
      <w:r>
        <w:rPr>
          <w:rFonts w:hint="eastAsia"/>
          <w:color w:val="auto"/>
          <w:sz w:val="24"/>
          <w:szCs w:val="24"/>
          <w:lang w:val="en-US" w:eastAsia="zh-CN"/>
        </w:rPr>
        <w:t>15216257357</w:t>
      </w:r>
      <w:r>
        <w:rPr>
          <w:rFonts w:hint="eastAsia"/>
          <w:color w:val="auto"/>
          <w:sz w:val="24"/>
          <w:szCs w:val="24"/>
        </w:rPr>
        <w:t>。</w:t>
      </w:r>
    </w:p>
    <w:p w14:paraId="306A299E">
      <w:pPr>
        <w:pStyle w:val="31"/>
        <w:rPr>
          <w:color w:val="auto"/>
          <w:sz w:val="24"/>
          <w:szCs w:val="24"/>
        </w:rPr>
      </w:pPr>
      <w:r>
        <w:rPr>
          <w:rFonts w:hint="eastAsia"/>
          <w:color w:val="auto"/>
          <w:sz w:val="24"/>
          <w:szCs w:val="24"/>
        </w:rPr>
        <w:t>(3)现场应急指挥部</w:t>
      </w:r>
    </w:p>
    <w:p w14:paraId="3F753DD4">
      <w:pPr>
        <w:pStyle w:val="31"/>
        <w:rPr>
          <w:color w:val="auto"/>
          <w:sz w:val="24"/>
          <w:szCs w:val="24"/>
        </w:rPr>
      </w:pPr>
      <w:r>
        <w:rPr>
          <w:rFonts w:hint="eastAsia"/>
          <w:color w:val="auto"/>
          <w:sz w:val="24"/>
          <w:szCs w:val="24"/>
        </w:rPr>
        <w:t>总指挥：</w:t>
      </w:r>
      <w:r>
        <w:rPr>
          <w:rFonts w:hint="eastAsia"/>
          <w:color w:val="auto"/>
          <w:sz w:val="24"/>
          <w:szCs w:val="24"/>
          <w:lang w:val="en-US" w:eastAsia="zh-CN"/>
        </w:rPr>
        <w:t>厂长</w:t>
      </w:r>
    </w:p>
    <w:p w14:paraId="0A32153A">
      <w:pPr>
        <w:pStyle w:val="31"/>
        <w:rPr>
          <w:rFonts w:hint="eastAsia" w:eastAsia="宋体"/>
          <w:color w:val="auto"/>
          <w:sz w:val="24"/>
          <w:szCs w:val="24"/>
          <w:lang w:eastAsia="zh-CN"/>
        </w:rPr>
      </w:pPr>
      <w:r>
        <w:rPr>
          <w:rFonts w:hint="eastAsia"/>
          <w:color w:val="auto"/>
          <w:sz w:val="24"/>
          <w:szCs w:val="24"/>
        </w:rPr>
        <w:t>副总指挥：</w:t>
      </w:r>
      <w:r>
        <w:rPr>
          <w:rFonts w:hint="eastAsia" w:cs="Times New Roman"/>
          <w:color w:val="auto"/>
          <w:sz w:val="24"/>
          <w:szCs w:val="24"/>
          <w:lang w:val="en-US" w:eastAsia="zh-CN" w:bidi="ar-SA"/>
        </w:rPr>
        <w:t>生产</w:t>
      </w:r>
      <w:r>
        <w:rPr>
          <w:rFonts w:hint="default" w:ascii="Times New Roman" w:hAnsi="Times New Roman" w:cs="Times New Roman"/>
          <w:color w:val="auto"/>
          <w:sz w:val="24"/>
          <w:szCs w:val="24"/>
          <w:lang w:val="en-US" w:eastAsia="zh-CN" w:bidi="ar-SA"/>
        </w:rPr>
        <w:t>部长</w:t>
      </w:r>
    </w:p>
    <w:p w14:paraId="4AC9C257">
      <w:pPr>
        <w:pStyle w:val="31"/>
        <w:rPr>
          <w:color w:val="auto"/>
        </w:rPr>
      </w:pPr>
      <w:r>
        <w:rPr>
          <w:rFonts w:hint="eastAsia"/>
          <w:color w:val="auto"/>
        </w:rPr>
        <w:t>成员：各应急救援小组组长</w:t>
      </w:r>
    </w:p>
    <w:p w14:paraId="0CFE4863">
      <w:pPr>
        <w:pStyle w:val="31"/>
        <w:rPr>
          <w:color w:val="auto"/>
        </w:rPr>
      </w:pPr>
      <w:r>
        <w:rPr>
          <w:rFonts w:hint="eastAsia"/>
          <w:color w:val="auto"/>
        </w:rPr>
        <w:t>(4)各应急救援组</w:t>
      </w:r>
    </w:p>
    <w:p w14:paraId="0DE75B7A">
      <w:pPr>
        <w:autoSpaceDE w:val="0"/>
        <w:autoSpaceDN w:val="0"/>
        <w:ind w:firstLine="480"/>
        <w:jc w:val="left"/>
        <w:rPr>
          <w:rFonts w:ascii="Times New Roman" w:hAnsi="Times New Roman" w:cs="Times New Roman"/>
          <w:color w:val="auto"/>
        </w:rPr>
      </w:pPr>
      <w:bookmarkStart w:id="36" w:name="_Toc476314971"/>
      <w:r>
        <w:rPr>
          <w:rFonts w:ascii="Times New Roman" w:hAnsi="Times New Roman" w:cs="Times New Roman"/>
          <w:color w:val="auto"/>
        </w:rPr>
        <w:t>在发生事故时，各应急小组按各自职责分工开展应急救援工作。通过平时的演习、训练，完善事故应急预案。</w:t>
      </w:r>
    </w:p>
    <w:p w14:paraId="0BC9E702">
      <w:pPr>
        <w:autoSpaceDE w:val="0"/>
        <w:autoSpaceDN w:val="0"/>
        <w:ind w:firstLine="480"/>
        <w:jc w:val="left"/>
        <w:rPr>
          <w:rFonts w:ascii="Times New Roman" w:hAnsi="Times New Roman" w:cs="Times New Roman"/>
          <w:color w:val="auto"/>
        </w:rPr>
      </w:pPr>
      <w:r>
        <w:rPr>
          <w:rFonts w:ascii="Times New Roman" w:hAnsi="Times New Roman" w:cs="Times New Roman"/>
          <w:color w:val="auto"/>
        </w:rPr>
        <w:t>各应急小组成员组成如下：</w:t>
      </w:r>
    </w:p>
    <w:tbl>
      <w:tblPr>
        <w:tblStyle w:val="23"/>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45"/>
        <w:gridCol w:w="1047"/>
        <w:gridCol w:w="1237"/>
        <w:gridCol w:w="1439"/>
        <w:gridCol w:w="738"/>
        <w:gridCol w:w="1612"/>
        <w:gridCol w:w="2001"/>
      </w:tblGrid>
      <w:tr w14:paraId="6B66F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1" w:type="pct"/>
          </w:tcPr>
          <w:p w14:paraId="27BEDC94">
            <w:pPr>
              <w:spacing w:line="240" w:lineRule="auto"/>
              <w:ind w:firstLine="0" w:firstLineChars="0"/>
              <w:jc w:val="center"/>
              <w:rPr>
                <w:rFonts w:eastAsiaTheme="minorEastAsia"/>
                <w:color w:val="auto"/>
                <w:sz w:val="21"/>
                <w:szCs w:val="21"/>
              </w:rPr>
            </w:pPr>
            <w:bookmarkStart w:id="37" w:name="_Toc2543"/>
            <w:r>
              <w:rPr>
                <w:rFonts w:eastAsiaTheme="minorEastAsia"/>
                <w:color w:val="auto"/>
                <w:sz w:val="21"/>
                <w:szCs w:val="21"/>
              </w:rPr>
              <w:t>№</w:t>
            </w:r>
          </w:p>
        </w:tc>
        <w:tc>
          <w:tcPr>
            <w:tcW w:w="614" w:type="pct"/>
          </w:tcPr>
          <w:p w14:paraId="64C52077">
            <w:pPr>
              <w:spacing w:line="240" w:lineRule="auto"/>
              <w:ind w:firstLine="0" w:firstLineChars="0"/>
              <w:jc w:val="center"/>
              <w:rPr>
                <w:rFonts w:eastAsiaTheme="minorEastAsia"/>
                <w:color w:val="auto"/>
                <w:sz w:val="21"/>
                <w:szCs w:val="21"/>
              </w:rPr>
            </w:pPr>
            <w:r>
              <w:rPr>
                <w:rFonts w:eastAsiaTheme="minorEastAsia"/>
                <w:color w:val="auto"/>
                <w:sz w:val="21"/>
                <w:szCs w:val="21"/>
              </w:rPr>
              <w:t>姓名</w:t>
            </w:r>
          </w:p>
        </w:tc>
        <w:tc>
          <w:tcPr>
            <w:tcW w:w="1570" w:type="pct"/>
            <w:gridSpan w:val="2"/>
          </w:tcPr>
          <w:p w14:paraId="599AC996">
            <w:pPr>
              <w:spacing w:line="240" w:lineRule="auto"/>
              <w:ind w:firstLine="0" w:firstLineChars="0"/>
              <w:jc w:val="center"/>
              <w:rPr>
                <w:rFonts w:eastAsiaTheme="minorEastAsia"/>
                <w:color w:val="auto"/>
                <w:sz w:val="21"/>
                <w:szCs w:val="21"/>
              </w:rPr>
            </w:pPr>
            <w:r>
              <w:rPr>
                <w:rFonts w:eastAsiaTheme="minorEastAsia"/>
                <w:color w:val="auto"/>
                <w:sz w:val="21"/>
                <w:szCs w:val="21"/>
              </w:rPr>
              <w:t>指挥小组职务</w:t>
            </w:r>
          </w:p>
        </w:tc>
        <w:tc>
          <w:tcPr>
            <w:tcW w:w="1379" w:type="pct"/>
            <w:gridSpan w:val="2"/>
          </w:tcPr>
          <w:p w14:paraId="2F9905CC">
            <w:pPr>
              <w:spacing w:line="240" w:lineRule="auto"/>
              <w:ind w:firstLine="0" w:firstLineChars="0"/>
              <w:jc w:val="center"/>
              <w:rPr>
                <w:rFonts w:eastAsiaTheme="minorEastAsia"/>
                <w:color w:val="auto"/>
                <w:sz w:val="21"/>
                <w:szCs w:val="21"/>
              </w:rPr>
            </w:pPr>
            <w:r>
              <w:rPr>
                <w:rFonts w:eastAsiaTheme="minorEastAsia"/>
                <w:color w:val="auto"/>
                <w:sz w:val="21"/>
                <w:szCs w:val="21"/>
              </w:rPr>
              <w:t>部门或</w:t>
            </w:r>
            <w:r>
              <w:rPr>
                <w:rFonts w:hint="eastAsia" w:eastAsiaTheme="minorEastAsia"/>
                <w:color w:val="auto"/>
                <w:sz w:val="21"/>
                <w:szCs w:val="21"/>
                <w:lang w:val="en-US" w:eastAsia="zh-CN"/>
              </w:rPr>
              <w:t>厂内</w:t>
            </w:r>
            <w:r>
              <w:rPr>
                <w:rFonts w:eastAsiaTheme="minorEastAsia"/>
                <w:color w:val="auto"/>
                <w:sz w:val="21"/>
                <w:szCs w:val="21"/>
              </w:rPr>
              <w:t>职务</w:t>
            </w:r>
          </w:p>
        </w:tc>
        <w:tc>
          <w:tcPr>
            <w:tcW w:w="1174" w:type="pct"/>
          </w:tcPr>
          <w:p w14:paraId="635BA0E4">
            <w:pPr>
              <w:spacing w:line="240" w:lineRule="auto"/>
              <w:ind w:firstLine="0" w:firstLineChars="0"/>
              <w:jc w:val="center"/>
              <w:rPr>
                <w:rFonts w:eastAsiaTheme="minorEastAsia"/>
                <w:color w:val="auto"/>
                <w:sz w:val="21"/>
                <w:szCs w:val="21"/>
              </w:rPr>
            </w:pPr>
            <w:r>
              <w:rPr>
                <w:rFonts w:eastAsiaTheme="minorEastAsia"/>
                <w:color w:val="auto"/>
                <w:sz w:val="21"/>
                <w:szCs w:val="21"/>
              </w:rPr>
              <w:t>手机</w:t>
            </w:r>
          </w:p>
        </w:tc>
      </w:tr>
      <w:tr w14:paraId="39DAE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trPr>
        <w:tc>
          <w:tcPr>
            <w:tcW w:w="261" w:type="pct"/>
            <w:shd w:val="clear" w:color="auto" w:fill="auto"/>
          </w:tcPr>
          <w:p w14:paraId="651B646F">
            <w:pPr>
              <w:spacing w:line="240" w:lineRule="auto"/>
              <w:ind w:firstLine="0" w:firstLineChars="0"/>
              <w:jc w:val="center"/>
              <w:rPr>
                <w:rFonts w:eastAsiaTheme="minorEastAsia"/>
                <w:color w:val="auto"/>
                <w:sz w:val="21"/>
                <w:szCs w:val="21"/>
              </w:rPr>
            </w:pPr>
            <w:r>
              <w:rPr>
                <w:rFonts w:eastAsiaTheme="minorEastAsia"/>
                <w:color w:val="auto"/>
                <w:sz w:val="21"/>
                <w:szCs w:val="21"/>
              </w:rPr>
              <w:t>1</w:t>
            </w:r>
          </w:p>
        </w:tc>
        <w:tc>
          <w:tcPr>
            <w:tcW w:w="614" w:type="pct"/>
            <w:shd w:val="clear" w:color="auto" w:fill="auto"/>
            <w:vAlign w:val="center"/>
          </w:tcPr>
          <w:p w14:paraId="148202D3">
            <w:pPr>
              <w:pStyle w:val="42"/>
              <w:ind w:firstLine="0" w:firstLineChars="0"/>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汪桂萍</w:t>
            </w:r>
          </w:p>
        </w:tc>
        <w:tc>
          <w:tcPr>
            <w:tcW w:w="1570" w:type="pct"/>
            <w:gridSpan w:val="2"/>
            <w:shd w:val="clear" w:color="auto" w:fill="FFFFFF"/>
            <w:vAlign w:val="center"/>
          </w:tcPr>
          <w:p w14:paraId="7E9DA707">
            <w:pPr>
              <w:spacing w:line="240" w:lineRule="auto"/>
              <w:ind w:firstLine="0" w:firstLineChars="0"/>
              <w:jc w:val="center"/>
              <w:rPr>
                <w:rFonts w:eastAsiaTheme="minorEastAsia"/>
                <w:color w:val="auto"/>
                <w:sz w:val="21"/>
                <w:szCs w:val="21"/>
              </w:rPr>
            </w:pPr>
            <w:r>
              <w:rPr>
                <w:rFonts w:eastAsiaTheme="minorEastAsia"/>
                <w:color w:val="auto"/>
                <w:sz w:val="21"/>
                <w:szCs w:val="21"/>
              </w:rPr>
              <w:t>总指挥</w:t>
            </w:r>
          </w:p>
        </w:tc>
        <w:tc>
          <w:tcPr>
            <w:tcW w:w="1379" w:type="pct"/>
            <w:gridSpan w:val="2"/>
            <w:vAlign w:val="center"/>
          </w:tcPr>
          <w:p w14:paraId="6D1A0180">
            <w:pPr>
              <w:pStyle w:val="42"/>
              <w:ind w:firstLine="0" w:firstLineChars="0"/>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厂长</w:t>
            </w:r>
          </w:p>
        </w:tc>
        <w:tc>
          <w:tcPr>
            <w:tcW w:w="1174" w:type="pct"/>
            <w:vAlign w:val="center"/>
          </w:tcPr>
          <w:p w14:paraId="20761C1F">
            <w:pPr>
              <w:pStyle w:val="42"/>
              <w:ind w:firstLine="0" w:firstLineChars="0"/>
              <w:rPr>
                <w:rFonts w:hint="default" w:ascii="Times New Roman" w:hAnsi="Times New Roman" w:eastAsia="宋体" w:cs="Times New Roman"/>
                <w:color w:val="auto"/>
                <w:sz w:val="21"/>
                <w:szCs w:val="21"/>
                <w:lang w:val="en-US" w:eastAsia="zh-CN" w:bidi="ar-SA"/>
              </w:rPr>
            </w:pPr>
            <w:r>
              <w:rPr>
                <w:rFonts w:hint="eastAsia" w:ascii="宋体" w:hAnsi="宋体" w:eastAsia="宋体" w:cs="宋体"/>
                <w:color w:val="auto"/>
                <w:sz w:val="21"/>
                <w:szCs w:val="21"/>
                <w:lang w:val="en-US" w:eastAsia="zh-CN"/>
              </w:rPr>
              <w:t>13879466693</w:t>
            </w:r>
          </w:p>
        </w:tc>
      </w:tr>
      <w:tr w14:paraId="29F4E5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trPr>
        <w:tc>
          <w:tcPr>
            <w:tcW w:w="261" w:type="pct"/>
            <w:shd w:val="clear" w:color="auto" w:fill="auto"/>
            <w:vAlign w:val="top"/>
          </w:tcPr>
          <w:p w14:paraId="1CC64ACE">
            <w:pPr>
              <w:spacing w:line="240" w:lineRule="auto"/>
              <w:ind w:firstLine="0" w:firstLineChars="0"/>
              <w:jc w:val="center"/>
              <w:rPr>
                <w:rFonts w:hint="eastAsia" w:ascii="Times New Roman" w:hAnsi="Times New Roman" w:cs="Times New Roman" w:eastAsiaTheme="minorEastAsia"/>
                <w:color w:val="auto"/>
                <w:sz w:val="21"/>
                <w:szCs w:val="21"/>
                <w:lang w:val="en-US" w:eastAsia="zh-CN" w:bidi="ar-SA"/>
              </w:rPr>
            </w:pPr>
            <w:r>
              <w:rPr>
                <w:rFonts w:hint="eastAsia" w:eastAsiaTheme="minorEastAsia"/>
                <w:color w:val="auto"/>
                <w:sz w:val="21"/>
                <w:szCs w:val="21"/>
                <w:lang w:val="en-US" w:eastAsia="zh-CN"/>
              </w:rPr>
              <w:t>2</w:t>
            </w:r>
          </w:p>
        </w:tc>
        <w:tc>
          <w:tcPr>
            <w:tcW w:w="614" w:type="pct"/>
            <w:shd w:val="clear" w:color="auto" w:fill="auto"/>
            <w:vAlign w:val="center"/>
          </w:tcPr>
          <w:p w14:paraId="1A72FA37">
            <w:pPr>
              <w:pStyle w:val="42"/>
              <w:ind w:firstLine="0" w:firstLineChars="0"/>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余健敏</w:t>
            </w:r>
          </w:p>
        </w:tc>
        <w:tc>
          <w:tcPr>
            <w:tcW w:w="1570" w:type="pct"/>
            <w:gridSpan w:val="2"/>
            <w:shd w:val="clear" w:color="auto" w:fill="FFFFFF"/>
            <w:vAlign w:val="center"/>
          </w:tcPr>
          <w:p w14:paraId="63120529">
            <w:pPr>
              <w:spacing w:line="240" w:lineRule="auto"/>
              <w:ind w:firstLine="0" w:firstLineChars="0"/>
              <w:jc w:val="center"/>
              <w:rPr>
                <w:rFonts w:eastAsiaTheme="minorEastAsia"/>
                <w:color w:val="auto"/>
                <w:sz w:val="21"/>
                <w:szCs w:val="21"/>
              </w:rPr>
            </w:pPr>
            <w:r>
              <w:rPr>
                <w:rFonts w:hint="eastAsia" w:eastAsiaTheme="minorEastAsia"/>
                <w:color w:val="auto"/>
                <w:sz w:val="21"/>
                <w:szCs w:val="21"/>
                <w:lang w:eastAsia="zh-CN"/>
              </w:rPr>
              <w:t>副</w:t>
            </w:r>
            <w:r>
              <w:rPr>
                <w:rFonts w:eastAsiaTheme="minorEastAsia"/>
                <w:color w:val="auto"/>
                <w:sz w:val="21"/>
                <w:szCs w:val="21"/>
              </w:rPr>
              <w:t>总指挥</w:t>
            </w:r>
          </w:p>
        </w:tc>
        <w:tc>
          <w:tcPr>
            <w:tcW w:w="1379" w:type="pct"/>
            <w:gridSpan w:val="2"/>
            <w:vAlign w:val="center"/>
          </w:tcPr>
          <w:p w14:paraId="21122844">
            <w:pPr>
              <w:pStyle w:val="42"/>
              <w:ind w:firstLine="0" w:firstLineChars="0"/>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生产技术部长</w:t>
            </w:r>
          </w:p>
        </w:tc>
        <w:tc>
          <w:tcPr>
            <w:tcW w:w="1174" w:type="pct"/>
            <w:vAlign w:val="center"/>
          </w:tcPr>
          <w:p w14:paraId="0E1C19DE">
            <w:pPr>
              <w:pStyle w:val="42"/>
              <w:ind w:firstLine="0" w:firstLineChars="0"/>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15216257357</w:t>
            </w:r>
          </w:p>
        </w:tc>
      </w:tr>
      <w:tr w14:paraId="795FE5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61" w:type="pct"/>
            <w:shd w:val="clear" w:color="auto" w:fill="auto"/>
            <w:vAlign w:val="top"/>
          </w:tcPr>
          <w:p w14:paraId="51B8DBB9">
            <w:pPr>
              <w:spacing w:line="240" w:lineRule="auto"/>
              <w:ind w:firstLine="0" w:firstLineChars="0"/>
              <w:jc w:val="center"/>
              <w:rPr>
                <w:rFonts w:hint="eastAsia" w:ascii="Times New Roman" w:hAnsi="Times New Roman" w:cs="Times New Roman" w:eastAsiaTheme="minorEastAsia"/>
                <w:color w:val="auto"/>
                <w:sz w:val="21"/>
                <w:szCs w:val="21"/>
                <w:lang w:val="en-US" w:eastAsia="zh-CN" w:bidi="ar-SA"/>
              </w:rPr>
            </w:pPr>
            <w:r>
              <w:rPr>
                <w:rFonts w:hint="eastAsia" w:eastAsiaTheme="minorEastAsia"/>
                <w:color w:val="auto"/>
                <w:sz w:val="21"/>
                <w:szCs w:val="21"/>
                <w:lang w:val="en-US" w:eastAsia="zh-CN"/>
              </w:rPr>
              <w:t>3</w:t>
            </w:r>
          </w:p>
        </w:tc>
        <w:tc>
          <w:tcPr>
            <w:tcW w:w="614" w:type="pct"/>
            <w:shd w:val="clear" w:color="auto" w:fill="auto"/>
            <w:vAlign w:val="center"/>
          </w:tcPr>
          <w:p w14:paraId="1B959E07">
            <w:pPr>
              <w:spacing w:line="240" w:lineRule="auto"/>
              <w:ind w:firstLine="0" w:firstLineChars="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李姝玉</w:t>
            </w:r>
          </w:p>
        </w:tc>
        <w:tc>
          <w:tcPr>
            <w:tcW w:w="1570" w:type="pct"/>
            <w:gridSpan w:val="2"/>
            <w:shd w:val="clear" w:color="auto" w:fill="FFFFFF"/>
            <w:vAlign w:val="center"/>
          </w:tcPr>
          <w:p w14:paraId="36C2A623">
            <w:pPr>
              <w:spacing w:line="240" w:lineRule="auto"/>
              <w:ind w:firstLine="0" w:firstLineChars="0"/>
              <w:jc w:val="center"/>
              <w:rPr>
                <w:rFonts w:eastAsiaTheme="minorEastAsia"/>
                <w:color w:val="auto"/>
                <w:sz w:val="21"/>
                <w:szCs w:val="21"/>
              </w:rPr>
            </w:pPr>
            <w:r>
              <w:rPr>
                <w:rFonts w:eastAsiaTheme="minorEastAsia"/>
                <w:color w:val="auto"/>
                <w:sz w:val="21"/>
                <w:szCs w:val="21"/>
              </w:rPr>
              <w:t>通讯联络组组长</w:t>
            </w:r>
          </w:p>
        </w:tc>
        <w:tc>
          <w:tcPr>
            <w:tcW w:w="1379" w:type="pct"/>
            <w:gridSpan w:val="2"/>
            <w:vAlign w:val="center"/>
          </w:tcPr>
          <w:p w14:paraId="25392C07">
            <w:pPr>
              <w:pStyle w:val="42"/>
              <w:ind w:firstLine="0" w:firstLineChars="0"/>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综合干事</w:t>
            </w:r>
          </w:p>
        </w:tc>
        <w:tc>
          <w:tcPr>
            <w:tcW w:w="1174" w:type="pct"/>
            <w:vAlign w:val="center"/>
          </w:tcPr>
          <w:p w14:paraId="27C62885">
            <w:pPr>
              <w:pStyle w:val="42"/>
              <w:ind w:firstLine="0" w:firstLineChars="0"/>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13320190031</w:t>
            </w:r>
          </w:p>
        </w:tc>
      </w:tr>
      <w:tr w14:paraId="205C9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1" w:type="pct"/>
            <w:shd w:val="clear" w:color="auto" w:fill="auto"/>
            <w:vAlign w:val="top"/>
          </w:tcPr>
          <w:p w14:paraId="6FD35137">
            <w:pPr>
              <w:spacing w:line="240" w:lineRule="auto"/>
              <w:ind w:firstLine="0" w:firstLineChars="0"/>
              <w:jc w:val="center"/>
              <w:rPr>
                <w:rFonts w:hint="eastAsia" w:ascii="Times New Roman" w:hAnsi="Times New Roman" w:cs="Times New Roman" w:eastAsiaTheme="minorEastAsia"/>
                <w:color w:val="auto"/>
                <w:sz w:val="21"/>
                <w:szCs w:val="21"/>
                <w:lang w:val="en-US" w:eastAsia="zh-CN" w:bidi="ar-SA"/>
              </w:rPr>
            </w:pPr>
            <w:r>
              <w:rPr>
                <w:rFonts w:hint="eastAsia" w:eastAsiaTheme="minorEastAsia"/>
                <w:color w:val="auto"/>
                <w:sz w:val="21"/>
                <w:szCs w:val="21"/>
                <w:lang w:val="en-US" w:eastAsia="zh-CN"/>
              </w:rPr>
              <w:t>4</w:t>
            </w:r>
          </w:p>
        </w:tc>
        <w:tc>
          <w:tcPr>
            <w:tcW w:w="614" w:type="pct"/>
            <w:shd w:val="clear" w:color="auto" w:fill="auto"/>
            <w:vAlign w:val="center"/>
          </w:tcPr>
          <w:p w14:paraId="426ABD86">
            <w:pPr>
              <w:spacing w:line="240" w:lineRule="auto"/>
              <w:ind w:firstLine="0" w:firstLineChars="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章 云</w:t>
            </w:r>
          </w:p>
        </w:tc>
        <w:tc>
          <w:tcPr>
            <w:tcW w:w="1570" w:type="pct"/>
            <w:gridSpan w:val="2"/>
            <w:shd w:val="clear" w:color="auto" w:fill="FFFFFF"/>
            <w:vAlign w:val="center"/>
          </w:tcPr>
          <w:p w14:paraId="57902182">
            <w:pPr>
              <w:pStyle w:val="42"/>
              <w:ind w:firstLine="0" w:firstLineChars="0"/>
              <w:rPr>
                <w:rFonts w:ascii="Times New Roman" w:hAnsi="Times New Roman" w:eastAsia="宋体" w:cs="Times New Roman"/>
                <w:color w:val="auto"/>
                <w:sz w:val="21"/>
                <w:szCs w:val="21"/>
                <w:lang w:val="en-US" w:eastAsia="zh-CN" w:bidi="ar-SA"/>
              </w:rPr>
            </w:pPr>
            <w:r>
              <w:rPr>
                <w:rFonts w:hint="eastAsia"/>
                <w:color w:val="auto"/>
                <w:sz w:val="21"/>
                <w:szCs w:val="21"/>
              </w:rPr>
              <w:t>应急监测组</w:t>
            </w:r>
            <w:r>
              <w:rPr>
                <w:rFonts w:eastAsiaTheme="minorEastAsia"/>
                <w:color w:val="auto"/>
                <w:sz w:val="21"/>
                <w:szCs w:val="21"/>
              </w:rPr>
              <w:t>组长</w:t>
            </w:r>
          </w:p>
        </w:tc>
        <w:tc>
          <w:tcPr>
            <w:tcW w:w="1379" w:type="pct"/>
            <w:gridSpan w:val="2"/>
            <w:vAlign w:val="center"/>
          </w:tcPr>
          <w:p w14:paraId="5CD0D8B9">
            <w:pPr>
              <w:pStyle w:val="42"/>
              <w:ind w:firstLine="0" w:firstLineChars="0"/>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脱泥班长</w:t>
            </w:r>
          </w:p>
        </w:tc>
        <w:tc>
          <w:tcPr>
            <w:tcW w:w="1174" w:type="pct"/>
            <w:vAlign w:val="center"/>
          </w:tcPr>
          <w:p w14:paraId="5C97DAD0">
            <w:pPr>
              <w:pStyle w:val="42"/>
              <w:ind w:firstLine="0" w:firstLineChars="0"/>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18296983033</w:t>
            </w:r>
          </w:p>
        </w:tc>
      </w:tr>
      <w:tr w14:paraId="4A7DED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1" w:type="pct"/>
            <w:vAlign w:val="top"/>
          </w:tcPr>
          <w:p w14:paraId="38B695C0">
            <w:pPr>
              <w:spacing w:line="240" w:lineRule="auto"/>
              <w:ind w:firstLine="0" w:firstLineChars="0"/>
              <w:jc w:val="center"/>
              <w:rPr>
                <w:rFonts w:hint="eastAsia" w:ascii="Times New Roman" w:hAnsi="Times New Roman" w:cs="Times New Roman" w:eastAsiaTheme="minorEastAsia"/>
                <w:color w:val="auto"/>
                <w:sz w:val="21"/>
                <w:szCs w:val="21"/>
                <w:lang w:val="en-US" w:eastAsia="zh-CN" w:bidi="ar-SA"/>
              </w:rPr>
            </w:pPr>
            <w:r>
              <w:rPr>
                <w:rFonts w:hint="eastAsia" w:eastAsiaTheme="minorEastAsia"/>
                <w:color w:val="auto"/>
                <w:sz w:val="21"/>
                <w:szCs w:val="21"/>
                <w:lang w:val="en-US" w:eastAsia="zh-CN"/>
              </w:rPr>
              <w:t>5</w:t>
            </w:r>
          </w:p>
        </w:tc>
        <w:tc>
          <w:tcPr>
            <w:tcW w:w="614" w:type="pct"/>
            <w:vAlign w:val="center"/>
          </w:tcPr>
          <w:p w14:paraId="4BEF2E7C">
            <w:pPr>
              <w:spacing w:line="240" w:lineRule="auto"/>
              <w:ind w:firstLine="0" w:firstLineChars="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王一夫</w:t>
            </w:r>
          </w:p>
        </w:tc>
        <w:tc>
          <w:tcPr>
            <w:tcW w:w="1570" w:type="pct"/>
            <w:gridSpan w:val="2"/>
            <w:vAlign w:val="center"/>
          </w:tcPr>
          <w:p w14:paraId="4DF12577">
            <w:pPr>
              <w:spacing w:line="240" w:lineRule="auto"/>
              <w:ind w:firstLine="0" w:firstLineChars="0"/>
              <w:jc w:val="center"/>
              <w:rPr>
                <w:rFonts w:eastAsiaTheme="minorEastAsia"/>
                <w:color w:val="auto"/>
                <w:sz w:val="21"/>
                <w:szCs w:val="21"/>
              </w:rPr>
            </w:pPr>
            <w:r>
              <w:rPr>
                <w:rFonts w:eastAsiaTheme="minorEastAsia"/>
                <w:color w:val="auto"/>
                <w:sz w:val="21"/>
                <w:szCs w:val="21"/>
              </w:rPr>
              <w:t>抢险救灾组组长</w:t>
            </w:r>
          </w:p>
        </w:tc>
        <w:tc>
          <w:tcPr>
            <w:tcW w:w="1379" w:type="pct"/>
            <w:gridSpan w:val="2"/>
            <w:vAlign w:val="center"/>
          </w:tcPr>
          <w:p w14:paraId="17ACFBBE">
            <w:pPr>
              <w:pStyle w:val="42"/>
              <w:ind w:firstLine="0" w:firstLineChars="0"/>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机修班长</w:t>
            </w:r>
          </w:p>
        </w:tc>
        <w:tc>
          <w:tcPr>
            <w:tcW w:w="1174" w:type="pct"/>
            <w:vAlign w:val="center"/>
          </w:tcPr>
          <w:p w14:paraId="60D699F8">
            <w:pPr>
              <w:pStyle w:val="42"/>
              <w:ind w:firstLine="0" w:firstLineChars="0"/>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15279411941</w:t>
            </w:r>
          </w:p>
        </w:tc>
      </w:tr>
      <w:tr w14:paraId="34B2B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1" w:type="pct"/>
            <w:vAlign w:val="top"/>
          </w:tcPr>
          <w:p w14:paraId="17436B58">
            <w:pPr>
              <w:spacing w:line="240" w:lineRule="auto"/>
              <w:ind w:firstLine="0" w:firstLineChars="0"/>
              <w:jc w:val="center"/>
              <w:rPr>
                <w:rFonts w:hint="eastAsia" w:ascii="Times New Roman" w:hAnsi="Times New Roman" w:cs="Times New Roman" w:eastAsiaTheme="minorEastAsia"/>
                <w:color w:val="auto"/>
                <w:sz w:val="21"/>
                <w:szCs w:val="21"/>
                <w:lang w:val="en-US" w:eastAsia="zh-CN" w:bidi="ar-SA"/>
              </w:rPr>
            </w:pPr>
            <w:r>
              <w:rPr>
                <w:rFonts w:hint="eastAsia" w:eastAsiaTheme="minorEastAsia"/>
                <w:color w:val="auto"/>
                <w:sz w:val="21"/>
                <w:szCs w:val="21"/>
                <w:lang w:val="en-US" w:eastAsia="zh-CN"/>
              </w:rPr>
              <w:t>6</w:t>
            </w:r>
          </w:p>
        </w:tc>
        <w:tc>
          <w:tcPr>
            <w:tcW w:w="614" w:type="pct"/>
            <w:vAlign w:val="center"/>
          </w:tcPr>
          <w:p w14:paraId="18D31226">
            <w:pPr>
              <w:spacing w:line="240" w:lineRule="auto"/>
              <w:ind w:firstLine="0" w:firstLineChars="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付文燕</w:t>
            </w:r>
          </w:p>
        </w:tc>
        <w:tc>
          <w:tcPr>
            <w:tcW w:w="1570" w:type="pct"/>
            <w:gridSpan w:val="2"/>
            <w:vAlign w:val="center"/>
          </w:tcPr>
          <w:p w14:paraId="4E0C4E52">
            <w:pPr>
              <w:spacing w:line="240" w:lineRule="auto"/>
              <w:ind w:firstLine="0" w:firstLineChars="0"/>
              <w:jc w:val="center"/>
              <w:rPr>
                <w:rFonts w:eastAsiaTheme="minorEastAsia"/>
                <w:color w:val="auto"/>
                <w:sz w:val="21"/>
                <w:szCs w:val="21"/>
              </w:rPr>
            </w:pPr>
            <w:r>
              <w:rPr>
                <w:rFonts w:eastAsiaTheme="minorEastAsia"/>
                <w:color w:val="auto"/>
                <w:sz w:val="21"/>
                <w:szCs w:val="21"/>
              </w:rPr>
              <w:t>医疗救护组组长</w:t>
            </w:r>
          </w:p>
        </w:tc>
        <w:tc>
          <w:tcPr>
            <w:tcW w:w="1379" w:type="pct"/>
            <w:gridSpan w:val="2"/>
            <w:vAlign w:val="center"/>
          </w:tcPr>
          <w:p w14:paraId="307D76A7">
            <w:pPr>
              <w:spacing w:line="240" w:lineRule="auto"/>
              <w:ind w:firstLine="0" w:firstLineChars="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运行班长</w:t>
            </w:r>
          </w:p>
        </w:tc>
        <w:tc>
          <w:tcPr>
            <w:tcW w:w="1174" w:type="pct"/>
            <w:vAlign w:val="center"/>
          </w:tcPr>
          <w:p w14:paraId="329BC8B9">
            <w:pPr>
              <w:spacing w:line="240" w:lineRule="auto"/>
              <w:ind w:firstLine="0" w:firstLineChars="0"/>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15107046060</w:t>
            </w:r>
          </w:p>
        </w:tc>
      </w:tr>
      <w:tr w14:paraId="5803C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1" w:type="pct"/>
            <w:vAlign w:val="top"/>
          </w:tcPr>
          <w:p w14:paraId="3803F285">
            <w:pPr>
              <w:spacing w:line="240" w:lineRule="auto"/>
              <w:ind w:firstLine="0" w:firstLineChars="0"/>
              <w:jc w:val="center"/>
              <w:rPr>
                <w:rFonts w:hint="eastAsia" w:ascii="Times New Roman" w:hAnsi="Times New Roman" w:cs="Times New Roman" w:eastAsiaTheme="minorEastAsia"/>
                <w:color w:val="auto"/>
                <w:sz w:val="21"/>
                <w:szCs w:val="21"/>
                <w:lang w:val="en-US" w:eastAsia="zh-CN" w:bidi="ar-SA"/>
              </w:rPr>
            </w:pPr>
            <w:r>
              <w:rPr>
                <w:rFonts w:hint="eastAsia" w:eastAsiaTheme="minorEastAsia"/>
                <w:color w:val="auto"/>
                <w:sz w:val="21"/>
                <w:szCs w:val="21"/>
                <w:lang w:val="en-US" w:eastAsia="zh-CN"/>
              </w:rPr>
              <w:t>7</w:t>
            </w:r>
          </w:p>
        </w:tc>
        <w:tc>
          <w:tcPr>
            <w:tcW w:w="614" w:type="pct"/>
            <w:vAlign w:val="center"/>
          </w:tcPr>
          <w:p w14:paraId="531B6A0E">
            <w:pPr>
              <w:spacing w:line="240" w:lineRule="auto"/>
              <w:ind w:firstLine="0" w:firstLineChars="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吴 波</w:t>
            </w:r>
          </w:p>
        </w:tc>
        <w:tc>
          <w:tcPr>
            <w:tcW w:w="1570" w:type="pct"/>
            <w:gridSpan w:val="2"/>
            <w:vAlign w:val="center"/>
          </w:tcPr>
          <w:p w14:paraId="7D72F5E5">
            <w:pPr>
              <w:spacing w:line="240" w:lineRule="auto"/>
              <w:ind w:firstLine="0" w:firstLineChars="0"/>
              <w:jc w:val="center"/>
              <w:rPr>
                <w:rFonts w:eastAsiaTheme="minorEastAsia"/>
                <w:color w:val="auto"/>
                <w:sz w:val="21"/>
                <w:szCs w:val="21"/>
              </w:rPr>
            </w:pPr>
            <w:r>
              <w:rPr>
                <w:rFonts w:eastAsiaTheme="minorEastAsia"/>
                <w:color w:val="auto"/>
                <w:sz w:val="21"/>
                <w:szCs w:val="21"/>
              </w:rPr>
              <w:t>后勤保障组组长</w:t>
            </w:r>
          </w:p>
        </w:tc>
        <w:tc>
          <w:tcPr>
            <w:tcW w:w="1379" w:type="pct"/>
            <w:gridSpan w:val="2"/>
            <w:vAlign w:val="center"/>
          </w:tcPr>
          <w:p w14:paraId="0BFFF8DA">
            <w:pPr>
              <w:spacing w:line="240" w:lineRule="auto"/>
              <w:ind w:firstLine="0" w:firstLineChars="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综合管理部长</w:t>
            </w:r>
          </w:p>
        </w:tc>
        <w:tc>
          <w:tcPr>
            <w:tcW w:w="1174" w:type="pct"/>
            <w:vAlign w:val="center"/>
          </w:tcPr>
          <w:p w14:paraId="69ABFDA5">
            <w:pPr>
              <w:spacing w:line="240" w:lineRule="auto"/>
              <w:ind w:firstLine="0" w:firstLineChars="0"/>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18979465899</w:t>
            </w:r>
          </w:p>
        </w:tc>
      </w:tr>
      <w:tr w14:paraId="1080F1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1" w:type="pct"/>
          </w:tcPr>
          <w:p w14:paraId="30747DBF">
            <w:pPr>
              <w:spacing w:line="240" w:lineRule="auto"/>
              <w:ind w:firstLine="0" w:firstLineChars="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8</w:t>
            </w:r>
          </w:p>
        </w:tc>
        <w:tc>
          <w:tcPr>
            <w:tcW w:w="614" w:type="pct"/>
            <w:vAlign w:val="center"/>
          </w:tcPr>
          <w:p w14:paraId="6B9C7049">
            <w:pPr>
              <w:spacing w:line="240" w:lineRule="auto"/>
              <w:ind w:firstLine="0" w:firstLineChars="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连 鹤</w:t>
            </w:r>
          </w:p>
        </w:tc>
        <w:tc>
          <w:tcPr>
            <w:tcW w:w="1570" w:type="pct"/>
            <w:gridSpan w:val="2"/>
            <w:vAlign w:val="center"/>
          </w:tcPr>
          <w:p w14:paraId="0ACBF208">
            <w:pPr>
              <w:spacing w:line="240" w:lineRule="auto"/>
              <w:ind w:firstLine="0" w:firstLineChars="0"/>
              <w:jc w:val="center"/>
              <w:rPr>
                <w:rFonts w:eastAsiaTheme="minorEastAsia"/>
                <w:color w:val="auto"/>
                <w:sz w:val="21"/>
                <w:szCs w:val="21"/>
              </w:rPr>
            </w:pPr>
            <w:r>
              <w:rPr>
                <w:rFonts w:hint="eastAsia" w:eastAsiaTheme="minorEastAsia"/>
                <w:color w:val="auto"/>
                <w:sz w:val="21"/>
                <w:szCs w:val="21"/>
                <w:lang w:eastAsia="zh-CN"/>
              </w:rPr>
              <w:t>治安警戒</w:t>
            </w:r>
            <w:r>
              <w:rPr>
                <w:rFonts w:eastAsiaTheme="minorEastAsia"/>
                <w:color w:val="auto"/>
                <w:sz w:val="21"/>
                <w:szCs w:val="21"/>
              </w:rPr>
              <w:t>组组长</w:t>
            </w:r>
          </w:p>
        </w:tc>
        <w:tc>
          <w:tcPr>
            <w:tcW w:w="1379" w:type="pct"/>
            <w:gridSpan w:val="2"/>
            <w:vAlign w:val="center"/>
          </w:tcPr>
          <w:p w14:paraId="48B7449F">
            <w:pPr>
              <w:spacing w:line="240" w:lineRule="auto"/>
              <w:ind w:firstLine="0" w:firstLineChars="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机修员</w:t>
            </w:r>
          </w:p>
        </w:tc>
        <w:tc>
          <w:tcPr>
            <w:tcW w:w="1174" w:type="pct"/>
            <w:vAlign w:val="center"/>
          </w:tcPr>
          <w:p w14:paraId="52C66D83">
            <w:pPr>
              <w:tabs>
                <w:tab w:val="left" w:pos="313"/>
              </w:tabs>
              <w:spacing w:line="240" w:lineRule="auto"/>
              <w:ind w:firstLine="0" w:firstLineChars="0"/>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17681634308</w:t>
            </w:r>
          </w:p>
        </w:tc>
      </w:tr>
      <w:tr w14:paraId="7BAD4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exact"/>
        </w:trPr>
        <w:tc>
          <w:tcPr>
            <w:tcW w:w="875" w:type="pct"/>
            <w:gridSpan w:val="2"/>
            <w:vAlign w:val="center"/>
          </w:tcPr>
          <w:p w14:paraId="36B062F0">
            <w:pPr>
              <w:spacing w:line="240" w:lineRule="auto"/>
              <w:ind w:firstLine="0" w:firstLineChars="0"/>
              <w:jc w:val="center"/>
              <w:rPr>
                <w:rFonts w:eastAsiaTheme="minorEastAsia"/>
                <w:color w:val="auto"/>
                <w:sz w:val="21"/>
                <w:szCs w:val="21"/>
              </w:rPr>
            </w:pPr>
            <w:r>
              <w:rPr>
                <w:rFonts w:eastAsiaTheme="minorEastAsia"/>
                <w:color w:val="auto"/>
                <w:sz w:val="21"/>
                <w:szCs w:val="21"/>
              </w:rPr>
              <w:t>小组</w:t>
            </w:r>
          </w:p>
        </w:tc>
        <w:tc>
          <w:tcPr>
            <w:tcW w:w="726" w:type="pct"/>
            <w:vAlign w:val="center"/>
          </w:tcPr>
          <w:p w14:paraId="6F50CFEC">
            <w:pPr>
              <w:spacing w:line="240" w:lineRule="auto"/>
              <w:ind w:firstLine="0" w:firstLineChars="0"/>
              <w:jc w:val="center"/>
              <w:rPr>
                <w:rFonts w:eastAsiaTheme="minorEastAsia"/>
                <w:color w:val="auto"/>
                <w:sz w:val="21"/>
                <w:szCs w:val="21"/>
              </w:rPr>
            </w:pPr>
            <w:r>
              <w:rPr>
                <w:rFonts w:eastAsiaTheme="minorEastAsia"/>
                <w:color w:val="auto"/>
                <w:sz w:val="21"/>
                <w:szCs w:val="21"/>
              </w:rPr>
              <w:t>姓名</w:t>
            </w:r>
          </w:p>
        </w:tc>
        <w:tc>
          <w:tcPr>
            <w:tcW w:w="1277" w:type="pct"/>
            <w:gridSpan w:val="2"/>
            <w:vAlign w:val="center"/>
          </w:tcPr>
          <w:p w14:paraId="5E068945">
            <w:pPr>
              <w:spacing w:line="240" w:lineRule="auto"/>
              <w:ind w:firstLine="0" w:firstLineChars="0"/>
              <w:jc w:val="center"/>
              <w:rPr>
                <w:rFonts w:eastAsiaTheme="minorEastAsia"/>
                <w:color w:val="auto"/>
                <w:sz w:val="21"/>
                <w:szCs w:val="21"/>
              </w:rPr>
            </w:pPr>
            <w:r>
              <w:rPr>
                <w:rFonts w:eastAsiaTheme="minorEastAsia"/>
                <w:color w:val="auto"/>
                <w:sz w:val="21"/>
                <w:szCs w:val="21"/>
              </w:rPr>
              <w:t>部门或</w:t>
            </w:r>
            <w:r>
              <w:rPr>
                <w:rFonts w:hint="eastAsia" w:eastAsiaTheme="minorEastAsia"/>
                <w:color w:val="auto"/>
                <w:sz w:val="21"/>
                <w:szCs w:val="21"/>
                <w:lang w:val="en-US" w:eastAsia="zh-CN"/>
              </w:rPr>
              <w:t>厂内</w:t>
            </w:r>
            <w:r>
              <w:rPr>
                <w:rFonts w:eastAsiaTheme="minorEastAsia"/>
                <w:color w:val="auto"/>
                <w:sz w:val="21"/>
                <w:szCs w:val="21"/>
              </w:rPr>
              <w:t>职务</w:t>
            </w:r>
          </w:p>
        </w:tc>
        <w:tc>
          <w:tcPr>
            <w:tcW w:w="946" w:type="pct"/>
            <w:vAlign w:val="center"/>
          </w:tcPr>
          <w:p w14:paraId="4B6B37E0">
            <w:pPr>
              <w:spacing w:line="240" w:lineRule="auto"/>
              <w:ind w:firstLine="0" w:firstLineChars="0"/>
              <w:jc w:val="center"/>
              <w:rPr>
                <w:rFonts w:eastAsiaTheme="minorEastAsia"/>
                <w:color w:val="auto"/>
                <w:sz w:val="21"/>
                <w:szCs w:val="21"/>
              </w:rPr>
            </w:pPr>
            <w:r>
              <w:rPr>
                <w:rFonts w:hint="eastAsia" w:eastAsiaTheme="minorEastAsia"/>
                <w:color w:val="auto"/>
                <w:sz w:val="21"/>
                <w:szCs w:val="21"/>
                <w:lang w:val="en-US" w:eastAsia="zh-CN"/>
              </w:rPr>
              <w:t>小组</w:t>
            </w:r>
            <w:r>
              <w:rPr>
                <w:rFonts w:eastAsiaTheme="minorEastAsia"/>
                <w:color w:val="auto"/>
                <w:sz w:val="21"/>
                <w:szCs w:val="21"/>
              </w:rPr>
              <w:t>职务</w:t>
            </w:r>
          </w:p>
        </w:tc>
        <w:tc>
          <w:tcPr>
            <w:tcW w:w="1174" w:type="pct"/>
            <w:vAlign w:val="center"/>
          </w:tcPr>
          <w:p w14:paraId="31BCC826">
            <w:pPr>
              <w:spacing w:line="240" w:lineRule="auto"/>
              <w:ind w:firstLine="0" w:firstLineChars="0"/>
              <w:jc w:val="center"/>
              <w:rPr>
                <w:rFonts w:eastAsiaTheme="minorEastAsia"/>
                <w:color w:val="auto"/>
                <w:sz w:val="21"/>
                <w:szCs w:val="21"/>
              </w:rPr>
            </w:pPr>
            <w:r>
              <w:rPr>
                <w:rFonts w:eastAsiaTheme="minorEastAsia"/>
                <w:color w:val="auto"/>
                <w:sz w:val="21"/>
                <w:szCs w:val="21"/>
              </w:rPr>
              <w:t>手机</w:t>
            </w:r>
          </w:p>
        </w:tc>
      </w:tr>
      <w:tr w14:paraId="3CAE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5" w:type="pct"/>
            <w:gridSpan w:val="2"/>
            <w:vAlign w:val="center"/>
          </w:tcPr>
          <w:p w14:paraId="34E40233">
            <w:pPr>
              <w:spacing w:line="240" w:lineRule="auto"/>
              <w:ind w:firstLine="0" w:firstLineChars="0"/>
              <w:jc w:val="center"/>
              <w:rPr>
                <w:rFonts w:eastAsiaTheme="minorEastAsia"/>
                <w:color w:val="auto"/>
                <w:sz w:val="21"/>
                <w:szCs w:val="21"/>
              </w:rPr>
            </w:pPr>
            <w:r>
              <w:rPr>
                <w:rFonts w:eastAsiaTheme="minorEastAsia"/>
                <w:color w:val="auto"/>
                <w:sz w:val="21"/>
                <w:szCs w:val="21"/>
              </w:rPr>
              <w:t>抢险救灾小组</w:t>
            </w:r>
          </w:p>
        </w:tc>
        <w:tc>
          <w:tcPr>
            <w:tcW w:w="726" w:type="pct"/>
            <w:vAlign w:val="center"/>
          </w:tcPr>
          <w:p w14:paraId="58EA5F89">
            <w:pPr>
              <w:spacing w:line="240" w:lineRule="auto"/>
              <w:ind w:firstLine="0" w:firstLineChars="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胡伟</w:t>
            </w:r>
          </w:p>
        </w:tc>
        <w:tc>
          <w:tcPr>
            <w:tcW w:w="1277" w:type="pct"/>
            <w:gridSpan w:val="2"/>
            <w:vAlign w:val="center"/>
          </w:tcPr>
          <w:p w14:paraId="05B8DD14">
            <w:pPr>
              <w:spacing w:line="240" w:lineRule="auto"/>
              <w:ind w:firstLine="0" w:firstLineChars="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机修员</w:t>
            </w:r>
          </w:p>
        </w:tc>
        <w:tc>
          <w:tcPr>
            <w:tcW w:w="946" w:type="pct"/>
            <w:vAlign w:val="center"/>
          </w:tcPr>
          <w:p w14:paraId="32FCBC9E">
            <w:pPr>
              <w:spacing w:line="240" w:lineRule="auto"/>
              <w:ind w:firstLine="0" w:firstLineChars="0"/>
              <w:jc w:val="center"/>
              <w:rPr>
                <w:rFonts w:hint="eastAsia" w:eastAsiaTheme="minorEastAsia"/>
                <w:color w:val="auto"/>
                <w:sz w:val="21"/>
                <w:szCs w:val="21"/>
                <w:lang w:eastAsia="zh-CN"/>
              </w:rPr>
            </w:pPr>
            <w:r>
              <w:rPr>
                <w:rFonts w:hint="eastAsia" w:eastAsiaTheme="minorEastAsia"/>
                <w:color w:val="auto"/>
                <w:sz w:val="21"/>
                <w:szCs w:val="21"/>
                <w:lang w:eastAsia="zh-CN"/>
              </w:rPr>
              <w:t>成员</w:t>
            </w:r>
          </w:p>
        </w:tc>
        <w:tc>
          <w:tcPr>
            <w:tcW w:w="1174" w:type="pct"/>
            <w:vAlign w:val="center"/>
          </w:tcPr>
          <w:p w14:paraId="6B571951">
            <w:pPr>
              <w:spacing w:line="24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18979465599</w:t>
            </w:r>
          </w:p>
        </w:tc>
      </w:tr>
      <w:tr w14:paraId="0E7A9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875" w:type="pct"/>
            <w:gridSpan w:val="2"/>
            <w:vAlign w:val="center"/>
          </w:tcPr>
          <w:p w14:paraId="208E584D">
            <w:pPr>
              <w:spacing w:line="240" w:lineRule="auto"/>
              <w:ind w:firstLine="0" w:firstLineChars="0"/>
              <w:jc w:val="center"/>
              <w:rPr>
                <w:rFonts w:eastAsiaTheme="minorEastAsia"/>
                <w:color w:val="auto"/>
                <w:sz w:val="21"/>
                <w:szCs w:val="21"/>
              </w:rPr>
            </w:pPr>
            <w:r>
              <w:rPr>
                <w:rFonts w:hint="eastAsia"/>
                <w:color w:val="auto"/>
                <w:sz w:val="21"/>
                <w:szCs w:val="21"/>
              </w:rPr>
              <w:t>应急监测组</w:t>
            </w:r>
          </w:p>
        </w:tc>
        <w:tc>
          <w:tcPr>
            <w:tcW w:w="726" w:type="pct"/>
            <w:vAlign w:val="center"/>
          </w:tcPr>
          <w:p w14:paraId="4D57DED1">
            <w:pPr>
              <w:spacing w:line="240" w:lineRule="auto"/>
              <w:ind w:firstLine="0" w:firstLineChars="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米吉贵</w:t>
            </w:r>
          </w:p>
        </w:tc>
        <w:tc>
          <w:tcPr>
            <w:tcW w:w="1277" w:type="pct"/>
            <w:gridSpan w:val="2"/>
            <w:vAlign w:val="center"/>
          </w:tcPr>
          <w:p w14:paraId="7BE42EDD">
            <w:pPr>
              <w:spacing w:line="240" w:lineRule="auto"/>
              <w:ind w:firstLine="0" w:firstLineChars="0"/>
              <w:jc w:val="center"/>
              <w:rPr>
                <w:rFonts w:hint="default" w:ascii="Times New Roman" w:hAnsi="Times New Roman" w:cs="Times New Roman" w:eastAsiaTheme="minorEastAsia"/>
                <w:color w:val="auto"/>
                <w:sz w:val="21"/>
                <w:szCs w:val="21"/>
                <w:lang w:val="en-US" w:eastAsia="zh-CN" w:bidi="ar-SA"/>
              </w:rPr>
            </w:pPr>
            <w:r>
              <w:rPr>
                <w:rFonts w:hint="eastAsia" w:cs="Times New Roman" w:eastAsiaTheme="minorEastAsia"/>
                <w:color w:val="auto"/>
                <w:sz w:val="21"/>
                <w:szCs w:val="21"/>
                <w:lang w:val="en-US" w:eastAsia="zh-CN" w:bidi="ar-SA"/>
              </w:rPr>
              <w:t>生产干事</w:t>
            </w:r>
          </w:p>
        </w:tc>
        <w:tc>
          <w:tcPr>
            <w:tcW w:w="946" w:type="pct"/>
            <w:vAlign w:val="center"/>
          </w:tcPr>
          <w:p w14:paraId="6566A7CC">
            <w:pPr>
              <w:spacing w:line="240" w:lineRule="auto"/>
              <w:ind w:firstLine="0" w:firstLineChars="0"/>
              <w:jc w:val="center"/>
              <w:rPr>
                <w:rFonts w:eastAsiaTheme="minorEastAsia"/>
                <w:color w:val="auto"/>
                <w:sz w:val="21"/>
                <w:szCs w:val="21"/>
              </w:rPr>
            </w:pPr>
            <w:r>
              <w:rPr>
                <w:rFonts w:hint="eastAsia" w:eastAsiaTheme="minorEastAsia"/>
                <w:color w:val="auto"/>
                <w:sz w:val="21"/>
                <w:szCs w:val="21"/>
                <w:lang w:eastAsia="zh-CN"/>
              </w:rPr>
              <w:t>成员</w:t>
            </w:r>
          </w:p>
        </w:tc>
        <w:tc>
          <w:tcPr>
            <w:tcW w:w="1174" w:type="pct"/>
            <w:vAlign w:val="center"/>
          </w:tcPr>
          <w:p w14:paraId="3235F3BB">
            <w:pPr>
              <w:spacing w:line="24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13155893223</w:t>
            </w:r>
          </w:p>
        </w:tc>
      </w:tr>
      <w:tr w14:paraId="381F5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75" w:type="pct"/>
            <w:gridSpan w:val="2"/>
            <w:vAlign w:val="center"/>
          </w:tcPr>
          <w:p w14:paraId="75C898CA">
            <w:pPr>
              <w:spacing w:line="240" w:lineRule="auto"/>
              <w:ind w:firstLine="0" w:firstLineChars="0"/>
              <w:jc w:val="center"/>
              <w:rPr>
                <w:rFonts w:eastAsiaTheme="minorEastAsia"/>
                <w:color w:val="auto"/>
                <w:sz w:val="21"/>
                <w:szCs w:val="21"/>
              </w:rPr>
            </w:pPr>
            <w:r>
              <w:rPr>
                <w:rFonts w:eastAsiaTheme="minorEastAsia"/>
                <w:color w:val="auto"/>
                <w:sz w:val="21"/>
                <w:szCs w:val="21"/>
              </w:rPr>
              <w:t>通讯联络小组</w:t>
            </w:r>
          </w:p>
        </w:tc>
        <w:tc>
          <w:tcPr>
            <w:tcW w:w="726" w:type="pct"/>
            <w:vAlign w:val="center"/>
          </w:tcPr>
          <w:p w14:paraId="1396D609">
            <w:pPr>
              <w:spacing w:line="240" w:lineRule="auto"/>
              <w:ind w:firstLine="0" w:firstLineChars="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胡蕾</w:t>
            </w:r>
          </w:p>
        </w:tc>
        <w:tc>
          <w:tcPr>
            <w:tcW w:w="1277" w:type="pct"/>
            <w:gridSpan w:val="2"/>
            <w:vAlign w:val="center"/>
          </w:tcPr>
          <w:p w14:paraId="04EA8E73">
            <w:pPr>
              <w:spacing w:line="240" w:lineRule="auto"/>
              <w:ind w:firstLine="0" w:firstLineChars="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化验员</w:t>
            </w:r>
          </w:p>
        </w:tc>
        <w:tc>
          <w:tcPr>
            <w:tcW w:w="946" w:type="pct"/>
            <w:vAlign w:val="center"/>
          </w:tcPr>
          <w:p w14:paraId="029F9B75">
            <w:pPr>
              <w:spacing w:line="240" w:lineRule="auto"/>
              <w:ind w:firstLine="0" w:firstLineChars="0"/>
              <w:jc w:val="center"/>
              <w:rPr>
                <w:rFonts w:eastAsiaTheme="minorEastAsia"/>
                <w:color w:val="auto"/>
                <w:sz w:val="21"/>
                <w:szCs w:val="21"/>
              </w:rPr>
            </w:pPr>
            <w:r>
              <w:rPr>
                <w:rFonts w:hint="eastAsia" w:eastAsiaTheme="minorEastAsia"/>
                <w:color w:val="auto"/>
                <w:sz w:val="21"/>
                <w:szCs w:val="21"/>
                <w:lang w:eastAsia="zh-CN"/>
              </w:rPr>
              <w:t>成员</w:t>
            </w:r>
          </w:p>
        </w:tc>
        <w:tc>
          <w:tcPr>
            <w:tcW w:w="1174" w:type="pct"/>
            <w:vAlign w:val="center"/>
          </w:tcPr>
          <w:p w14:paraId="0C79197E">
            <w:pPr>
              <w:spacing w:line="24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15270369970</w:t>
            </w:r>
          </w:p>
        </w:tc>
      </w:tr>
      <w:tr w14:paraId="64D3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875" w:type="pct"/>
            <w:gridSpan w:val="2"/>
            <w:vAlign w:val="center"/>
          </w:tcPr>
          <w:p w14:paraId="48261661">
            <w:pPr>
              <w:spacing w:line="240" w:lineRule="auto"/>
              <w:ind w:firstLine="0" w:firstLineChars="0"/>
              <w:jc w:val="center"/>
              <w:rPr>
                <w:rFonts w:eastAsiaTheme="minorEastAsia"/>
                <w:color w:val="auto"/>
                <w:sz w:val="21"/>
                <w:szCs w:val="21"/>
              </w:rPr>
            </w:pPr>
            <w:r>
              <w:rPr>
                <w:rFonts w:eastAsiaTheme="minorEastAsia"/>
                <w:color w:val="auto"/>
                <w:sz w:val="21"/>
                <w:szCs w:val="21"/>
              </w:rPr>
              <w:t>后勤保障小组</w:t>
            </w:r>
          </w:p>
        </w:tc>
        <w:tc>
          <w:tcPr>
            <w:tcW w:w="726" w:type="pct"/>
            <w:vAlign w:val="center"/>
          </w:tcPr>
          <w:p w14:paraId="393146CF">
            <w:pPr>
              <w:spacing w:line="240" w:lineRule="auto"/>
              <w:ind w:firstLine="0" w:firstLineChars="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李龙鹏辉</w:t>
            </w:r>
          </w:p>
        </w:tc>
        <w:tc>
          <w:tcPr>
            <w:tcW w:w="1277" w:type="pct"/>
            <w:gridSpan w:val="2"/>
            <w:vAlign w:val="center"/>
          </w:tcPr>
          <w:p w14:paraId="57834C4E">
            <w:pPr>
              <w:spacing w:line="240" w:lineRule="auto"/>
              <w:ind w:firstLine="0" w:firstLineChars="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化验员</w:t>
            </w:r>
          </w:p>
        </w:tc>
        <w:tc>
          <w:tcPr>
            <w:tcW w:w="946" w:type="pct"/>
            <w:vAlign w:val="center"/>
          </w:tcPr>
          <w:p w14:paraId="3CF5E86F">
            <w:pPr>
              <w:spacing w:line="240" w:lineRule="auto"/>
              <w:ind w:firstLine="0" w:firstLineChars="0"/>
              <w:jc w:val="center"/>
              <w:rPr>
                <w:rFonts w:eastAsiaTheme="minorEastAsia"/>
                <w:color w:val="auto"/>
                <w:sz w:val="21"/>
                <w:szCs w:val="21"/>
              </w:rPr>
            </w:pPr>
            <w:r>
              <w:rPr>
                <w:rFonts w:hint="eastAsia" w:eastAsiaTheme="minorEastAsia"/>
                <w:color w:val="auto"/>
                <w:sz w:val="21"/>
                <w:szCs w:val="21"/>
                <w:lang w:eastAsia="zh-CN"/>
              </w:rPr>
              <w:t>成员</w:t>
            </w:r>
          </w:p>
        </w:tc>
        <w:tc>
          <w:tcPr>
            <w:tcW w:w="1174" w:type="pct"/>
            <w:vAlign w:val="center"/>
          </w:tcPr>
          <w:p w14:paraId="1F363680">
            <w:pPr>
              <w:spacing w:line="24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18979475946</w:t>
            </w:r>
          </w:p>
        </w:tc>
      </w:tr>
      <w:tr w14:paraId="234D0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875" w:type="pct"/>
            <w:gridSpan w:val="2"/>
            <w:vAlign w:val="center"/>
          </w:tcPr>
          <w:p w14:paraId="539EC405">
            <w:pPr>
              <w:spacing w:line="240" w:lineRule="auto"/>
              <w:ind w:firstLine="0" w:firstLineChars="0"/>
              <w:jc w:val="center"/>
              <w:rPr>
                <w:rFonts w:eastAsiaTheme="minorEastAsia"/>
                <w:color w:val="auto"/>
                <w:sz w:val="21"/>
                <w:szCs w:val="21"/>
              </w:rPr>
            </w:pPr>
            <w:r>
              <w:rPr>
                <w:rFonts w:eastAsiaTheme="minorEastAsia"/>
                <w:color w:val="auto"/>
                <w:sz w:val="21"/>
                <w:szCs w:val="21"/>
              </w:rPr>
              <w:t>医疗救护小组</w:t>
            </w:r>
          </w:p>
        </w:tc>
        <w:tc>
          <w:tcPr>
            <w:tcW w:w="726" w:type="pct"/>
            <w:vAlign w:val="center"/>
          </w:tcPr>
          <w:p w14:paraId="215094F9">
            <w:pPr>
              <w:spacing w:line="240" w:lineRule="auto"/>
              <w:ind w:firstLine="0" w:firstLineChars="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黎艳</w:t>
            </w:r>
          </w:p>
        </w:tc>
        <w:tc>
          <w:tcPr>
            <w:tcW w:w="1277" w:type="pct"/>
            <w:gridSpan w:val="2"/>
            <w:vAlign w:val="center"/>
          </w:tcPr>
          <w:p w14:paraId="601EAD12">
            <w:pPr>
              <w:spacing w:line="240" w:lineRule="auto"/>
              <w:ind w:firstLine="0" w:firstLineChars="0"/>
              <w:jc w:val="center"/>
              <w:rPr>
                <w:rFonts w:hint="default" w:ascii="Times New Roman" w:hAnsi="Times New Roman" w:cs="Times New Roman" w:eastAsiaTheme="minorEastAsia"/>
                <w:color w:val="auto"/>
                <w:sz w:val="21"/>
                <w:szCs w:val="21"/>
                <w:lang w:val="en-US" w:eastAsia="zh-CN" w:bidi="ar-SA"/>
              </w:rPr>
            </w:pPr>
            <w:r>
              <w:rPr>
                <w:rFonts w:hint="eastAsia" w:cs="Times New Roman" w:eastAsiaTheme="minorEastAsia"/>
                <w:color w:val="auto"/>
                <w:sz w:val="21"/>
                <w:szCs w:val="21"/>
                <w:lang w:val="en-US" w:eastAsia="zh-CN" w:bidi="ar-SA"/>
              </w:rPr>
              <w:t>运行工</w:t>
            </w:r>
          </w:p>
        </w:tc>
        <w:tc>
          <w:tcPr>
            <w:tcW w:w="946" w:type="pct"/>
            <w:vAlign w:val="center"/>
          </w:tcPr>
          <w:p w14:paraId="6D6C65F9">
            <w:pPr>
              <w:spacing w:line="240" w:lineRule="auto"/>
              <w:ind w:firstLine="0" w:firstLineChars="0"/>
              <w:jc w:val="center"/>
              <w:rPr>
                <w:rFonts w:eastAsiaTheme="minorEastAsia"/>
                <w:color w:val="auto"/>
                <w:sz w:val="21"/>
                <w:szCs w:val="21"/>
              </w:rPr>
            </w:pPr>
            <w:r>
              <w:rPr>
                <w:rFonts w:hint="eastAsia" w:eastAsiaTheme="minorEastAsia"/>
                <w:color w:val="auto"/>
                <w:sz w:val="21"/>
                <w:szCs w:val="21"/>
                <w:lang w:eastAsia="zh-CN"/>
              </w:rPr>
              <w:t>成员</w:t>
            </w:r>
          </w:p>
        </w:tc>
        <w:tc>
          <w:tcPr>
            <w:tcW w:w="1174" w:type="pct"/>
            <w:vAlign w:val="center"/>
          </w:tcPr>
          <w:p w14:paraId="31079A41">
            <w:pPr>
              <w:spacing w:line="240" w:lineRule="auto"/>
              <w:ind w:firstLine="0" w:firstLineChars="0"/>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18779465222</w:t>
            </w:r>
          </w:p>
        </w:tc>
      </w:tr>
      <w:tr w14:paraId="59D8C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875" w:type="pct"/>
            <w:gridSpan w:val="2"/>
            <w:vAlign w:val="center"/>
          </w:tcPr>
          <w:p w14:paraId="4762FF4A">
            <w:pPr>
              <w:spacing w:line="240" w:lineRule="auto"/>
              <w:ind w:firstLine="0" w:firstLineChars="0"/>
              <w:jc w:val="center"/>
              <w:rPr>
                <w:rFonts w:eastAsiaTheme="minorEastAsia"/>
                <w:color w:val="auto"/>
                <w:sz w:val="21"/>
                <w:szCs w:val="21"/>
              </w:rPr>
            </w:pPr>
            <w:r>
              <w:rPr>
                <w:rFonts w:hint="eastAsia" w:eastAsiaTheme="minorEastAsia"/>
                <w:color w:val="auto"/>
                <w:sz w:val="21"/>
                <w:szCs w:val="21"/>
                <w:lang w:eastAsia="zh-CN"/>
              </w:rPr>
              <w:t>治安警戒</w:t>
            </w:r>
            <w:r>
              <w:rPr>
                <w:rFonts w:eastAsiaTheme="minorEastAsia"/>
                <w:color w:val="auto"/>
                <w:sz w:val="21"/>
                <w:szCs w:val="21"/>
              </w:rPr>
              <w:t>小组</w:t>
            </w:r>
          </w:p>
        </w:tc>
        <w:tc>
          <w:tcPr>
            <w:tcW w:w="726" w:type="pct"/>
            <w:vAlign w:val="center"/>
          </w:tcPr>
          <w:p w14:paraId="1617B6A9">
            <w:pPr>
              <w:spacing w:line="240" w:lineRule="auto"/>
              <w:ind w:firstLine="0" w:firstLineChars="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汪志翔</w:t>
            </w:r>
          </w:p>
        </w:tc>
        <w:tc>
          <w:tcPr>
            <w:tcW w:w="1277" w:type="pct"/>
            <w:gridSpan w:val="2"/>
            <w:vAlign w:val="center"/>
          </w:tcPr>
          <w:p w14:paraId="1E0F42FA">
            <w:pPr>
              <w:spacing w:line="240" w:lineRule="auto"/>
              <w:ind w:firstLine="0" w:firstLineChars="0"/>
              <w:jc w:val="center"/>
              <w:rPr>
                <w:rFonts w:hint="default" w:ascii="Times New Roman" w:hAnsi="Times New Roman" w:cs="Times New Roman" w:eastAsiaTheme="minorEastAsia"/>
                <w:color w:val="auto"/>
                <w:sz w:val="21"/>
                <w:szCs w:val="21"/>
                <w:lang w:val="en-US" w:eastAsia="zh-CN" w:bidi="ar-SA"/>
              </w:rPr>
            </w:pPr>
            <w:r>
              <w:rPr>
                <w:rFonts w:hint="eastAsia" w:cs="Times New Roman" w:eastAsiaTheme="minorEastAsia"/>
                <w:color w:val="auto"/>
                <w:sz w:val="21"/>
                <w:szCs w:val="21"/>
                <w:lang w:val="en-US" w:eastAsia="zh-CN" w:bidi="ar-SA"/>
              </w:rPr>
              <w:t>运行工</w:t>
            </w:r>
          </w:p>
        </w:tc>
        <w:tc>
          <w:tcPr>
            <w:tcW w:w="946" w:type="pct"/>
            <w:vAlign w:val="center"/>
          </w:tcPr>
          <w:p w14:paraId="669E588F">
            <w:pPr>
              <w:spacing w:line="240" w:lineRule="auto"/>
              <w:ind w:firstLine="0" w:firstLineChars="0"/>
              <w:jc w:val="center"/>
              <w:rPr>
                <w:rFonts w:eastAsiaTheme="minorEastAsia"/>
                <w:color w:val="auto"/>
                <w:sz w:val="21"/>
                <w:szCs w:val="21"/>
              </w:rPr>
            </w:pPr>
            <w:r>
              <w:rPr>
                <w:rFonts w:hint="eastAsia" w:eastAsiaTheme="minorEastAsia"/>
                <w:color w:val="auto"/>
                <w:sz w:val="21"/>
                <w:szCs w:val="21"/>
                <w:lang w:eastAsia="zh-CN"/>
              </w:rPr>
              <w:t>成员</w:t>
            </w:r>
          </w:p>
        </w:tc>
        <w:tc>
          <w:tcPr>
            <w:tcW w:w="1174" w:type="pct"/>
            <w:vAlign w:val="center"/>
          </w:tcPr>
          <w:p w14:paraId="7C10B2F6">
            <w:pPr>
              <w:spacing w:line="24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18770172233</w:t>
            </w:r>
          </w:p>
        </w:tc>
      </w:tr>
    </w:tbl>
    <w:p w14:paraId="3E5DD774">
      <w:pPr>
        <w:pStyle w:val="5"/>
        <w:spacing w:before="156" w:after="156"/>
        <w:rPr>
          <w:color w:val="auto"/>
        </w:rPr>
      </w:pPr>
      <w:r>
        <w:rPr>
          <w:rFonts w:hint="eastAsia"/>
          <w:color w:val="auto"/>
          <w:lang w:eastAsia="zh-CN"/>
        </w:rPr>
        <w:t>3.</w:t>
      </w:r>
      <w:r>
        <w:rPr>
          <w:rFonts w:hint="eastAsia"/>
          <w:color w:val="auto"/>
        </w:rPr>
        <w:t>2指挥机构的主要职责</w:t>
      </w:r>
      <w:bookmarkEnd w:id="36"/>
      <w:bookmarkEnd w:id="37"/>
    </w:p>
    <w:p w14:paraId="0AB140EF">
      <w:pPr>
        <w:pStyle w:val="31"/>
        <w:rPr>
          <w:color w:val="auto"/>
        </w:rPr>
      </w:pPr>
      <w:r>
        <w:rPr>
          <w:rFonts w:hint="eastAsia"/>
          <w:color w:val="auto"/>
        </w:rPr>
        <w:t>(1)贯彻执行国家、当地政府、上级主管部门关于突发环境事件应急处置的方针、政策及有关规定；</w:t>
      </w:r>
    </w:p>
    <w:p w14:paraId="44804A4E">
      <w:pPr>
        <w:pStyle w:val="31"/>
        <w:rPr>
          <w:color w:val="auto"/>
        </w:rPr>
      </w:pPr>
      <w:r>
        <w:rPr>
          <w:rFonts w:hint="eastAsia"/>
          <w:color w:val="auto"/>
        </w:rPr>
        <w:t>(2)组织制定突发环境事件应急预案；</w:t>
      </w:r>
    </w:p>
    <w:p w14:paraId="477B9425">
      <w:pPr>
        <w:pStyle w:val="31"/>
        <w:rPr>
          <w:color w:val="auto"/>
        </w:rPr>
      </w:pPr>
      <w:r>
        <w:rPr>
          <w:rFonts w:hint="eastAsia"/>
          <w:color w:val="auto"/>
        </w:rPr>
        <w:t>(3)组建突发环境事件应急处置队伍；</w:t>
      </w:r>
    </w:p>
    <w:p w14:paraId="2541A78C">
      <w:pPr>
        <w:pStyle w:val="31"/>
        <w:rPr>
          <w:color w:val="auto"/>
        </w:rPr>
      </w:pPr>
      <w:r>
        <w:rPr>
          <w:rFonts w:hint="eastAsia"/>
          <w:color w:val="auto"/>
        </w:rPr>
        <w:t>(4)负责应急防范设施(备)的建设，以及应急处置物资，特别是处理泄漏物、消解和吸收污染物的物资储备；</w:t>
      </w:r>
    </w:p>
    <w:p w14:paraId="628690B2">
      <w:pPr>
        <w:pStyle w:val="31"/>
        <w:rPr>
          <w:color w:val="auto"/>
        </w:rPr>
      </w:pPr>
      <w:r>
        <w:rPr>
          <w:rFonts w:hint="eastAsia"/>
          <w:color w:val="auto"/>
        </w:rPr>
        <w:t>(5)检查、督促做好突发环境事件的预防措施和应急处置的各项准备工作，督促、协助有关部门及时消除有毒有害介质的跑、冒、滴、漏；</w:t>
      </w:r>
    </w:p>
    <w:p w14:paraId="5475C5F0">
      <w:pPr>
        <w:pStyle w:val="31"/>
        <w:rPr>
          <w:color w:val="auto"/>
        </w:rPr>
      </w:pPr>
      <w:r>
        <w:rPr>
          <w:rFonts w:hint="eastAsia"/>
          <w:color w:val="auto"/>
        </w:rPr>
        <w:t>(6)负责组织预案的审批与更新；</w:t>
      </w:r>
    </w:p>
    <w:p w14:paraId="0B3C5512">
      <w:pPr>
        <w:pStyle w:val="31"/>
        <w:rPr>
          <w:color w:val="auto"/>
        </w:rPr>
      </w:pPr>
      <w:r>
        <w:rPr>
          <w:rFonts w:hint="eastAsia"/>
          <w:color w:val="auto"/>
        </w:rPr>
        <w:t>(7)批准应急处置的启动和终止；</w:t>
      </w:r>
    </w:p>
    <w:p w14:paraId="1625412F">
      <w:pPr>
        <w:pStyle w:val="31"/>
        <w:rPr>
          <w:color w:val="auto"/>
        </w:rPr>
      </w:pPr>
      <w:r>
        <w:rPr>
          <w:rFonts w:hint="eastAsia"/>
          <w:color w:val="auto"/>
        </w:rPr>
        <w:t>(8)确定现场指挥人员；</w:t>
      </w:r>
    </w:p>
    <w:p w14:paraId="0530FD97">
      <w:pPr>
        <w:pStyle w:val="31"/>
        <w:rPr>
          <w:color w:val="auto"/>
        </w:rPr>
      </w:pPr>
      <w:r>
        <w:rPr>
          <w:rFonts w:hint="eastAsia"/>
          <w:color w:val="auto"/>
        </w:rPr>
        <w:t>(9)协调事故现场有关工作；</w:t>
      </w:r>
    </w:p>
    <w:p w14:paraId="5AF05EBD">
      <w:pPr>
        <w:pStyle w:val="31"/>
        <w:rPr>
          <w:color w:val="auto"/>
        </w:rPr>
      </w:pPr>
      <w:r>
        <w:rPr>
          <w:rFonts w:hint="eastAsia"/>
          <w:color w:val="auto"/>
        </w:rPr>
        <w:t>(10)负责人员、资源配置和应急队伍的调动；</w:t>
      </w:r>
    </w:p>
    <w:p w14:paraId="1EAF6AF8">
      <w:pPr>
        <w:pStyle w:val="31"/>
        <w:rPr>
          <w:color w:val="auto"/>
        </w:rPr>
      </w:pPr>
      <w:r>
        <w:rPr>
          <w:rFonts w:hint="eastAsia"/>
          <w:color w:val="auto"/>
        </w:rPr>
        <w:t>(11)及时向上级报告突发环境事件的具体情况，必要时向有关单位发出增援请求，并向周边单位通报相关情况；</w:t>
      </w:r>
    </w:p>
    <w:p w14:paraId="3E07982F">
      <w:pPr>
        <w:pStyle w:val="31"/>
        <w:rPr>
          <w:color w:val="auto"/>
        </w:rPr>
      </w:pPr>
      <w:r>
        <w:rPr>
          <w:rFonts w:hint="eastAsia"/>
          <w:color w:val="auto"/>
        </w:rPr>
        <w:t>(12)接受上级应急指挥部门或政府的指令和调动，协助事故处理。配合政府部门对环境进行恢复、事故调查、经验教训总结；</w:t>
      </w:r>
    </w:p>
    <w:p w14:paraId="37C391C4">
      <w:pPr>
        <w:pStyle w:val="31"/>
        <w:rPr>
          <w:color w:val="auto"/>
        </w:rPr>
      </w:pPr>
      <w:r>
        <w:rPr>
          <w:rFonts w:hint="eastAsia"/>
          <w:color w:val="auto"/>
        </w:rPr>
        <w:t>(13)负责保护事故现场及相关数据；</w:t>
      </w:r>
    </w:p>
    <w:p w14:paraId="0DD2CAE9">
      <w:pPr>
        <w:pStyle w:val="31"/>
        <w:rPr>
          <w:color w:val="auto"/>
        </w:rPr>
      </w:pPr>
      <w:r>
        <w:rPr>
          <w:rFonts w:hint="eastAsia"/>
          <w:color w:val="auto"/>
        </w:rPr>
        <w:t>(14)有计划地组织实施突发环境事件应急处置的培训和应急预案的演习，负责对员工进行应急知识和基本防护方法的培训。</w:t>
      </w:r>
    </w:p>
    <w:p w14:paraId="7AD12257">
      <w:pPr>
        <w:pStyle w:val="6"/>
        <w:spacing w:before="156" w:after="156"/>
        <w:rPr>
          <w:color w:val="auto"/>
        </w:rPr>
      </w:pPr>
      <w:bookmarkStart w:id="38" w:name="_Toc241368522"/>
      <w:bookmarkStart w:id="39" w:name="_Toc276628833"/>
      <w:r>
        <w:rPr>
          <w:rFonts w:hint="eastAsia"/>
          <w:color w:val="auto"/>
          <w:lang w:eastAsia="zh-CN"/>
        </w:rPr>
        <w:t>3.</w:t>
      </w:r>
      <w:r>
        <w:rPr>
          <w:rFonts w:hint="eastAsia"/>
          <w:color w:val="auto"/>
        </w:rPr>
        <w:t>2.1应急指挥中心职责</w:t>
      </w:r>
      <w:bookmarkEnd w:id="38"/>
      <w:bookmarkEnd w:id="39"/>
    </w:p>
    <w:p w14:paraId="79446D84">
      <w:pPr>
        <w:pStyle w:val="7"/>
        <w:rPr>
          <w:color w:val="auto"/>
        </w:rPr>
      </w:pPr>
      <w:r>
        <w:rPr>
          <w:rFonts w:hint="eastAsia"/>
          <w:color w:val="auto"/>
          <w:lang w:eastAsia="zh-CN"/>
        </w:rPr>
        <w:t>3.</w:t>
      </w:r>
      <w:r>
        <w:rPr>
          <w:rFonts w:hint="eastAsia"/>
          <w:color w:val="auto"/>
        </w:rPr>
        <w:t>2.1.1总指挥职责</w:t>
      </w:r>
    </w:p>
    <w:p w14:paraId="175E73E7">
      <w:pPr>
        <w:pStyle w:val="31"/>
        <w:rPr>
          <w:color w:val="auto"/>
        </w:rPr>
      </w:pPr>
      <w:r>
        <w:rPr>
          <w:rFonts w:hint="eastAsia"/>
          <w:color w:val="auto"/>
        </w:rPr>
        <w:t>总指挥在接到事件发生报警后，决定启动环境应急预案，由应急指挥中心通知应急救援的相关部门做好应急准备，并负责应急救援的统一指挥。根据事件发生、发展的情况决定是否请求上级应急指挥机构给予支援。具体包括：</w:t>
      </w:r>
    </w:p>
    <w:p w14:paraId="39438B11">
      <w:pPr>
        <w:pStyle w:val="31"/>
        <w:rPr>
          <w:color w:val="auto"/>
        </w:rPr>
      </w:pPr>
      <w:r>
        <w:rPr>
          <w:rFonts w:hint="eastAsia"/>
          <w:color w:val="auto"/>
        </w:rPr>
        <w:t>(1)启动应急预案和决定响应终止。</w:t>
      </w:r>
    </w:p>
    <w:p w14:paraId="1FE782C5">
      <w:pPr>
        <w:pStyle w:val="31"/>
        <w:rPr>
          <w:color w:val="auto"/>
        </w:rPr>
      </w:pPr>
      <w:r>
        <w:rPr>
          <w:rFonts w:hint="eastAsia"/>
          <w:color w:val="auto"/>
        </w:rPr>
        <w:t>(2)分析紧急状态和确定相应报警级别。</w:t>
      </w:r>
    </w:p>
    <w:p w14:paraId="10A5EFDF">
      <w:pPr>
        <w:pStyle w:val="31"/>
        <w:rPr>
          <w:color w:val="auto"/>
        </w:rPr>
      </w:pPr>
      <w:r>
        <w:rPr>
          <w:rFonts w:hint="eastAsia"/>
          <w:color w:val="auto"/>
        </w:rPr>
        <w:t>(3)负责组织应急救援预案的实施工作。</w:t>
      </w:r>
    </w:p>
    <w:p w14:paraId="742F36B0">
      <w:pPr>
        <w:pStyle w:val="31"/>
        <w:rPr>
          <w:color w:val="auto"/>
        </w:rPr>
      </w:pPr>
      <w:r>
        <w:rPr>
          <w:rFonts w:hint="eastAsia"/>
          <w:color w:val="auto"/>
        </w:rPr>
        <w:t>(4)评估紧急状态，升降报警级别。</w:t>
      </w:r>
    </w:p>
    <w:p w14:paraId="1BB77786">
      <w:pPr>
        <w:pStyle w:val="31"/>
        <w:rPr>
          <w:color w:val="auto"/>
        </w:rPr>
      </w:pPr>
      <w:r>
        <w:rPr>
          <w:rFonts w:hint="eastAsia"/>
          <w:color w:val="auto"/>
        </w:rPr>
        <w:t>(5)与企业外部应急响应部门、人员、组织和机构进行联络。</w:t>
      </w:r>
    </w:p>
    <w:p w14:paraId="6F3EEC39">
      <w:pPr>
        <w:pStyle w:val="31"/>
        <w:rPr>
          <w:color w:val="auto"/>
        </w:rPr>
      </w:pPr>
      <w:r>
        <w:rPr>
          <w:rFonts w:hint="eastAsia"/>
          <w:color w:val="auto"/>
        </w:rPr>
        <w:t>(6)决定通报外部机构。</w:t>
      </w:r>
    </w:p>
    <w:p w14:paraId="322ECC23">
      <w:pPr>
        <w:pStyle w:val="31"/>
        <w:rPr>
          <w:color w:val="auto"/>
        </w:rPr>
      </w:pPr>
      <w:r>
        <w:rPr>
          <w:rFonts w:hint="eastAsia"/>
          <w:color w:val="auto"/>
        </w:rPr>
        <w:t>(7)决定请求外部援助。</w:t>
      </w:r>
    </w:p>
    <w:p w14:paraId="1188B73C">
      <w:pPr>
        <w:pStyle w:val="31"/>
        <w:rPr>
          <w:color w:val="auto"/>
        </w:rPr>
      </w:pPr>
      <w:r>
        <w:rPr>
          <w:rFonts w:hint="eastAsia"/>
          <w:color w:val="auto"/>
        </w:rPr>
        <w:t>(8)决定从企业或其它部门撤离。</w:t>
      </w:r>
    </w:p>
    <w:p w14:paraId="2343267D">
      <w:pPr>
        <w:pStyle w:val="31"/>
        <w:rPr>
          <w:color w:val="auto"/>
        </w:rPr>
      </w:pPr>
      <w:r>
        <w:rPr>
          <w:rFonts w:hint="eastAsia"/>
          <w:color w:val="auto"/>
        </w:rPr>
        <w:t>(9)在向</w:t>
      </w:r>
      <w:r>
        <w:rPr>
          <w:rFonts w:hint="eastAsia"/>
          <w:color w:val="auto"/>
          <w:lang w:eastAsia="zh-CN"/>
        </w:rPr>
        <w:t>资溪县</w:t>
      </w:r>
      <w:r>
        <w:rPr>
          <w:rFonts w:hint="eastAsia"/>
          <w:color w:val="auto"/>
        </w:rPr>
        <w:t>申请应急救援时，负责向</w:t>
      </w:r>
      <w:r>
        <w:rPr>
          <w:rFonts w:hint="eastAsia"/>
          <w:color w:val="auto"/>
          <w:lang w:eastAsia="zh-CN"/>
        </w:rPr>
        <w:t>资溪县</w:t>
      </w:r>
      <w:r>
        <w:rPr>
          <w:rFonts w:hint="eastAsia"/>
          <w:color w:val="auto"/>
        </w:rPr>
        <w:t>人民政府和</w:t>
      </w:r>
      <w:r>
        <w:rPr>
          <w:rFonts w:hint="eastAsia"/>
          <w:color w:val="auto"/>
          <w:lang w:eastAsia="zh-CN"/>
        </w:rPr>
        <w:t>抚州市资溪生态环境局</w:t>
      </w:r>
      <w:r>
        <w:rPr>
          <w:rFonts w:hint="eastAsia"/>
          <w:color w:val="auto"/>
        </w:rPr>
        <w:t>报告和接受指令。</w:t>
      </w:r>
    </w:p>
    <w:p w14:paraId="1F4B0D90">
      <w:pPr>
        <w:pStyle w:val="7"/>
        <w:rPr>
          <w:color w:val="auto"/>
        </w:rPr>
      </w:pPr>
      <w:r>
        <w:rPr>
          <w:rFonts w:hint="eastAsia"/>
          <w:color w:val="auto"/>
          <w:lang w:eastAsia="zh-CN"/>
        </w:rPr>
        <w:t>3.</w:t>
      </w:r>
      <w:r>
        <w:rPr>
          <w:rFonts w:hint="eastAsia"/>
          <w:color w:val="auto"/>
        </w:rPr>
        <w:t>2.1.2副总指挥职责</w:t>
      </w:r>
    </w:p>
    <w:p w14:paraId="1AE59CBC">
      <w:pPr>
        <w:pStyle w:val="31"/>
        <w:rPr>
          <w:color w:val="auto"/>
        </w:rPr>
      </w:pPr>
      <w:r>
        <w:rPr>
          <w:rFonts w:hint="eastAsia"/>
          <w:color w:val="auto"/>
        </w:rPr>
        <w:t>(1)协助总指挥工作，主抓现场应急指挥部，做好应急管理日常工作。</w:t>
      </w:r>
    </w:p>
    <w:p w14:paraId="624E61AC">
      <w:pPr>
        <w:pStyle w:val="31"/>
        <w:rPr>
          <w:color w:val="auto"/>
        </w:rPr>
      </w:pPr>
      <w:r>
        <w:rPr>
          <w:rFonts w:hint="eastAsia"/>
          <w:color w:val="auto"/>
        </w:rPr>
        <w:t>(2)总指挥不在抢险救援现场或受总指挥委托时担任总指挥，履行总指挥职责，全权负责应急救援工作。</w:t>
      </w:r>
    </w:p>
    <w:p w14:paraId="10BBDBEF">
      <w:pPr>
        <w:pStyle w:val="7"/>
        <w:rPr>
          <w:color w:val="auto"/>
        </w:rPr>
      </w:pPr>
      <w:bookmarkStart w:id="40" w:name="_Toc225308513"/>
      <w:bookmarkStart w:id="41" w:name="_Toc228175577"/>
      <w:r>
        <w:rPr>
          <w:rFonts w:hint="eastAsia"/>
          <w:color w:val="auto"/>
          <w:lang w:eastAsia="zh-CN"/>
        </w:rPr>
        <w:t>3.</w:t>
      </w:r>
      <w:r>
        <w:rPr>
          <w:rFonts w:hint="eastAsia"/>
          <w:color w:val="auto"/>
        </w:rPr>
        <w:t>2.1.3应急指挥中心职责</w:t>
      </w:r>
      <w:bookmarkEnd w:id="40"/>
      <w:bookmarkEnd w:id="41"/>
    </w:p>
    <w:p w14:paraId="4FC5189C">
      <w:pPr>
        <w:pStyle w:val="31"/>
        <w:rPr>
          <w:color w:val="auto"/>
        </w:rPr>
      </w:pPr>
      <w:r>
        <w:rPr>
          <w:rFonts w:hint="eastAsia"/>
          <w:color w:val="auto"/>
        </w:rPr>
        <w:t>(1)根据应急指挥中心领导指令下达预警和预警解除指令。</w:t>
      </w:r>
    </w:p>
    <w:p w14:paraId="35C1C511">
      <w:pPr>
        <w:pStyle w:val="31"/>
        <w:rPr>
          <w:color w:val="auto"/>
        </w:rPr>
      </w:pPr>
      <w:r>
        <w:rPr>
          <w:rFonts w:hint="eastAsia"/>
          <w:color w:val="auto"/>
        </w:rPr>
        <w:t>(2)在事件发生时，根据总指挥指令，批准本预案的启动与终止，协调事件现场有关工作。</w:t>
      </w:r>
    </w:p>
    <w:p w14:paraId="17CBF49F">
      <w:pPr>
        <w:pStyle w:val="31"/>
        <w:rPr>
          <w:color w:val="auto"/>
        </w:rPr>
      </w:pPr>
      <w:r>
        <w:rPr>
          <w:rFonts w:hint="eastAsia"/>
          <w:color w:val="auto"/>
        </w:rPr>
        <w:t>(3)对事故现场的应急救援活动采取统一部署，并对应急救援工作中重大事项进行决策。</w:t>
      </w:r>
    </w:p>
    <w:p w14:paraId="70A32481">
      <w:pPr>
        <w:pStyle w:val="31"/>
        <w:rPr>
          <w:color w:val="auto"/>
        </w:rPr>
      </w:pPr>
      <w:r>
        <w:rPr>
          <w:rFonts w:hint="eastAsia"/>
          <w:color w:val="auto"/>
        </w:rPr>
        <w:t>(4)负责应急状态下请求外部救援力量的决策。</w:t>
      </w:r>
    </w:p>
    <w:p w14:paraId="641A5066">
      <w:pPr>
        <w:pStyle w:val="31"/>
        <w:rPr>
          <w:color w:val="auto"/>
        </w:rPr>
      </w:pPr>
      <w:r>
        <w:rPr>
          <w:rFonts w:hint="eastAsia"/>
          <w:color w:val="auto"/>
        </w:rPr>
        <w:t>(5)负责人员、资源配置、应急队伍的调动，确定现场指挥部成员名单，成立现场指挥部。</w:t>
      </w:r>
    </w:p>
    <w:p w14:paraId="11114EF4">
      <w:pPr>
        <w:pStyle w:val="31"/>
        <w:rPr>
          <w:color w:val="auto"/>
        </w:rPr>
      </w:pPr>
      <w:r>
        <w:rPr>
          <w:rFonts w:hint="eastAsia"/>
          <w:color w:val="auto"/>
        </w:rPr>
        <w:t>(6)协调事故现场有关工作，确定事故状态下各级人员的职责，事故信息的上报工作。</w:t>
      </w:r>
    </w:p>
    <w:p w14:paraId="6ACC8F85">
      <w:pPr>
        <w:pStyle w:val="31"/>
        <w:rPr>
          <w:color w:val="auto"/>
        </w:rPr>
      </w:pPr>
      <w:r>
        <w:rPr>
          <w:rFonts w:hint="eastAsia"/>
          <w:color w:val="auto"/>
        </w:rPr>
        <w:t>(7)向上级部门报告事故情况，并落实上级主管部门下达的重要指示。</w:t>
      </w:r>
    </w:p>
    <w:p w14:paraId="1AB97DAB">
      <w:pPr>
        <w:pStyle w:val="31"/>
        <w:rPr>
          <w:color w:val="auto"/>
        </w:rPr>
      </w:pPr>
      <w:r>
        <w:rPr>
          <w:rFonts w:hint="eastAsia"/>
          <w:color w:val="auto"/>
        </w:rPr>
        <w:t>(8)接受当地政府的指令和调动，协助事件的处理。</w:t>
      </w:r>
    </w:p>
    <w:p w14:paraId="3E691951">
      <w:pPr>
        <w:pStyle w:val="31"/>
        <w:rPr>
          <w:color w:val="auto"/>
        </w:rPr>
      </w:pPr>
      <w:r>
        <w:rPr>
          <w:rFonts w:hint="eastAsia"/>
          <w:color w:val="auto"/>
        </w:rPr>
        <w:t>(9)审查应急工作的考核结果。</w:t>
      </w:r>
    </w:p>
    <w:p w14:paraId="13474241">
      <w:pPr>
        <w:pStyle w:val="31"/>
        <w:rPr>
          <w:color w:val="auto"/>
        </w:rPr>
      </w:pPr>
      <w:r>
        <w:rPr>
          <w:rFonts w:hint="eastAsia"/>
          <w:color w:val="auto"/>
        </w:rPr>
        <w:t>(10)现场应急工作总结。</w:t>
      </w:r>
    </w:p>
    <w:p w14:paraId="5F89E211">
      <w:pPr>
        <w:pStyle w:val="31"/>
        <w:rPr>
          <w:color w:val="auto"/>
        </w:rPr>
      </w:pPr>
      <w:r>
        <w:rPr>
          <w:rFonts w:hint="eastAsia"/>
          <w:color w:val="auto"/>
        </w:rPr>
        <w:t>(11)负责接警及救援行动中的信息收集和内部信息传递，分析判断各类事故引发环境风险危害的可能性和严重性，以便作出是否启动公司突发环境事件应急预案、应急响应级别的决策。</w:t>
      </w:r>
    </w:p>
    <w:p w14:paraId="69905EA3">
      <w:pPr>
        <w:pStyle w:val="31"/>
        <w:rPr>
          <w:color w:val="auto"/>
        </w:rPr>
      </w:pPr>
      <w:r>
        <w:rPr>
          <w:rFonts w:hint="eastAsia"/>
          <w:color w:val="auto"/>
        </w:rPr>
        <w:t>(12)负责信息上报工作。</w:t>
      </w:r>
    </w:p>
    <w:p w14:paraId="5DA16783">
      <w:pPr>
        <w:pStyle w:val="31"/>
        <w:rPr>
          <w:color w:val="auto"/>
        </w:rPr>
      </w:pPr>
      <w:r>
        <w:rPr>
          <w:rFonts w:hint="eastAsia"/>
          <w:color w:val="auto"/>
        </w:rPr>
        <w:t>(13)负责现场及相关数据搜集整理，及时全面准确地掌握事件状况。</w:t>
      </w:r>
    </w:p>
    <w:p w14:paraId="55473B36">
      <w:pPr>
        <w:pStyle w:val="31"/>
        <w:rPr>
          <w:color w:val="auto"/>
        </w:rPr>
      </w:pPr>
      <w:r>
        <w:rPr>
          <w:rFonts w:hint="eastAsia"/>
          <w:color w:val="auto"/>
        </w:rPr>
        <w:t>(14)跟踪了解突发环境事件及处置情况，及时向应急指挥中心领导汇报、请示并落实指令。</w:t>
      </w:r>
    </w:p>
    <w:p w14:paraId="5C64171A">
      <w:pPr>
        <w:pStyle w:val="6"/>
        <w:spacing w:before="156" w:after="156"/>
        <w:rPr>
          <w:color w:val="auto"/>
        </w:rPr>
      </w:pPr>
      <w:r>
        <w:rPr>
          <w:rFonts w:hint="eastAsia"/>
          <w:color w:val="auto"/>
          <w:lang w:eastAsia="zh-CN"/>
        </w:rPr>
        <w:t>3.</w:t>
      </w:r>
      <w:r>
        <w:rPr>
          <w:rFonts w:hint="eastAsia"/>
          <w:color w:val="auto"/>
        </w:rPr>
        <w:t>2.2应急办公室职责</w:t>
      </w:r>
    </w:p>
    <w:p w14:paraId="533B2AD3">
      <w:pPr>
        <w:pStyle w:val="31"/>
        <w:rPr>
          <w:color w:val="auto"/>
        </w:rPr>
      </w:pPr>
      <w:r>
        <w:rPr>
          <w:rFonts w:hint="eastAsia"/>
          <w:color w:val="auto"/>
        </w:rPr>
        <w:t>(1)负责接警及救援行动中的信息收集和内部信息传递，分析判断各类事故引发环境污染危害的可能性和严重性，以便公司应急指挥中心作出决策。</w:t>
      </w:r>
    </w:p>
    <w:p w14:paraId="36022999">
      <w:pPr>
        <w:pStyle w:val="31"/>
        <w:rPr>
          <w:color w:val="auto"/>
        </w:rPr>
      </w:pPr>
      <w:r>
        <w:rPr>
          <w:rFonts w:hint="eastAsia"/>
          <w:color w:val="auto"/>
        </w:rPr>
        <w:t>(2)掌握突发环境事件的发生情况，及时向应急指挥中心总指挥、副总指挥汇报。</w:t>
      </w:r>
    </w:p>
    <w:p w14:paraId="7B55E394">
      <w:pPr>
        <w:pStyle w:val="31"/>
        <w:rPr>
          <w:color w:val="auto"/>
        </w:rPr>
      </w:pPr>
      <w:r>
        <w:rPr>
          <w:rFonts w:hint="eastAsia"/>
          <w:color w:val="auto"/>
        </w:rPr>
        <w:t>(3)按照应急指挥中心指令，及时将相关命令信息通知现场应急指挥部和各工作小组。</w:t>
      </w:r>
    </w:p>
    <w:p w14:paraId="7136A221">
      <w:pPr>
        <w:pStyle w:val="31"/>
        <w:rPr>
          <w:color w:val="auto"/>
        </w:rPr>
      </w:pPr>
      <w:r>
        <w:rPr>
          <w:rFonts w:hint="eastAsia"/>
          <w:color w:val="auto"/>
        </w:rPr>
        <w:t>(4)负责指挥相关应急救援小组配备必要的应急保障物资、装备设施。</w:t>
      </w:r>
    </w:p>
    <w:p w14:paraId="285E5600">
      <w:pPr>
        <w:pStyle w:val="31"/>
        <w:rPr>
          <w:color w:val="auto"/>
        </w:rPr>
      </w:pPr>
      <w:r>
        <w:rPr>
          <w:rFonts w:hint="eastAsia"/>
          <w:color w:val="auto"/>
        </w:rPr>
        <w:t>(5)负责督查应急保障物资、装备设施，确保完好状态。</w:t>
      </w:r>
    </w:p>
    <w:p w14:paraId="011F24E4">
      <w:pPr>
        <w:pStyle w:val="31"/>
        <w:rPr>
          <w:color w:val="auto"/>
        </w:rPr>
      </w:pPr>
      <w:r>
        <w:rPr>
          <w:rFonts w:hint="eastAsia"/>
          <w:color w:val="auto"/>
        </w:rPr>
        <w:t>(6)组织制订事故应急救援预案，负责组织预案的外部评估、备案与更新，并定期组织演练。</w:t>
      </w:r>
    </w:p>
    <w:p w14:paraId="3D84670F">
      <w:pPr>
        <w:pStyle w:val="31"/>
        <w:rPr>
          <w:color w:val="auto"/>
        </w:rPr>
      </w:pPr>
      <w:r>
        <w:rPr>
          <w:rFonts w:hint="eastAsia"/>
          <w:color w:val="auto"/>
        </w:rPr>
        <w:t>(7)负责应急救援培训与审批应急救援演练方案。</w:t>
      </w:r>
    </w:p>
    <w:p w14:paraId="0A7F89D0">
      <w:pPr>
        <w:pStyle w:val="31"/>
        <w:rPr>
          <w:color w:val="auto"/>
        </w:rPr>
      </w:pPr>
      <w:r>
        <w:rPr>
          <w:rFonts w:hint="eastAsia"/>
          <w:color w:val="auto"/>
        </w:rPr>
        <w:t>(8)建立并管理应急救援的信息资料、档案，包括：</w:t>
      </w:r>
    </w:p>
    <w:p w14:paraId="081904EA">
      <w:pPr>
        <w:pStyle w:val="31"/>
        <w:rPr>
          <w:color w:val="auto"/>
        </w:rPr>
      </w:pPr>
      <w:r>
        <w:rPr>
          <w:rFonts w:hint="eastAsia"/>
          <w:color w:val="auto"/>
        </w:rPr>
        <w:t>a.救援物资数据库：应急救援物质和设备名称、数量、型号大小、存放地点、负责人及调动方式；</w:t>
      </w:r>
    </w:p>
    <w:p w14:paraId="3778E786">
      <w:pPr>
        <w:pStyle w:val="31"/>
        <w:rPr>
          <w:color w:val="auto"/>
        </w:rPr>
      </w:pPr>
      <w:r>
        <w:rPr>
          <w:rFonts w:hint="eastAsia"/>
          <w:color w:val="auto"/>
        </w:rPr>
        <w:t>b.保留公司员工名单，制定人员详细分布图；</w:t>
      </w:r>
    </w:p>
    <w:p w14:paraId="4FC5A4E0">
      <w:pPr>
        <w:pStyle w:val="31"/>
        <w:rPr>
          <w:color w:val="auto"/>
        </w:rPr>
      </w:pPr>
      <w:r>
        <w:rPr>
          <w:rFonts w:hint="eastAsia"/>
          <w:color w:val="auto"/>
        </w:rPr>
        <w:t>c.建立与维护应急救援队伍各小组负责人和成员的联系方式；</w:t>
      </w:r>
    </w:p>
    <w:p w14:paraId="46AB9504">
      <w:pPr>
        <w:pStyle w:val="31"/>
        <w:rPr>
          <w:color w:val="auto"/>
        </w:rPr>
      </w:pPr>
      <w:r>
        <w:rPr>
          <w:rFonts w:hint="eastAsia"/>
          <w:color w:val="auto"/>
        </w:rPr>
        <w:t>d.掌握外来人员如承包商和参观者等情况，督促门卫执行进入登记制度；</w:t>
      </w:r>
    </w:p>
    <w:p w14:paraId="1870285A">
      <w:pPr>
        <w:pStyle w:val="31"/>
        <w:rPr>
          <w:color w:val="auto"/>
        </w:rPr>
      </w:pPr>
      <w:r>
        <w:rPr>
          <w:rFonts w:hint="eastAsia"/>
          <w:color w:val="auto"/>
        </w:rPr>
        <w:t>e.建立与维护政府部门和应急服务机构的地址和联系方式(包括和本公司附近的有关应急救援部门，如：医院、安全、环保部门等)；</w:t>
      </w:r>
    </w:p>
    <w:p w14:paraId="4B5A18F6">
      <w:pPr>
        <w:pStyle w:val="31"/>
        <w:rPr>
          <w:color w:val="auto"/>
        </w:rPr>
      </w:pPr>
      <w:r>
        <w:rPr>
          <w:rFonts w:hint="eastAsia"/>
          <w:color w:val="auto"/>
        </w:rPr>
        <w:t>f.专家组的相关信息。</w:t>
      </w:r>
    </w:p>
    <w:p w14:paraId="4D24CFE5">
      <w:pPr>
        <w:pStyle w:val="6"/>
        <w:spacing w:before="156" w:after="156"/>
        <w:rPr>
          <w:color w:val="auto"/>
        </w:rPr>
      </w:pPr>
      <w:r>
        <w:rPr>
          <w:rFonts w:hint="eastAsia"/>
          <w:color w:val="auto"/>
          <w:lang w:eastAsia="zh-CN"/>
        </w:rPr>
        <w:t>3.</w:t>
      </w:r>
      <w:r>
        <w:rPr>
          <w:rFonts w:hint="eastAsia"/>
          <w:color w:val="auto"/>
        </w:rPr>
        <w:t>2.3现场应急指挥部职责</w:t>
      </w:r>
    </w:p>
    <w:p w14:paraId="2FC5568B">
      <w:pPr>
        <w:pStyle w:val="31"/>
        <w:rPr>
          <w:color w:val="auto"/>
        </w:rPr>
      </w:pPr>
      <w:r>
        <w:rPr>
          <w:rFonts w:hint="eastAsia"/>
          <w:color w:val="auto"/>
        </w:rPr>
        <w:t>(1)按照应急指挥中心指令，负责现场应急指挥工作。</w:t>
      </w:r>
    </w:p>
    <w:p w14:paraId="7394BC35">
      <w:pPr>
        <w:pStyle w:val="31"/>
        <w:rPr>
          <w:color w:val="auto"/>
        </w:rPr>
      </w:pPr>
      <w:r>
        <w:rPr>
          <w:rFonts w:hint="eastAsia"/>
          <w:color w:val="auto"/>
        </w:rPr>
        <w:t>(2)收集现场信息，核实现场情况，及时向应急指挥中心报告。</w:t>
      </w:r>
    </w:p>
    <w:p w14:paraId="6DC92639">
      <w:pPr>
        <w:pStyle w:val="31"/>
        <w:rPr>
          <w:color w:val="auto"/>
        </w:rPr>
      </w:pPr>
      <w:r>
        <w:rPr>
          <w:rFonts w:hint="eastAsia"/>
          <w:color w:val="auto"/>
        </w:rPr>
        <w:t>(3)负责调配现场应急资源。</w:t>
      </w:r>
    </w:p>
    <w:p w14:paraId="5905EE9E">
      <w:pPr>
        <w:pStyle w:val="31"/>
        <w:rPr>
          <w:color w:val="auto"/>
        </w:rPr>
      </w:pPr>
      <w:r>
        <w:rPr>
          <w:rFonts w:hint="eastAsia"/>
          <w:color w:val="auto"/>
        </w:rPr>
        <w:t>(4)必要时，提出现场增援、人员疏散、向政府求援等建议并及时报告应急指挥中心。</w:t>
      </w:r>
    </w:p>
    <w:p w14:paraId="27E3B04B">
      <w:pPr>
        <w:pStyle w:val="31"/>
        <w:rPr>
          <w:color w:val="auto"/>
        </w:rPr>
      </w:pPr>
      <w:r>
        <w:rPr>
          <w:rFonts w:hint="eastAsia"/>
          <w:color w:val="auto"/>
        </w:rPr>
        <w:t>(5)参与突发环境事件的调查处理工作。</w:t>
      </w:r>
    </w:p>
    <w:p w14:paraId="1067B2CB">
      <w:pPr>
        <w:pStyle w:val="31"/>
        <w:rPr>
          <w:color w:val="auto"/>
        </w:rPr>
      </w:pPr>
      <w:r>
        <w:rPr>
          <w:rFonts w:hint="eastAsia"/>
          <w:color w:val="auto"/>
        </w:rPr>
        <w:t>(6)当地方环保、医疗救护等其他应急救援机构到达后，可作为现场联合指挥部的成员，当联合指挥部成员在某个问题上不能达成一致意见时，由负责应急的联合指挥成员代表作出最后决策。上级部门领导到达现场成立现场指挥部时，主动移交指挥权，并做好信息、物资等支持。</w:t>
      </w:r>
    </w:p>
    <w:p w14:paraId="57F7490A">
      <w:pPr>
        <w:pStyle w:val="6"/>
        <w:spacing w:before="156" w:after="156"/>
        <w:rPr>
          <w:color w:val="auto"/>
        </w:rPr>
      </w:pPr>
      <w:bookmarkStart w:id="42" w:name="_Toc313023165"/>
      <w:bookmarkStart w:id="43" w:name="_Toc306266612"/>
      <w:r>
        <w:rPr>
          <w:rFonts w:hint="eastAsia"/>
          <w:color w:val="auto"/>
          <w:lang w:eastAsia="zh-CN"/>
        </w:rPr>
        <w:t>3.</w:t>
      </w:r>
      <w:r>
        <w:rPr>
          <w:rFonts w:hint="eastAsia"/>
          <w:color w:val="auto"/>
        </w:rPr>
        <w:t>2.4应急救援组</w:t>
      </w:r>
      <w:bookmarkEnd w:id="42"/>
      <w:bookmarkEnd w:id="43"/>
      <w:r>
        <w:rPr>
          <w:rFonts w:hint="eastAsia"/>
          <w:color w:val="auto"/>
        </w:rPr>
        <w:t>职责</w:t>
      </w:r>
    </w:p>
    <w:p w14:paraId="19CAE636">
      <w:pPr>
        <w:pStyle w:val="7"/>
        <w:rPr>
          <w:color w:val="auto"/>
        </w:rPr>
      </w:pPr>
      <w:r>
        <w:rPr>
          <w:rFonts w:hint="eastAsia"/>
          <w:color w:val="auto"/>
          <w:lang w:eastAsia="zh-CN"/>
        </w:rPr>
        <w:t>3.</w:t>
      </w:r>
      <w:r>
        <w:rPr>
          <w:rFonts w:hint="eastAsia"/>
          <w:color w:val="auto"/>
        </w:rPr>
        <w:t>2.4.1抢险救灾组职责</w:t>
      </w:r>
    </w:p>
    <w:p w14:paraId="780E7CC5">
      <w:pPr>
        <w:pStyle w:val="31"/>
        <w:rPr>
          <w:color w:val="auto"/>
        </w:rPr>
      </w:pPr>
      <w:r>
        <w:rPr>
          <w:rFonts w:hint="eastAsia"/>
          <w:color w:val="auto"/>
        </w:rPr>
        <w:t>(1)接到抢修救援通知后，由组长牵头召集队伍，佩戴个人防护用品，第一时间赶赴现场，了解事故现场情况；</w:t>
      </w:r>
    </w:p>
    <w:p w14:paraId="2F9666F4">
      <w:pPr>
        <w:pStyle w:val="31"/>
        <w:rPr>
          <w:color w:val="auto"/>
        </w:rPr>
      </w:pPr>
      <w:r>
        <w:rPr>
          <w:rFonts w:hint="eastAsia"/>
          <w:color w:val="auto"/>
        </w:rPr>
        <w:t>(2)参与生产和工艺方面应急救援处理方案的制定；</w:t>
      </w:r>
    </w:p>
    <w:p w14:paraId="11D11F3E">
      <w:pPr>
        <w:pStyle w:val="31"/>
        <w:rPr>
          <w:color w:val="auto"/>
        </w:rPr>
      </w:pPr>
      <w:r>
        <w:rPr>
          <w:rFonts w:hint="eastAsia"/>
          <w:color w:val="auto"/>
        </w:rPr>
        <w:t>(3)根据应急指挥中心确定的抢险方案，立即组织现场救援；</w:t>
      </w:r>
    </w:p>
    <w:p w14:paraId="67CC1266">
      <w:pPr>
        <w:pStyle w:val="31"/>
        <w:rPr>
          <w:color w:val="auto"/>
        </w:rPr>
      </w:pPr>
      <w:r>
        <w:rPr>
          <w:rFonts w:hint="eastAsia"/>
          <w:color w:val="auto"/>
        </w:rPr>
        <w:t>(4)根据应急指挥中心下达的指令，迅速抢修设备、管道，及时堵漏，控制事故以防扩大；</w:t>
      </w:r>
    </w:p>
    <w:p w14:paraId="330383A3">
      <w:pPr>
        <w:pStyle w:val="31"/>
        <w:rPr>
          <w:color w:val="auto"/>
        </w:rPr>
      </w:pPr>
      <w:r>
        <w:rPr>
          <w:rFonts w:hint="eastAsia"/>
          <w:color w:val="auto"/>
        </w:rPr>
        <w:t>(5)转移或采取措施保护现场危险物资、重要设备设施等；</w:t>
      </w:r>
    </w:p>
    <w:p w14:paraId="42046A1A">
      <w:pPr>
        <w:pStyle w:val="31"/>
        <w:rPr>
          <w:color w:val="auto"/>
        </w:rPr>
      </w:pPr>
      <w:r>
        <w:rPr>
          <w:rFonts w:hint="eastAsia"/>
          <w:color w:val="auto"/>
        </w:rPr>
        <w:t>(6)指挥、协调事故装置和相关装置以及环保设施的应急处理；</w:t>
      </w:r>
    </w:p>
    <w:p w14:paraId="30E8268D">
      <w:pPr>
        <w:pStyle w:val="31"/>
        <w:rPr>
          <w:color w:val="auto"/>
        </w:rPr>
      </w:pPr>
      <w:r>
        <w:rPr>
          <w:rFonts w:hint="eastAsia"/>
          <w:color w:val="auto"/>
        </w:rPr>
        <w:t>(7)及时向现场指挥部汇报本组应急处置情况；</w:t>
      </w:r>
    </w:p>
    <w:p w14:paraId="4D0DB702">
      <w:pPr>
        <w:pStyle w:val="31"/>
        <w:rPr>
          <w:color w:val="auto"/>
        </w:rPr>
      </w:pPr>
      <w:r>
        <w:rPr>
          <w:rFonts w:hint="eastAsia"/>
          <w:color w:val="auto"/>
        </w:rPr>
        <w:t>(8)负责组织突发环境事件处置后的生产恢复；</w:t>
      </w:r>
    </w:p>
    <w:p w14:paraId="6C9F394A">
      <w:pPr>
        <w:pStyle w:val="31"/>
        <w:rPr>
          <w:color w:val="auto"/>
        </w:rPr>
      </w:pPr>
      <w:r>
        <w:rPr>
          <w:rFonts w:hint="eastAsia"/>
          <w:color w:val="auto"/>
        </w:rPr>
        <w:t>(9)负责应急指挥中心交办的其它任务；</w:t>
      </w:r>
    </w:p>
    <w:p w14:paraId="4616BF4D">
      <w:pPr>
        <w:pStyle w:val="31"/>
        <w:rPr>
          <w:color w:val="auto"/>
        </w:rPr>
      </w:pPr>
      <w:r>
        <w:rPr>
          <w:rFonts w:hint="eastAsia"/>
          <w:color w:val="auto"/>
        </w:rPr>
        <w:t>(10)有计划地开展预案演习，熟悉救援预案与程序，加强人员间的配合，进行封、围、堵等抢救措施的训练和实战演习，提高抢险救灾能力。</w:t>
      </w:r>
    </w:p>
    <w:p w14:paraId="5ECA76A4">
      <w:pPr>
        <w:pStyle w:val="7"/>
        <w:rPr>
          <w:color w:val="auto"/>
        </w:rPr>
      </w:pPr>
      <w:bookmarkStart w:id="44" w:name="_Toc313023170"/>
      <w:bookmarkStart w:id="45" w:name="_Toc306266617"/>
      <w:r>
        <w:rPr>
          <w:rFonts w:hint="eastAsia"/>
          <w:color w:val="auto"/>
          <w:lang w:eastAsia="zh-CN"/>
        </w:rPr>
        <w:t>3.</w:t>
      </w:r>
      <w:r>
        <w:rPr>
          <w:rFonts w:hint="eastAsia"/>
          <w:color w:val="auto"/>
        </w:rPr>
        <w:t>2.4.2</w:t>
      </w:r>
      <w:bookmarkEnd w:id="44"/>
      <w:bookmarkEnd w:id="45"/>
      <w:bookmarkStart w:id="46" w:name="_Toc306266618"/>
      <w:bookmarkStart w:id="47" w:name="_Toc313023171"/>
      <w:r>
        <w:rPr>
          <w:rFonts w:hint="eastAsia"/>
          <w:color w:val="auto"/>
        </w:rPr>
        <w:t>治安警戒组职责</w:t>
      </w:r>
    </w:p>
    <w:p w14:paraId="4E2B544B">
      <w:pPr>
        <w:pStyle w:val="31"/>
        <w:rPr>
          <w:color w:val="auto"/>
        </w:rPr>
      </w:pPr>
      <w:r>
        <w:rPr>
          <w:rFonts w:hint="eastAsia"/>
          <w:color w:val="auto"/>
        </w:rPr>
        <w:t>(1)接到抢险指令后，佩戴好个人防护用品，由组长牵头召集队伍迅速奔赴现场，并迅速组织事故发生地或险情威胁区域的人员撤离出危险区域；</w:t>
      </w:r>
    </w:p>
    <w:p w14:paraId="45F6227A">
      <w:pPr>
        <w:pStyle w:val="31"/>
        <w:rPr>
          <w:color w:val="auto"/>
        </w:rPr>
      </w:pPr>
      <w:r>
        <w:rPr>
          <w:rFonts w:hint="eastAsia"/>
          <w:color w:val="auto"/>
        </w:rPr>
        <w:t>(2)根据应急指挥中心确定事故影响范围，封锁事故现场和危险区域，设置警示标识，并布置岗哨，加强警戒，巡逻检查，严禁与救援无关人员进入危险区域；</w:t>
      </w:r>
    </w:p>
    <w:p w14:paraId="0D1DE6FB">
      <w:pPr>
        <w:pStyle w:val="31"/>
        <w:rPr>
          <w:color w:val="auto"/>
        </w:rPr>
      </w:pPr>
      <w:r>
        <w:rPr>
          <w:rFonts w:hint="eastAsia"/>
          <w:color w:val="auto"/>
        </w:rPr>
        <w:t>(3)维护道路交通秩序，指挥抢救车辆行驶路线，引导外来救援力量进入事故现场；</w:t>
      </w:r>
    </w:p>
    <w:p w14:paraId="3C4F3960">
      <w:pPr>
        <w:pStyle w:val="31"/>
        <w:rPr>
          <w:color w:val="auto"/>
        </w:rPr>
      </w:pPr>
      <w:r>
        <w:rPr>
          <w:rFonts w:hint="eastAsia"/>
          <w:color w:val="auto"/>
        </w:rPr>
        <w:t>(4)配合有关部门组织厂内人员疏散到上游或上风向集合地点。</w:t>
      </w:r>
    </w:p>
    <w:p w14:paraId="37848699">
      <w:pPr>
        <w:pStyle w:val="7"/>
        <w:rPr>
          <w:color w:val="auto"/>
        </w:rPr>
      </w:pPr>
      <w:r>
        <w:rPr>
          <w:rFonts w:hint="eastAsia"/>
          <w:color w:val="auto"/>
          <w:lang w:eastAsia="zh-CN"/>
        </w:rPr>
        <w:t>3.</w:t>
      </w:r>
      <w:r>
        <w:rPr>
          <w:rFonts w:hint="eastAsia"/>
          <w:color w:val="auto"/>
        </w:rPr>
        <w:t>2.4.3</w:t>
      </w:r>
      <w:bookmarkEnd w:id="46"/>
      <w:bookmarkEnd w:id="47"/>
      <w:r>
        <w:rPr>
          <w:rFonts w:hint="eastAsia"/>
          <w:color w:val="auto"/>
        </w:rPr>
        <w:t>后勤保障组职责</w:t>
      </w:r>
    </w:p>
    <w:p w14:paraId="0671FF31">
      <w:pPr>
        <w:pStyle w:val="31"/>
        <w:rPr>
          <w:color w:val="auto"/>
        </w:rPr>
      </w:pPr>
      <w:bookmarkStart w:id="48" w:name="_Toc306266620"/>
      <w:bookmarkStart w:id="49" w:name="_Toc313023173"/>
      <w:r>
        <w:rPr>
          <w:rFonts w:hint="eastAsia"/>
          <w:color w:val="auto"/>
        </w:rPr>
        <w:t>(1)接到报警后，准备抢险抢救物资及设备工具；</w:t>
      </w:r>
    </w:p>
    <w:p w14:paraId="1A82105E">
      <w:pPr>
        <w:pStyle w:val="31"/>
        <w:rPr>
          <w:color w:val="auto"/>
        </w:rPr>
      </w:pPr>
      <w:r>
        <w:rPr>
          <w:rFonts w:hint="eastAsia"/>
          <w:color w:val="auto"/>
        </w:rPr>
        <w:t>(2)根据生产班组事故部位的管线、法兰、阀门、设备等型号及几何尺寸，对照库存储备，及时准确地提供备件；</w:t>
      </w:r>
    </w:p>
    <w:p w14:paraId="76CC9088">
      <w:pPr>
        <w:pStyle w:val="31"/>
        <w:rPr>
          <w:color w:val="auto"/>
        </w:rPr>
      </w:pPr>
      <w:r>
        <w:rPr>
          <w:rFonts w:hint="eastAsia"/>
          <w:color w:val="auto"/>
        </w:rPr>
        <w:t>(3)根据事故的程度，及时向外部门联系，调动物资等；</w:t>
      </w:r>
    </w:p>
    <w:p w14:paraId="47C42E79">
      <w:pPr>
        <w:pStyle w:val="31"/>
        <w:rPr>
          <w:color w:val="auto"/>
        </w:rPr>
      </w:pPr>
      <w:r>
        <w:rPr>
          <w:rFonts w:hint="eastAsia"/>
          <w:color w:val="auto"/>
        </w:rPr>
        <w:t>(4)负责保证事故现场救援设备、用水、用电等供应。</w:t>
      </w:r>
    </w:p>
    <w:bookmarkEnd w:id="48"/>
    <w:bookmarkEnd w:id="49"/>
    <w:p w14:paraId="5D9077B6">
      <w:pPr>
        <w:pStyle w:val="7"/>
        <w:rPr>
          <w:color w:val="auto"/>
        </w:rPr>
      </w:pPr>
      <w:bookmarkStart w:id="50" w:name="_Toc306266611"/>
      <w:bookmarkStart w:id="51" w:name="_Toc313023164"/>
      <w:r>
        <w:rPr>
          <w:rFonts w:hint="eastAsia"/>
          <w:color w:val="auto"/>
          <w:lang w:eastAsia="zh-CN"/>
        </w:rPr>
        <w:t>3.</w:t>
      </w:r>
      <w:r>
        <w:rPr>
          <w:rFonts w:hint="eastAsia"/>
          <w:color w:val="auto"/>
        </w:rPr>
        <w:t>2.4.4应急监测组职责</w:t>
      </w:r>
    </w:p>
    <w:p w14:paraId="474F0C11">
      <w:pPr>
        <w:pStyle w:val="31"/>
        <w:rPr>
          <w:color w:val="auto"/>
        </w:rPr>
      </w:pPr>
      <w:r>
        <w:rPr>
          <w:rFonts w:hint="eastAsia"/>
          <w:color w:val="auto"/>
        </w:rPr>
        <w:t>(1)事故发生后，协助环境监测站对事故区域大气、地表水中污染物浓度进行监测，确定污染物的浓度、成分及流量，处置过程中要及时提供上述监测数据。</w:t>
      </w:r>
    </w:p>
    <w:p w14:paraId="4A016276">
      <w:pPr>
        <w:pStyle w:val="31"/>
        <w:rPr>
          <w:color w:val="auto"/>
        </w:rPr>
      </w:pPr>
      <w:r>
        <w:rPr>
          <w:rFonts w:hint="eastAsia"/>
          <w:color w:val="auto"/>
        </w:rPr>
        <w:t>(2)检查环保应急处置措施的落实及周围环境状况，对突发环境事件造成的环境影响进行实时评估，并及时向现场应急指挥部汇报，确定有效防治环境污染的对策。</w:t>
      </w:r>
    </w:p>
    <w:p w14:paraId="51ED4FA3">
      <w:pPr>
        <w:pStyle w:val="31"/>
        <w:rPr>
          <w:color w:val="auto"/>
        </w:rPr>
      </w:pPr>
      <w:r>
        <w:rPr>
          <w:rFonts w:hint="eastAsia"/>
          <w:color w:val="auto"/>
        </w:rPr>
        <w:t>(3)做好对受污染的设施、设备或场所的善后环境修复处理工作。</w:t>
      </w:r>
    </w:p>
    <w:p w14:paraId="4BBF1540">
      <w:pPr>
        <w:pStyle w:val="31"/>
        <w:rPr>
          <w:color w:val="auto"/>
        </w:rPr>
      </w:pPr>
      <w:r>
        <w:rPr>
          <w:rFonts w:hint="eastAsia"/>
          <w:color w:val="auto"/>
        </w:rPr>
        <w:t>(4)做好材料的收集工作和调查工作。</w:t>
      </w:r>
    </w:p>
    <w:p w14:paraId="3F72CC77">
      <w:pPr>
        <w:pStyle w:val="31"/>
        <w:rPr>
          <w:color w:val="auto"/>
        </w:rPr>
      </w:pPr>
      <w:r>
        <w:rPr>
          <w:rFonts w:hint="eastAsia"/>
          <w:color w:val="auto"/>
        </w:rPr>
        <w:t>(5)负责应急指挥中心交办的其它任务。</w:t>
      </w:r>
    </w:p>
    <w:p w14:paraId="099A01E3">
      <w:pPr>
        <w:pStyle w:val="7"/>
        <w:rPr>
          <w:color w:val="auto"/>
        </w:rPr>
      </w:pPr>
      <w:r>
        <w:rPr>
          <w:rFonts w:hint="eastAsia"/>
          <w:color w:val="auto"/>
          <w:lang w:eastAsia="zh-CN"/>
        </w:rPr>
        <w:t>3.</w:t>
      </w:r>
      <w:r>
        <w:rPr>
          <w:rFonts w:hint="eastAsia"/>
          <w:color w:val="auto"/>
        </w:rPr>
        <w:t>2.4.5</w:t>
      </w:r>
      <w:bookmarkEnd w:id="50"/>
      <w:bookmarkEnd w:id="51"/>
      <w:r>
        <w:rPr>
          <w:rFonts w:hint="eastAsia"/>
          <w:color w:val="auto"/>
        </w:rPr>
        <w:t>医疗救护组职责</w:t>
      </w:r>
    </w:p>
    <w:p w14:paraId="4E9E9CFC">
      <w:pPr>
        <w:pStyle w:val="31"/>
        <w:rPr>
          <w:color w:val="auto"/>
        </w:rPr>
      </w:pPr>
      <w:bookmarkStart w:id="52" w:name="_Toc306266624"/>
      <w:bookmarkStart w:id="53" w:name="_Toc313023177"/>
      <w:r>
        <w:rPr>
          <w:color w:val="auto"/>
        </w:rPr>
        <w:t>组织医疗救治。提供所需药品、医疗器械。负责灾区消毒防疾，确保灾区饮食卫生。完成指挥部赋予的其它工作任务</w:t>
      </w:r>
      <w:r>
        <w:rPr>
          <w:rFonts w:hint="eastAsia"/>
          <w:color w:val="auto"/>
        </w:rPr>
        <w:t>。</w:t>
      </w:r>
    </w:p>
    <w:bookmarkEnd w:id="52"/>
    <w:bookmarkEnd w:id="53"/>
    <w:p w14:paraId="37A757D2">
      <w:pPr>
        <w:pStyle w:val="7"/>
        <w:rPr>
          <w:color w:val="auto"/>
        </w:rPr>
      </w:pPr>
      <w:r>
        <w:rPr>
          <w:rFonts w:hint="eastAsia"/>
          <w:color w:val="auto"/>
          <w:lang w:eastAsia="zh-CN"/>
        </w:rPr>
        <w:t>3.</w:t>
      </w:r>
      <w:r>
        <w:rPr>
          <w:rFonts w:hint="eastAsia"/>
          <w:color w:val="auto"/>
        </w:rPr>
        <w:t>2.4.6通讯联络</w:t>
      </w:r>
      <w:r>
        <w:rPr>
          <w:rFonts w:hint="eastAsia"/>
          <w:color w:val="auto"/>
          <w:lang w:val="en-US" w:eastAsia="zh-CN"/>
        </w:rPr>
        <w:t>组</w:t>
      </w:r>
      <w:r>
        <w:rPr>
          <w:rFonts w:hint="eastAsia"/>
          <w:color w:val="auto"/>
        </w:rPr>
        <w:t>职责</w:t>
      </w:r>
    </w:p>
    <w:p w14:paraId="7E0898E2">
      <w:pPr>
        <w:ind w:firstLine="482"/>
        <w:rPr>
          <w:b w:val="0"/>
          <w:bCs/>
          <w:color w:val="auto"/>
        </w:rPr>
      </w:pPr>
      <w:r>
        <w:rPr>
          <w:color w:val="auto"/>
        </w:rPr>
        <w:t>携带通讯设备，确保各专业队与指挥部和领导小组之间通讯的畅通，协调各专业队应急救援行动。</w:t>
      </w:r>
    </w:p>
    <w:p w14:paraId="56D1B29D">
      <w:pPr>
        <w:pStyle w:val="5"/>
        <w:spacing w:before="156" w:after="156"/>
        <w:rPr>
          <w:rFonts w:hint="default" w:ascii="Times New Roman" w:hAnsi="Times New Roman" w:eastAsia="宋体"/>
          <w:color w:val="auto"/>
          <w:lang w:val="en-US" w:eastAsia="zh-CN"/>
        </w:rPr>
      </w:pPr>
      <w:bookmarkStart w:id="54" w:name="_Toc17880"/>
      <w:bookmarkStart w:id="55" w:name="_Toc476314972"/>
      <w:r>
        <w:rPr>
          <w:rFonts w:hint="default" w:ascii="Times New Roman" w:hAnsi="Times New Roman" w:eastAsia="宋体"/>
          <w:color w:val="auto"/>
          <w:lang w:val="en-US" w:eastAsia="zh-CN"/>
        </w:rPr>
        <w:t>3.</w:t>
      </w:r>
      <w:r>
        <w:rPr>
          <w:rFonts w:hint="eastAsia" w:ascii="Times New Roman" w:hAnsi="Times New Roman" w:eastAsia="宋体"/>
          <w:color w:val="auto"/>
          <w:lang w:val="en-US" w:eastAsia="zh-CN"/>
        </w:rPr>
        <w:t>3</w:t>
      </w:r>
      <w:r>
        <w:rPr>
          <w:rFonts w:hint="default" w:ascii="Times New Roman" w:hAnsi="Times New Roman" w:eastAsia="宋体"/>
          <w:color w:val="auto"/>
          <w:lang w:val="en-US" w:eastAsia="zh-CN"/>
        </w:rPr>
        <w:t>环境风险排查隐</w:t>
      </w:r>
      <w:bookmarkStart w:id="56" w:name="_Toc32516_WPSOffice_Level2"/>
      <w:r>
        <w:rPr>
          <w:rFonts w:hint="default" w:ascii="Times New Roman" w:hAnsi="Times New Roman" w:eastAsia="宋体"/>
          <w:color w:val="auto"/>
          <w:lang w:val="en-US" w:eastAsia="zh-CN"/>
        </w:rPr>
        <w:t>患措施</w:t>
      </w:r>
      <w:bookmarkEnd w:id="54"/>
    </w:p>
    <w:p w14:paraId="2C4A63AC">
      <w:pPr>
        <w:widowControl/>
        <w:shd w:val="clear" w:color="auto" w:fill="FFFFFF"/>
        <w:kinsoku/>
        <w:autoSpaceDE w:val="0"/>
        <w:autoSpaceDN w:val="0"/>
        <w:adjustRightInd/>
        <w:snapToGrid/>
        <w:spacing w:line="360" w:lineRule="auto"/>
        <w:ind w:firstLine="480" w:firstLineChars="200"/>
        <w:jc w:val="left"/>
        <w:textAlignment w:val="auto"/>
        <w:rPr>
          <w:rFonts w:ascii="Times New Roman" w:hAnsi="Times New Roman" w:eastAsia="宋体" w:cs="Times New Roman"/>
          <w:bCs/>
          <w:snapToGrid/>
          <w:color w:val="auto"/>
          <w:kern w:val="2"/>
          <w:sz w:val="24"/>
          <w:szCs w:val="24"/>
          <w:lang w:eastAsia="zh-CN"/>
        </w:rPr>
      </w:pPr>
      <w:r>
        <w:rPr>
          <w:rFonts w:ascii="Times New Roman" w:hAnsi="Times New Roman" w:eastAsia="宋体" w:cs="Times New Roman"/>
          <w:bCs/>
          <w:snapToGrid/>
          <w:color w:val="auto"/>
          <w:kern w:val="2"/>
          <w:sz w:val="24"/>
          <w:szCs w:val="24"/>
          <w:lang w:eastAsia="zh-CN"/>
        </w:rPr>
        <w:t>（1）建立由</w:t>
      </w:r>
      <w:bookmarkEnd w:id="56"/>
      <w:r>
        <w:rPr>
          <w:rFonts w:ascii="Times New Roman" w:hAnsi="Times New Roman" w:eastAsia="宋体" w:cs="Times New Roman"/>
          <w:bCs/>
          <w:snapToGrid/>
          <w:color w:val="auto"/>
          <w:kern w:val="2"/>
          <w:sz w:val="24"/>
          <w:szCs w:val="24"/>
          <w:lang w:eastAsia="zh-CN"/>
        </w:rPr>
        <w:t>主要负责人任组长的环境风险隐患排查</w:t>
      </w:r>
      <w:bookmarkStart w:id="57" w:name="_Toc20986_WPSOffice_Level2"/>
      <w:r>
        <w:rPr>
          <w:rFonts w:ascii="Times New Roman" w:hAnsi="Times New Roman" w:eastAsia="宋体" w:cs="Times New Roman"/>
          <w:bCs/>
          <w:snapToGrid/>
          <w:color w:val="auto"/>
          <w:kern w:val="2"/>
          <w:sz w:val="24"/>
          <w:szCs w:val="24"/>
          <w:lang w:eastAsia="zh-CN"/>
        </w:rPr>
        <w:t>治理领导小组，全面</w:t>
      </w:r>
      <w:bookmarkEnd w:id="57"/>
      <w:r>
        <w:rPr>
          <w:rFonts w:ascii="Times New Roman" w:hAnsi="Times New Roman" w:eastAsia="宋体" w:cs="Times New Roman"/>
          <w:bCs/>
          <w:snapToGrid/>
          <w:color w:val="auto"/>
          <w:kern w:val="2"/>
          <w:sz w:val="24"/>
          <w:szCs w:val="24"/>
          <w:lang w:eastAsia="zh-CN"/>
        </w:rPr>
        <w:t>负责企业的环境风险隐患排查治理工作；并建立三级联防联控机制。</w:t>
      </w:r>
    </w:p>
    <w:p w14:paraId="21DAACF5">
      <w:pPr>
        <w:widowControl/>
        <w:shd w:val="clear" w:color="auto" w:fill="FFFFFF"/>
        <w:kinsoku/>
        <w:autoSpaceDE w:val="0"/>
        <w:autoSpaceDN w:val="0"/>
        <w:adjustRightInd/>
        <w:snapToGrid/>
        <w:spacing w:line="360" w:lineRule="auto"/>
        <w:ind w:firstLine="480" w:firstLineChars="200"/>
        <w:jc w:val="left"/>
        <w:textAlignment w:val="auto"/>
        <w:rPr>
          <w:rFonts w:ascii="Times New Roman" w:hAnsi="Times New Roman" w:eastAsia="宋体" w:cs="Times New Roman"/>
          <w:bCs/>
          <w:snapToGrid/>
          <w:color w:val="auto"/>
          <w:kern w:val="2"/>
          <w:sz w:val="24"/>
          <w:szCs w:val="24"/>
          <w:lang w:eastAsia="zh-CN"/>
        </w:rPr>
      </w:pPr>
      <w:r>
        <w:rPr>
          <w:rFonts w:ascii="Times New Roman" w:hAnsi="Times New Roman" w:eastAsia="宋体" w:cs="Times New Roman"/>
          <w:bCs/>
          <w:snapToGrid/>
          <w:color w:val="auto"/>
          <w:kern w:val="2"/>
          <w:sz w:val="24"/>
          <w:szCs w:val="24"/>
          <w:lang w:eastAsia="zh-CN"/>
        </w:rPr>
        <w:t>（2）实行定期（专项、季节、节假日等隐患检查）或不定期（日常的隐患排查）的隐患排查，及时根据隐患产生的原因，制定隐患整改方案和防范措施。</w:t>
      </w:r>
    </w:p>
    <w:p w14:paraId="7B144C5F">
      <w:pPr>
        <w:widowControl/>
        <w:shd w:val="clear" w:color="auto" w:fill="FFFFFF"/>
        <w:kinsoku/>
        <w:autoSpaceDE w:val="0"/>
        <w:autoSpaceDN w:val="0"/>
        <w:adjustRightInd/>
        <w:snapToGrid/>
        <w:spacing w:line="360" w:lineRule="auto"/>
        <w:ind w:firstLine="480" w:firstLineChars="200"/>
        <w:jc w:val="left"/>
        <w:textAlignment w:val="auto"/>
        <w:rPr>
          <w:rFonts w:ascii="Times New Roman" w:hAnsi="Times New Roman" w:eastAsia="宋体" w:cs="Times New Roman"/>
          <w:bCs/>
          <w:snapToGrid/>
          <w:color w:val="auto"/>
          <w:kern w:val="2"/>
          <w:sz w:val="24"/>
          <w:szCs w:val="24"/>
          <w:lang w:eastAsia="zh-CN"/>
        </w:rPr>
      </w:pPr>
      <w:r>
        <w:rPr>
          <w:rFonts w:ascii="Times New Roman" w:hAnsi="Times New Roman" w:eastAsia="宋体" w:cs="Times New Roman"/>
          <w:bCs/>
          <w:snapToGrid/>
          <w:color w:val="auto"/>
          <w:kern w:val="2"/>
          <w:sz w:val="24"/>
          <w:szCs w:val="24"/>
          <w:lang w:eastAsia="zh-CN"/>
        </w:rPr>
        <w:t>（3）主要从以下几点进行环境风险排查：1）设备、设施是否处于正常的安全运行状态；2）有毒、有害等危险作业场所的安全状况；3）从业人员在工作中是否严格遵守安全生产规章制度和操作规程，是否正确佩带劳动防护用品；4）现场生产管理或指挥人员有无违章指挥；5）危险源的</w:t>
      </w:r>
      <w:bookmarkStart w:id="58" w:name="_Toc5294_WPSOffice_Level1"/>
      <w:r>
        <w:rPr>
          <w:rFonts w:ascii="Times New Roman" w:hAnsi="Times New Roman" w:eastAsia="宋体" w:cs="Times New Roman"/>
          <w:bCs/>
          <w:snapToGrid/>
          <w:color w:val="auto"/>
          <w:kern w:val="2"/>
          <w:sz w:val="24"/>
          <w:szCs w:val="24"/>
          <w:lang w:eastAsia="zh-CN"/>
        </w:rPr>
        <w:t>检测监控措施是否落实到位等情况。</w:t>
      </w:r>
    </w:p>
    <w:p w14:paraId="5867E94A">
      <w:pPr>
        <w:widowControl/>
        <w:shd w:val="clear" w:color="auto" w:fill="FFFFFF"/>
        <w:kinsoku/>
        <w:autoSpaceDE w:val="0"/>
        <w:autoSpaceDN w:val="0"/>
        <w:adjustRightInd/>
        <w:snapToGrid/>
        <w:spacing w:line="360" w:lineRule="auto"/>
        <w:ind w:firstLine="480" w:firstLineChars="200"/>
        <w:jc w:val="left"/>
        <w:textAlignment w:val="auto"/>
        <w:rPr>
          <w:rFonts w:ascii="Times New Roman" w:hAnsi="Times New Roman" w:eastAsia="宋体" w:cs="Times New Roman"/>
          <w:bCs/>
          <w:snapToGrid/>
          <w:color w:val="auto"/>
          <w:kern w:val="2"/>
          <w:sz w:val="24"/>
          <w:szCs w:val="24"/>
          <w:lang w:eastAsia="zh-CN"/>
        </w:rPr>
      </w:pPr>
      <w:r>
        <w:rPr>
          <w:rFonts w:ascii="Times New Roman" w:hAnsi="Times New Roman" w:eastAsia="宋体" w:cs="Times New Roman"/>
          <w:bCs/>
          <w:snapToGrid/>
          <w:color w:val="auto"/>
          <w:kern w:val="2"/>
          <w:sz w:val="24"/>
          <w:szCs w:val="24"/>
          <w:lang w:eastAsia="zh-CN"/>
        </w:rPr>
        <w:t>（4）对排查出的隐患，及时查找原因，及时整改，</w:t>
      </w:r>
      <w:bookmarkEnd w:id="58"/>
      <w:r>
        <w:rPr>
          <w:rFonts w:ascii="Times New Roman" w:hAnsi="Times New Roman" w:eastAsia="宋体" w:cs="Times New Roman"/>
          <w:bCs/>
          <w:snapToGrid/>
          <w:color w:val="auto"/>
          <w:kern w:val="2"/>
          <w:sz w:val="24"/>
          <w:szCs w:val="24"/>
          <w:lang w:eastAsia="zh-CN"/>
        </w:rPr>
        <w:t>整</w:t>
      </w:r>
      <w:bookmarkStart w:id="59" w:name="_Toc14728_WPSOffice_Level2"/>
      <w:r>
        <w:rPr>
          <w:rFonts w:ascii="Times New Roman" w:hAnsi="Times New Roman" w:eastAsia="宋体" w:cs="Times New Roman"/>
          <w:bCs/>
          <w:snapToGrid/>
          <w:color w:val="auto"/>
          <w:kern w:val="2"/>
          <w:sz w:val="24"/>
          <w:szCs w:val="24"/>
          <w:lang w:eastAsia="zh-CN"/>
        </w:rPr>
        <w:t>责任单位，必须按规</w:t>
      </w:r>
      <w:bookmarkEnd w:id="59"/>
      <w:r>
        <w:rPr>
          <w:rFonts w:ascii="Times New Roman" w:hAnsi="Times New Roman" w:eastAsia="宋体" w:cs="Times New Roman"/>
          <w:bCs/>
          <w:snapToGrid/>
          <w:color w:val="auto"/>
          <w:kern w:val="2"/>
          <w:sz w:val="24"/>
          <w:szCs w:val="24"/>
          <w:lang w:eastAsia="zh-CN"/>
        </w:rPr>
        <w:t>定</w:t>
      </w:r>
      <w:bookmarkStart w:id="60" w:name="_Toc14484_WPSOffice_Level3"/>
      <w:r>
        <w:rPr>
          <w:rFonts w:ascii="Times New Roman" w:hAnsi="Times New Roman" w:eastAsia="宋体" w:cs="Times New Roman"/>
          <w:bCs/>
          <w:snapToGrid/>
          <w:color w:val="auto"/>
          <w:kern w:val="2"/>
          <w:sz w:val="24"/>
          <w:szCs w:val="24"/>
          <w:lang w:eastAsia="zh-CN"/>
        </w:rPr>
        <w:t>的时间进行整改，不得互相推</w:t>
      </w:r>
      <w:bookmarkEnd w:id="60"/>
      <w:r>
        <w:rPr>
          <w:rFonts w:ascii="Times New Roman" w:hAnsi="Times New Roman" w:eastAsia="宋体" w:cs="Times New Roman"/>
          <w:bCs/>
          <w:snapToGrid/>
          <w:color w:val="auto"/>
          <w:kern w:val="2"/>
          <w:sz w:val="24"/>
          <w:szCs w:val="24"/>
          <w:lang w:eastAsia="zh-CN"/>
        </w:rPr>
        <w:t>诿、扯皮，拖期、延期。</w:t>
      </w:r>
    </w:p>
    <w:p w14:paraId="0AAB600E">
      <w:pPr>
        <w:widowControl w:val="0"/>
        <w:kinsoku/>
        <w:autoSpaceDE/>
        <w:autoSpaceDN/>
        <w:adjustRightInd/>
        <w:snapToGrid/>
        <w:spacing w:line="360" w:lineRule="auto"/>
        <w:ind w:firstLine="480" w:firstLineChars="200"/>
        <w:jc w:val="left"/>
        <w:textAlignment w:val="auto"/>
        <w:rPr>
          <w:rFonts w:ascii="Times New Roman" w:hAnsi="Times New Roman" w:eastAsia="宋体" w:cs="Times New Roman"/>
          <w:snapToGrid/>
          <w:color w:val="auto"/>
          <w:kern w:val="2"/>
          <w:sz w:val="24"/>
          <w:szCs w:val="24"/>
          <w:lang w:eastAsia="zh-CN"/>
        </w:rPr>
      </w:pPr>
      <w:bookmarkStart w:id="61" w:name="_Toc27860"/>
      <w:bookmarkStart w:id="62" w:name="_Toc17606"/>
      <w:bookmarkStart w:id="63" w:name="_Toc24670"/>
      <w:r>
        <w:rPr>
          <w:rFonts w:ascii="Times New Roman" w:hAnsi="Times New Roman" w:eastAsia="宋体" w:cs="Times New Roman"/>
          <w:snapToGrid/>
          <w:color w:val="auto"/>
          <w:kern w:val="2"/>
          <w:sz w:val="24"/>
          <w:szCs w:val="24"/>
          <w:lang w:eastAsia="zh-CN"/>
        </w:rPr>
        <w:t>（5）积极配合上级有关部门开展的隐患排查治理活动，落实隐患整改措施和责任。</w:t>
      </w:r>
      <w:bookmarkEnd w:id="61"/>
      <w:bookmarkEnd w:id="62"/>
      <w:bookmarkEnd w:id="63"/>
    </w:p>
    <w:p w14:paraId="25E6673D">
      <w:pPr>
        <w:widowControl w:val="0"/>
        <w:kinsoku/>
        <w:autoSpaceDE/>
        <w:autoSpaceDN/>
        <w:adjustRightInd/>
        <w:snapToGrid/>
        <w:spacing w:line="360" w:lineRule="auto"/>
        <w:ind w:firstLine="480" w:firstLineChars="200"/>
        <w:jc w:val="left"/>
        <w:textAlignment w:val="auto"/>
        <w:rPr>
          <w:rFonts w:ascii="Times New Roman" w:hAnsi="Times New Roman" w:eastAsia="宋体" w:cs="Times New Roman"/>
          <w:snapToGrid/>
          <w:color w:val="auto"/>
          <w:kern w:val="2"/>
          <w:sz w:val="24"/>
          <w:szCs w:val="22"/>
          <w:lang w:eastAsia="zh-CN"/>
        </w:rPr>
      </w:pPr>
      <w:bookmarkStart w:id="64" w:name="_Toc29089"/>
      <w:bookmarkStart w:id="65" w:name="_Toc9639"/>
      <w:bookmarkStart w:id="66" w:name="_Toc15583"/>
      <w:r>
        <w:rPr>
          <w:rFonts w:ascii="Times New Roman" w:hAnsi="Times New Roman" w:eastAsia="宋体" w:cs="Times New Roman"/>
          <w:snapToGrid/>
          <w:color w:val="auto"/>
          <w:kern w:val="2"/>
          <w:sz w:val="24"/>
          <w:szCs w:val="22"/>
          <w:lang w:eastAsia="zh-CN"/>
        </w:rPr>
        <w:t>（6）其他各部门及人员对发现的环境风险隐患，应及时报告，重大隐患可直接上报公司主要领导，以保证尽快解决。</w:t>
      </w:r>
      <w:bookmarkEnd w:id="64"/>
      <w:bookmarkEnd w:id="65"/>
      <w:bookmarkEnd w:id="66"/>
    </w:p>
    <w:p w14:paraId="6B28CB8C">
      <w:pPr>
        <w:widowControl w:val="0"/>
        <w:kinsoku/>
        <w:autoSpaceDE/>
        <w:autoSpaceDN/>
        <w:adjustRightInd/>
        <w:snapToGrid/>
        <w:spacing w:line="360" w:lineRule="auto"/>
        <w:ind w:firstLine="480" w:firstLineChars="200"/>
        <w:jc w:val="left"/>
        <w:textAlignment w:val="auto"/>
        <w:rPr>
          <w:rFonts w:ascii="Times New Roman" w:hAnsi="Times New Roman" w:eastAsia="宋体" w:cs="Times New Roman"/>
          <w:snapToGrid/>
          <w:color w:val="auto"/>
          <w:kern w:val="2"/>
          <w:sz w:val="24"/>
          <w:szCs w:val="22"/>
          <w:lang w:eastAsia="zh-CN"/>
        </w:rPr>
      </w:pPr>
      <w:bookmarkStart w:id="67" w:name="_Toc17841"/>
      <w:bookmarkStart w:id="68" w:name="_Toc17670"/>
      <w:bookmarkStart w:id="69" w:name="_Toc1596"/>
      <w:r>
        <w:rPr>
          <w:rFonts w:ascii="Times New Roman" w:hAnsi="Times New Roman" w:eastAsia="宋体" w:cs="Times New Roman"/>
          <w:snapToGrid/>
          <w:color w:val="auto"/>
          <w:kern w:val="2"/>
          <w:sz w:val="24"/>
          <w:szCs w:val="22"/>
          <w:lang w:eastAsia="zh-CN"/>
        </w:rPr>
        <w:t>（7）职工发现直接危及人身安全的紧急情况时，有权停止作业或者在采取可能的应急措施后撤离作业场所。</w:t>
      </w:r>
      <w:bookmarkEnd w:id="67"/>
      <w:bookmarkEnd w:id="68"/>
      <w:bookmarkEnd w:id="69"/>
    </w:p>
    <w:p w14:paraId="121FDD23">
      <w:pPr>
        <w:widowControl w:val="0"/>
        <w:tabs>
          <w:tab w:val="left" w:pos="954"/>
        </w:tabs>
        <w:kinsoku/>
        <w:autoSpaceDE w:val="0"/>
        <w:autoSpaceDN w:val="0"/>
        <w:adjustRightInd/>
        <w:snapToGrid/>
        <w:spacing w:line="360" w:lineRule="auto"/>
        <w:ind w:firstLine="480" w:firstLineChars="200"/>
        <w:jc w:val="left"/>
        <w:textAlignment w:val="auto"/>
        <w:rPr>
          <w:rFonts w:ascii="Times New Roman" w:hAnsi="Times New Roman" w:eastAsia="宋体" w:cs="Times New Roman"/>
          <w:bCs/>
          <w:snapToGrid/>
          <w:color w:val="auto"/>
          <w:kern w:val="2"/>
          <w:sz w:val="24"/>
          <w:szCs w:val="24"/>
          <w:lang w:eastAsia="zh-CN"/>
        </w:rPr>
      </w:pPr>
      <w:r>
        <w:rPr>
          <w:rFonts w:ascii="Times New Roman" w:hAnsi="Times New Roman" w:eastAsia="宋体" w:cs="Times New Roman"/>
          <w:bCs/>
          <w:snapToGrid/>
          <w:color w:val="auto"/>
          <w:kern w:val="2"/>
          <w:sz w:val="24"/>
          <w:szCs w:val="24"/>
          <w:lang w:eastAsia="zh-CN"/>
        </w:rPr>
        <w:t>（8）对于由于资金或技术问题等暂时不能立即整改的隐患问题，必须采取可靠的防范措施，如实告知现场工作人员存在的危险因素；对于重大安全隐患无法保证安全的，要立即停产整改。</w:t>
      </w:r>
    </w:p>
    <w:p w14:paraId="6037C146">
      <w:pPr>
        <w:widowControl w:val="0"/>
        <w:tabs>
          <w:tab w:val="left" w:pos="954"/>
        </w:tabs>
        <w:kinsoku/>
        <w:autoSpaceDE w:val="0"/>
        <w:autoSpaceDN w:val="0"/>
        <w:adjustRightInd/>
        <w:snapToGrid/>
        <w:spacing w:line="360" w:lineRule="auto"/>
        <w:ind w:firstLine="480" w:firstLineChars="200"/>
        <w:jc w:val="left"/>
        <w:textAlignment w:val="auto"/>
        <w:rPr>
          <w:rFonts w:ascii="Times New Roman" w:hAnsi="Times New Roman" w:eastAsia="宋体" w:cs="Times New Roman"/>
          <w:bCs/>
          <w:snapToGrid/>
          <w:color w:val="auto"/>
          <w:kern w:val="2"/>
          <w:sz w:val="24"/>
          <w:szCs w:val="24"/>
          <w:lang w:eastAsia="zh-CN"/>
        </w:rPr>
      </w:pPr>
      <w:r>
        <w:rPr>
          <w:rFonts w:ascii="Times New Roman" w:hAnsi="Times New Roman" w:eastAsia="宋体" w:cs="Times New Roman"/>
          <w:bCs/>
          <w:snapToGrid/>
          <w:color w:val="auto"/>
          <w:kern w:val="2"/>
          <w:sz w:val="24"/>
          <w:szCs w:val="24"/>
          <w:lang w:eastAsia="zh-CN"/>
        </w:rPr>
        <w:t>（9）对需要整改的环境隐患问题，要下达隐患整改通知书、验收意见书等书面资料，要认真填写，并经有关人员签字后存档。</w:t>
      </w:r>
    </w:p>
    <w:p w14:paraId="4893F536">
      <w:pPr>
        <w:widowControl w:val="0"/>
        <w:tabs>
          <w:tab w:val="left" w:pos="954"/>
        </w:tabs>
        <w:kinsoku/>
        <w:autoSpaceDE w:val="0"/>
        <w:autoSpaceDN w:val="0"/>
        <w:adjustRightInd/>
        <w:snapToGrid/>
        <w:spacing w:line="360" w:lineRule="auto"/>
        <w:ind w:firstLine="480" w:firstLineChars="200"/>
        <w:jc w:val="left"/>
        <w:textAlignment w:val="auto"/>
        <w:rPr>
          <w:rFonts w:ascii="Times New Roman" w:hAnsi="Times New Roman" w:eastAsia="宋体" w:cs="Times New Roman"/>
          <w:bCs/>
          <w:snapToGrid/>
          <w:color w:val="auto"/>
          <w:kern w:val="2"/>
          <w:sz w:val="24"/>
          <w:szCs w:val="24"/>
          <w:lang w:eastAsia="zh-CN"/>
        </w:rPr>
      </w:pPr>
      <w:r>
        <w:rPr>
          <w:rFonts w:ascii="Times New Roman" w:hAnsi="Times New Roman" w:eastAsia="宋体" w:cs="Times New Roman"/>
          <w:bCs/>
          <w:snapToGrid/>
          <w:color w:val="auto"/>
          <w:kern w:val="2"/>
          <w:sz w:val="24"/>
          <w:szCs w:val="24"/>
          <w:lang w:eastAsia="zh-CN"/>
        </w:rPr>
        <w:t xml:space="preserve">（10）对未按期、按要求整改隐患的， 视情节轻重对相关责任部门和人员给于经济处罚，由此引起重大伤亡事故的，承担相应的法律责任。 </w:t>
      </w:r>
    </w:p>
    <w:p w14:paraId="5892E23F">
      <w:pPr>
        <w:widowControl w:val="0"/>
        <w:tabs>
          <w:tab w:val="left" w:pos="954"/>
        </w:tabs>
        <w:kinsoku/>
        <w:autoSpaceDE w:val="0"/>
        <w:autoSpaceDN w:val="0"/>
        <w:adjustRightInd/>
        <w:snapToGrid/>
        <w:spacing w:line="360" w:lineRule="auto"/>
        <w:ind w:firstLine="480" w:firstLineChars="200"/>
        <w:jc w:val="left"/>
        <w:textAlignment w:val="auto"/>
        <w:rPr>
          <w:rFonts w:ascii="Times New Roman" w:hAnsi="Times New Roman" w:eastAsia="宋体" w:cs="Times New Roman"/>
          <w:bCs/>
          <w:snapToGrid/>
          <w:color w:val="auto"/>
          <w:kern w:val="2"/>
          <w:sz w:val="24"/>
          <w:szCs w:val="24"/>
          <w:lang w:eastAsia="zh-CN"/>
        </w:rPr>
      </w:pPr>
      <w:r>
        <w:rPr>
          <w:rFonts w:ascii="Times New Roman" w:hAnsi="Times New Roman" w:eastAsia="宋体" w:cs="Times New Roman"/>
          <w:bCs/>
          <w:snapToGrid/>
          <w:color w:val="auto"/>
          <w:kern w:val="2"/>
          <w:sz w:val="24"/>
          <w:szCs w:val="24"/>
          <w:lang w:eastAsia="zh-CN"/>
        </w:rPr>
        <w:t>（11）对所排查的隐患问题，要有隐患排查记录台帐和隐患治理台帐，要存档备案。（备注：根据企业实际情况，企业的环境隐患排查记录台账和隐患治理台账、下达的隐患整改通知书、验收意见书等并入安全生产隐患排查记录台账和隐患治理台账、下达的隐患整改通知书、验收意见书，一并管理。）</w:t>
      </w:r>
    </w:p>
    <w:p w14:paraId="2C80FD73">
      <w:pPr>
        <w:widowControl w:val="0"/>
        <w:tabs>
          <w:tab w:val="left" w:pos="954"/>
        </w:tabs>
        <w:kinsoku/>
        <w:autoSpaceDE w:val="0"/>
        <w:autoSpaceDN w:val="0"/>
        <w:adjustRightInd/>
        <w:snapToGrid/>
        <w:spacing w:line="360" w:lineRule="auto"/>
        <w:ind w:firstLine="480" w:firstLineChars="200"/>
        <w:jc w:val="left"/>
        <w:textAlignment w:val="auto"/>
        <w:rPr>
          <w:rFonts w:ascii="Times New Roman" w:hAnsi="Times New Roman" w:eastAsia="宋体" w:cs="Times New Roman"/>
          <w:bCs/>
          <w:snapToGrid/>
          <w:color w:val="auto"/>
          <w:kern w:val="2"/>
          <w:sz w:val="24"/>
          <w:szCs w:val="24"/>
          <w:lang w:eastAsia="zh-CN"/>
        </w:rPr>
      </w:pPr>
      <w:r>
        <w:rPr>
          <w:rFonts w:ascii="Times New Roman" w:hAnsi="Times New Roman" w:eastAsia="宋体" w:cs="Times New Roman"/>
          <w:bCs/>
          <w:snapToGrid/>
          <w:color w:val="auto"/>
          <w:kern w:val="2"/>
          <w:sz w:val="24"/>
          <w:szCs w:val="24"/>
          <w:lang w:eastAsia="zh-CN"/>
        </w:rPr>
        <w:t>（12）对上级</w:t>
      </w:r>
      <w:bookmarkStart w:id="70" w:name="_Toc23533_WPSOffice_Level3"/>
      <w:r>
        <w:rPr>
          <w:rFonts w:ascii="Times New Roman" w:hAnsi="Times New Roman" w:eastAsia="宋体" w:cs="Times New Roman"/>
          <w:bCs/>
          <w:snapToGrid/>
          <w:color w:val="auto"/>
          <w:kern w:val="2"/>
          <w:sz w:val="24"/>
          <w:szCs w:val="24"/>
          <w:lang w:eastAsia="zh-CN"/>
        </w:rPr>
        <w:t>有关部门挂牌督办的隐患，予以公示告知，限期治</w:t>
      </w:r>
      <w:bookmarkEnd w:id="70"/>
      <w:r>
        <w:rPr>
          <w:rFonts w:ascii="Times New Roman" w:hAnsi="Times New Roman" w:eastAsia="宋体" w:cs="Times New Roman"/>
          <w:bCs/>
          <w:snapToGrid/>
          <w:color w:val="auto"/>
          <w:kern w:val="2"/>
          <w:sz w:val="24"/>
          <w:szCs w:val="24"/>
          <w:lang w:eastAsia="zh-CN"/>
        </w:rPr>
        <w:t>理，治理工作结束后，要向负责督办的单位提出书面复查申请。</w:t>
      </w:r>
    </w:p>
    <w:p w14:paraId="476D6E6A">
      <w:pPr>
        <w:widowControl w:val="0"/>
        <w:tabs>
          <w:tab w:val="left" w:pos="954"/>
        </w:tabs>
        <w:kinsoku/>
        <w:autoSpaceDE w:val="0"/>
        <w:autoSpaceDN w:val="0"/>
        <w:adjustRightInd/>
        <w:snapToGrid/>
        <w:spacing w:line="360" w:lineRule="auto"/>
        <w:ind w:firstLine="480" w:firstLineChars="200"/>
        <w:jc w:val="left"/>
        <w:textAlignment w:val="auto"/>
        <w:rPr>
          <w:rFonts w:ascii="Times New Roman" w:hAnsi="Times New Roman" w:eastAsia="宋体" w:cs="Times New Roman"/>
          <w:bCs/>
          <w:snapToGrid/>
          <w:color w:val="auto"/>
          <w:kern w:val="2"/>
          <w:sz w:val="24"/>
          <w:szCs w:val="24"/>
          <w:lang w:eastAsia="zh-CN"/>
        </w:rPr>
      </w:pPr>
      <w:r>
        <w:rPr>
          <w:rFonts w:ascii="Times New Roman" w:hAnsi="Times New Roman" w:eastAsia="宋体" w:cs="Times New Roman"/>
          <w:bCs/>
          <w:snapToGrid/>
          <w:color w:val="auto"/>
          <w:kern w:val="2"/>
          <w:sz w:val="24"/>
          <w:szCs w:val="24"/>
          <w:lang w:eastAsia="zh-CN"/>
        </w:rPr>
        <w:t>（13）对已整改或未整改的隐患问题都要做为下次排查的重点。</w:t>
      </w:r>
    </w:p>
    <w:p w14:paraId="1502B11A">
      <w:pPr>
        <w:widowControl w:val="0"/>
        <w:tabs>
          <w:tab w:val="left" w:pos="954"/>
        </w:tabs>
        <w:kinsoku/>
        <w:autoSpaceDE w:val="0"/>
        <w:autoSpaceDN w:val="0"/>
        <w:adjustRightInd/>
        <w:snapToGrid/>
        <w:spacing w:line="360" w:lineRule="auto"/>
        <w:ind w:firstLine="480" w:firstLineChars="200"/>
        <w:jc w:val="left"/>
        <w:textAlignment w:val="auto"/>
        <w:rPr>
          <w:rFonts w:ascii="Times New Roman" w:hAnsi="Times New Roman" w:eastAsia="宋体" w:cs="Times New Roman"/>
          <w:bCs/>
          <w:snapToGrid/>
          <w:color w:val="auto"/>
          <w:kern w:val="2"/>
          <w:sz w:val="24"/>
          <w:szCs w:val="24"/>
          <w:lang w:eastAsia="zh-CN"/>
        </w:rPr>
      </w:pPr>
      <w:r>
        <w:rPr>
          <w:rFonts w:ascii="Times New Roman" w:hAnsi="Times New Roman" w:eastAsia="宋体" w:cs="Times New Roman"/>
          <w:bCs/>
          <w:snapToGrid/>
          <w:color w:val="auto"/>
          <w:kern w:val="2"/>
          <w:sz w:val="24"/>
          <w:szCs w:val="24"/>
          <w:lang w:eastAsia="zh-CN"/>
        </w:rPr>
        <w:t>（14）本隐患排查治理工作坚持“谁排查，谁负责。谁签字，谁负责。谁主管，谁负责”的原则，实行分级管理，逐</w:t>
      </w:r>
      <w:bookmarkStart w:id="71" w:name="_Toc32083_WPSOffice_Level3"/>
      <w:r>
        <w:rPr>
          <w:rFonts w:ascii="Times New Roman" w:hAnsi="Times New Roman" w:eastAsia="宋体" w:cs="Times New Roman"/>
          <w:bCs/>
          <w:snapToGrid/>
          <w:color w:val="auto"/>
          <w:kern w:val="2"/>
          <w:sz w:val="24"/>
          <w:szCs w:val="24"/>
          <w:lang w:eastAsia="zh-CN"/>
        </w:rPr>
        <w:t>级管理。</w:t>
      </w:r>
    </w:p>
    <w:p w14:paraId="69CEB5BD">
      <w:pPr>
        <w:widowControl w:val="0"/>
        <w:kinsoku/>
        <w:autoSpaceDE/>
        <w:autoSpaceDN/>
        <w:adjustRightInd/>
        <w:snapToGrid/>
        <w:spacing w:line="360" w:lineRule="auto"/>
        <w:ind w:firstLine="480" w:firstLineChars="200"/>
        <w:jc w:val="left"/>
        <w:textAlignment w:val="auto"/>
        <w:rPr>
          <w:rFonts w:ascii="Times New Roman" w:hAnsi="Times New Roman" w:eastAsia="宋体" w:cs="Times New Roman"/>
          <w:snapToGrid/>
          <w:color w:val="auto"/>
          <w:kern w:val="2"/>
          <w:sz w:val="24"/>
          <w:szCs w:val="22"/>
          <w:lang w:eastAsia="zh-CN"/>
        </w:rPr>
      </w:pPr>
      <w:bookmarkStart w:id="72" w:name="_Toc31556"/>
      <w:bookmarkStart w:id="73" w:name="_Toc15397"/>
      <w:bookmarkStart w:id="74" w:name="_Toc7598"/>
      <w:r>
        <w:rPr>
          <w:rFonts w:ascii="Times New Roman" w:hAnsi="Times New Roman" w:eastAsia="宋体" w:cs="Times New Roman"/>
          <w:snapToGrid/>
          <w:color w:val="auto"/>
          <w:kern w:val="2"/>
          <w:sz w:val="24"/>
          <w:szCs w:val="22"/>
          <w:lang w:eastAsia="zh-CN"/>
        </w:rPr>
        <w:t>（1</w:t>
      </w:r>
      <w:bookmarkEnd w:id="71"/>
      <w:r>
        <w:rPr>
          <w:rFonts w:ascii="Times New Roman" w:hAnsi="Times New Roman" w:eastAsia="宋体" w:cs="Times New Roman"/>
          <w:snapToGrid/>
          <w:color w:val="auto"/>
          <w:kern w:val="2"/>
          <w:sz w:val="24"/>
          <w:szCs w:val="22"/>
          <w:lang w:eastAsia="zh-CN"/>
        </w:rPr>
        <w:t>5）对因排查隐患不深入、不细致或对排查出的隐患整改措施不到位，责任制不落实致隐患长期得不到整改的，依据企业有关规定严肃追究其责任，情节严重者，给予适当的经济处罚。</w:t>
      </w:r>
      <w:bookmarkEnd w:id="72"/>
      <w:bookmarkEnd w:id="73"/>
      <w:bookmarkEnd w:id="74"/>
    </w:p>
    <w:p w14:paraId="5BBC75D7">
      <w:pPr>
        <w:widowControl w:val="0"/>
        <w:kinsoku/>
        <w:autoSpaceDE/>
        <w:autoSpaceDN/>
        <w:adjustRightInd/>
        <w:snapToGrid/>
        <w:spacing w:line="360" w:lineRule="auto"/>
        <w:ind w:firstLine="480" w:firstLineChars="200"/>
        <w:jc w:val="left"/>
        <w:textAlignment w:val="auto"/>
        <w:rPr>
          <w:rFonts w:ascii="Times New Roman" w:hAnsi="Times New Roman" w:eastAsia="宋体" w:cs="Times New Roman"/>
          <w:bCs/>
          <w:snapToGrid/>
          <w:color w:val="auto"/>
          <w:kern w:val="2"/>
          <w:sz w:val="24"/>
          <w:szCs w:val="24"/>
          <w:lang w:eastAsia="zh-CN"/>
        </w:rPr>
      </w:pPr>
      <w:r>
        <w:rPr>
          <w:rFonts w:ascii="Times New Roman" w:hAnsi="Times New Roman" w:eastAsia="宋体" w:cs="Times New Roman"/>
          <w:bCs/>
          <w:snapToGrid/>
          <w:color w:val="auto"/>
          <w:kern w:val="2"/>
          <w:sz w:val="24"/>
          <w:szCs w:val="24"/>
          <w:lang w:eastAsia="zh-CN"/>
        </w:rPr>
        <w:t>（16）本公司目前存在安全隐患主要为消防设施较少，若发生火灾及爆炸事故时不能及时将风险切断，将损失降到最低。本评价完成后将及时补充相应消防设施，并定期检查消防设施压力是否足够，并做好检查记录，存在过期设施及时更换。</w:t>
      </w:r>
    </w:p>
    <w:p w14:paraId="187DA258">
      <w:pPr>
        <w:rPr>
          <w:rFonts w:hint="eastAsia"/>
          <w:color w:val="auto"/>
        </w:rPr>
      </w:pPr>
      <w:r>
        <w:rPr>
          <w:rFonts w:hint="eastAsia"/>
          <w:color w:val="auto"/>
        </w:rPr>
        <w:br w:type="page"/>
      </w:r>
    </w:p>
    <w:p w14:paraId="42041CC1">
      <w:pPr>
        <w:pStyle w:val="4"/>
        <w:spacing w:before="156" w:after="156"/>
        <w:rPr>
          <w:color w:val="auto"/>
        </w:rPr>
      </w:pPr>
      <w:bookmarkStart w:id="75" w:name="_Toc8179"/>
      <w:r>
        <w:rPr>
          <w:rFonts w:hint="eastAsia"/>
          <w:color w:val="auto"/>
          <w:lang w:val="en-US" w:eastAsia="zh-CN"/>
        </w:rPr>
        <w:t>4</w:t>
      </w:r>
      <w:r>
        <w:rPr>
          <w:rFonts w:hint="eastAsia"/>
          <w:color w:val="auto"/>
        </w:rPr>
        <w:t>应急能力建设</w:t>
      </w:r>
      <w:bookmarkEnd w:id="55"/>
      <w:bookmarkEnd w:id="75"/>
    </w:p>
    <w:p w14:paraId="0F5A32DD">
      <w:pPr>
        <w:pStyle w:val="5"/>
        <w:spacing w:before="156" w:after="156"/>
        <w:rPr>
          <w:color w:val="auto"/>
        </w:rPr>
      </w:pPr>
      <w:bookmarkStart w:id="76" w:name="_Toc476314973"/>
      <w:bookmarkStart w:id="77" w:name="_Toc23761"/>
      <w:r>
        <w:rPr>
          <w:rFonts w:hint="eastAsia"/>
          <w:color w:val="auto"/>
          <w:lang w:eastAsia="zh-CN"/>
        </w:rPr>
        <w:t>4.</w:t>
      </w:r>
      <w:r>
        <w:rPr>
          <w:rFonts w:hint="eastAsia"/>
          <w:color w:val="auto"/>
        </w:rPr>
        <w:t>1应急处置队伍</w:t>
      </w:r>
      <w:bookmarkEnd w:id="76"/>
      <w:bookmarkEnd w:id="77"/>
    </w:p>
    <w:p w14:paraId="47689F00">
      <w:pPr>
        <w:pStyle w:val="31"/>
        <w:rPr>
          <w:color w:val="auto"/>
        </w:rPr>
      </w:pPr>
      <w:r>
        <w:rPr>
          <w:rFonts w:hint="eastAsia"/>
          <w:color w:val="auto"/>
          <w:lang w:eastAsia="zh-CN"/>
        </w:rPr>
        <w:t>江西洪城水业环保有限公司资溪县分公司</w:t>
      </w:r>
      <w:r>
        <w:rPr>
          <w:rFonts w:hint="eastAsia"/>
          <w:color w:val="auto"/>
        </w:rPr>
        <w:t>设立了应急指挥中心，事故现场设立现场应急指挥部。应急指挥中心由技术专家组、现场应急指挥部、应急救援小组组成。涉及多个生产设施或影响重大的事故，由</w:t>
      </w:r>
      <w:r>
        <w:rPr>
          <w:rFonts w:hint="eastAsia"/>
          <w:color w:val="auto"/>
          <w:lang w:eastAsia="zh-CN"/>
        </w:rPr>
        <w:t>江西洪城水业环保有限公司资溪县分公司</w:t>
      </w:r>
      <w:r>
        <w:rPr>
          <w:rFonts w:hint="eastAsia"/>
          <w:color w:val="auto"/>
        </w:rPr>
        <w:t>应急指挥中心负责应急救援协调指挥工作，组织有关部门成立现场指挥部。</w:t>
      </w:r>
    </w:p>
    <w:p w14:paraId="277035A7">
      <w:pPr>
        <w:pStyle w:val="31"/>
        <w:rPr>
          <w:color w:val="auto"/>
        </w:rPr>
      </w:pPr>
      <w:r>
        <w:rPr>
          <w:rFonts w:hint="eastAsia"/>
          <w:color w:val="auto"/>
          <w:lang w:eastAsia="zh-CN"/>
        </w:rPr>
        <w:t>江西洪城水业环保有限公司资溪县分公司</w:t>
      </w:r>
      <w:r>
        <w:rPr>
          <w:rFonts w:hint="eastAsia"/>
          <w:color w:val="auto"/>
        </w:rPr>
        <w:t>通过日常针对性地开展应急防治与救灾演练，提高其应对突发事件的素质和能力。抢险救援组配备专业堵漏技能工人，负责维护抢修工作。同时充分利用社会应急资源，提供应急期间的抢险抢修、物资供应、医疗卫生、治安保卫、交通维护和运输等应急力量的保障。</w:t>
      </w:r>
    </w:p>
    <w:p w14:paraId="47719DA1">
      <w:pPr>
        <w:pStyle w:val="5"/>
        <w:spacing w:before="156" w:after="156"/>
        <w:rPr>
          <w:color w:val="auto"/>
        </w:rPr>
      </w:pPr>
      <w:bookmarkStart w:id="78" w:name="_Toc9879"/>
      <w:bookmarkStart w:id="79" w:name="_Toc476314974"/>
      <w:r>
        <w:rPr>
          <w:rFonts w:hint="eastAsia"/>
          <w:color w:val="auto"/>
          <w:lang w:eastAsia="zh-CN"/>
        </w:rPr>
        <w:t>4.</w:t>
      </w:r>
      <w:r>
        <w:rPr>
          <w:rFonts w:hint="eastAsia"/>
          <w:color w:val="auto"/>
        </w:rPr>
        <w:t>2应急设施和物资</w:t>
      </w:r>
      <w:bookmarkEnd w:id="78"/>
      <w:bookmarkEnd w:id="79"/>
    </w:p>
    <w:p w14:paraId="0FFCA8A7">
      <w:pPr>
        <w:pStyle w:val="31"/>
        <w:rPr>
          <w:color w:val="auto"/>
        </w:rPr>
      </w:pPr>
      <w:r>
        <w:rPr>
          <w:rFonts w:hint="eastAsia"/>
          <w:color w:val="auto"/>
          <w:lang w:eastAsia="zh-CN"/>
        </w:rPr>
        <w:t>江西洪城水业环保有限公司资溪县分公司</w:t>
      </w:r>
      <w:r>
        <w:rPr>
          <w:rFonts w:hint="eastAsia"/>
          <w:color w:val="auto"/>
        </w:rPr>
        <w:t>根据自身突发环境事件应急救援的需要和特点，储备有关物资和装备，统一管理、登记应急物资和装备的类型、数量、性能和存放位置，建立完善的保障措施。当突发环境事件超出</w:t>
      </w:r>
      <w:r>
        <w:rPr>
          <w:rFonts w:hint="eastAsia"/>
          <w:color w:val="auto"/>
          <w:lang w:eastAsia="zh-CN"/>
        </w:rPr>
        <w:t>资溪县生活污水处理厂</w:t>
      </w:r>
      <w:r>
        <w:rPr>
          <w:rFonts w:hint="eastAsia"/>
          <w:color w:val="auto"/>
        </w:rPr>
        <w:t>应急能力时，</w:t>
      </w:r>
      <w:r>
        <w:rPr>
          <w:rFonts w:hint="eastAsia"/>
          <w:color w:val="auto"/>
          <w:lang w:eastAsia="zh-CN"/>
        </w:rPr>
        <w:t>江西洪城水业环保有限公司资溪县分公司应急指挥中心</w:t>
      </w:r>
      <w:r>
        <w:rPr>
          <w:rFonts w:hint="eastAsia"/>
          <w:color w:val="auto"/>
        </w:rPr>
        <w:t>可向</w:t>
      </w:r>
      <w:r>
        <w:rPr>
          <w:rFonts w:hint="eastAsia"/>
          <w:color w:val="auto"/>
          <w:lang w:eastAsia="zh-CN"/>
        </w:rPr>
        <w:t>资溪县</w:t>
      </w:r>
      <w:r>
        <w:rPr>
          <w:rFonts w:hint="eastAsia"/>
          <w:color w:val="auto"/>
        </w:rPr>
        <w:t>人民政府、</w:t>
      </w:r>
      <w:r>
        <w:rPr>
          <w:rFonts w:hint="eastAsia"/>
          <w:color w:val="auto"/>
          <w:lang w:eastAsia="zh-CN"/>
        </w:rPr>
        <w:t>抚州市资溪生态环境局</w:t>
      </w:r>
      <w:r>
        <w:rPr>
          <w:rFonts w:hint="eastAsia"/>
          <w:color w:val="auto"/>
        </w:rPr>
        <w:t>等部门申请救援。</w:t>
      </w:r>
    </w:p>
    <w:p w14:paraId="0DC9CB6D">
      <w:pPr>
        <w:pStyle w:val="6"/>
        <w:spacing w:before="156" w:after="156"/>
        <w:rPr>
          <w:color w:val="auto"/>
        </w:rPr>
      </w:pPr>
      <w:bookmarkStart w:id="80" w:name="_Toc185216968"/>
      <w:bookmarkStart w:id="81" w:name="_Toc307845963"/>
      <w:bookmarkStart w:id="82" w:name="_Toc304533466"/>
      <w:bookmarkStart w:id="83" w:name="_Toc313023227"/>
      <w:bookmarkStart w:id="84" w:name="_Toc306266681"/>
      <w:r>
        <w:rPr>
          <w:rFonts w:hint="eastAsia"/>
          <w:color w:val="auto"/>
          <w:lang w:eastAsia="zh-CN"/>
        </w:rPr>
        <w:t>4.</w:t>
      </w:r>
      <w:r>
        <w:rPr>
          <w:rFonts w:hint="eastAsia"/>
          <w:color w:val="auto"/>
        </w:rPr>
        <w:t>2.1应急救援</w:t>
      </w:r>
      <w:bookmarkEnd w:id="80"/>
      <w:bookmarkEnd w:id="81"/>
      <w:bookmarkEnd w:id="82"/>
      <w:bookmarkEnd w:id="83"/>
      <w:bookmarkEnd w:id="84"/>
      <w:r>
        <w:rPr>
          <w:rFonts w:hint="eastAsia"/>
          <w:color w:val="auto"/>
        </w:rPr>
        <w:t>物资装备</w:t>
      </w:r>
    </w:p>
    <w:p w14:paraId="606251C5">
      <w:pPr>
        <w:pStyle w:val="31"/>
        <w:rPr>
          <w:color w:val="auto"/>
        </w:rPr>
      </w:pPr>
      <w:r>
        <w:rPr>
          <w:rFonts w:hint="eastAsia"/>
          <w:color w:val="auto"/>
          <w:lang w:eastAsia="zh-CN"/>
        </w:rPr>
        <w:t>资溪县生活污水处理厂</w:t>
      </w:r>
      <w:r>
        <w:rPr>
          <w:rFonts w:hint="eastAsia"/>
          <w:color w:val="auto"/>
        </w:rPr>
        <w:t>现有应急救援物资装备情况见表</w:t>
      </w:r>
      <w:r>
        <w:rPr>
          <w:rFonts w:hint="eastAsia"/>
          <w:color w:val="auto"/>
          <w:lang w:eastAsia="zh-CN"/>
        </w:rPr>
        <w:t>4.</w:t>
      </w:r>
      <w:r>
        <w:rPr>
          <w:rFonts w:hint="eastAsia"/>
          <w:color w:val="auto"/>
        </w:rPr>
        <w:t>2-1。</w:t>
      </w:r>
    </w:p>
    <w:p w14:paraId="60968888">
      <w:pPr>
        <w:pStyle w:val="32"/>
        <w:spacing w:before="156"/>
        <w:rPr>
          <w:rFonts w:hint="eastAsia"/>
          <w:color w:val="auto"/>
        </w:rPr>
      </w:pPr>
      <w:r>
        <w:rPr>
          <w:rFonts w:hint="eastAsia"/>
          <w:color w:val="auto"/>
        </w:rPr>
        <w:t>表</w:t>
      </w:r>
      <w:r>
        <w:rPr>
          <w:rFonts w:hint="eastAsia"/>
          <w:color w:val="auto"/>
          <w:lang w:eastAsia="zh-CN"/>
        </w:rPr>
        <w:t>4.</w:t>
      </w:r>
      <w:r>
        <w:rPr>
          <w:rFonts w:hint="eastAsia"/>
          <w:color w:val="auto"/>
        </w:rPr>
        <w:t>2-1   应急救援物资装备一览表</w:t>
      </w:r>
    </w:p>
    <w:tbl>
      <w:tblPr>
        <w:tblStyle w:val="23"/>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49"/>
        <w:gridCol w:w="883"/>
        <w:gridCol w:w="1934"/>
        <w:gridCol w:w="872"/>
        <w:gridCol w:w="934"/>
        <w:gridCol w:w="1267"/>
        <w:gridCol w:w="709"/>
        <w:gridCol w:w="1211"/>
      </w:tblGrid>
      <w:tr w14:paraId="026DFA2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28" w:type="pct"/>
            <w:tcBorders>
              <w:tl2br w:val="nil"/>
              <w:tr2bl w:val="nil"/>
            </w:tcBorders>
            <w:tcMar>
              <w:left w:w="28" w:type="dxa"/>
              <w:right w:w="28" w:type="dxa"/>
            </w:tcMar>
            <w:vAlign w:val="center"/>
          </w:tcPr>
          <w:p w14:paraId="757FA483">
            <w:pPr>
              <w:pStyle w:val="34"/>
              <w:jc w:val="center"/>
              <w:rPr>
                <w:color w:val="auto"/>
              </w:rPr>
            </w:pPr>
            <w:r>
              <w:rPr>
                <w:rFonts w:hint="eastAsia"/>
                <w:color w:val="auto"/>
              </w:rPr>
              <w:t>序号</w:t>
            </w:r>
          </w:p>
        </w:tc>
        <w:tc>
          <w:tcPr>
            <w:tcW w:w="528" w:type="pct"/>
            <w:tcBorders>
              <w:tl2br w:val="nil"/>
              <w:tr2bl w:val="nil"/>
            </w:tcBorders>
            <w:tcMar>
              <w:left w:w="28" w:type="dxa"/>
              <w:right w:w="28" w:type="dxa"/>
            </w:tcMar>
            <w:vAlign w:val="center"/>
          </w:tcPr>
          <w:p w14:paraId="4B53B306">
            <w:pPr>
              <w:pStyle w:val="34"/>
              <w:jc w:val="center"/>
              <w:rPr>
                <w:color w:val="auto"/>
              </w:rPr>
            </w:pPr>
            <w:r>
              <w:rPr>
                <w:rFonts w:hint="eastAsia"/>
                <w:color w:val="auto"/>
              </w:rPr>
              <w:t>类型</w:t>
            </w:r>
          </w:p>
        </w:tc>
        <w:tc>
          <w:tcPr>
            <w:tcW w:w="1156" w:type="pct"/>
            <w:tcBorders>
              <w:tl2br w:val="nil"/>
              <w:tr2bl w:val="nil"/>
            </w:tcBorders>
            <w:tcMar>
              <w:left w:w="28" w:type="dxa"/>
              <w:right w:w="28" w:type="dxa"/>
            </w:tcMar>
            <w:vAlign w:val="center"/>
          </w:tcPr>
          <w:p w14:paraId="3BE8D7E4">
            <w:pPr>
              <w:pStyle w:val="34"/>
              <w:jc w:val="center"/>
              <w:rPr>
                <w:color w:val="auto"/>
              </w:rPr>
            </w:pPr>
            <w:r>
              <w:rPr>
                <w:rFonts w:hint="eastAsia"/>
                <w:color w:val="auto"/>
              </w:rPr>
              <w:t>装  备</w:t>
            </w:r>
          </w:p>
        </w:tc>
        <w:tc>
          <w:tcPr>
            <w:tcW w:w="521" w:type="pct"/>
            <w:tcBorders>
              <w:tl2br w:val="nil"/>
              <w:tr2bl w:val="nil"/>
            </w:tcBorders>
            <w:tcMar>
              <w:left w:w="28" w:type="dxa"/>
              <w:right w:w="28" w:type="dxa"/>
            </w:tcMar>
            <w:vAlign w:val="center"/>
          </w:tcPr>
          <w:p w14:paraId="02C42C59">
            <w:pPr>
              <w:pStyle w:val="34"/>
              <w:jc w:val="center"/>
              <w:rPr>
                <w:color w:val="auto"/>
              </w:rPr>
            </w:pPr>
            <w:r>
              <w:rPr>
                <w:rFonts w:hint="eastAsia"/>
                <w:color w:val="auto"/>
              </w:rPr>
              <w:t>数量</w:t>
            </w:r>
          </w:p>
        </w:tc>
        <w:tc>
          <w:tcPr>
            <w:tcW w:w="558" w:type="pct"/>
            <w:tcBorders>
              <w:tl2br w:val="nil"/>
              <w:tr2bl w:val="nil"/>
            </w:tcBorders>
            <w:vAlign w:val="center"/>
          </w:tcPr>
          <w:p w14:paraId="5B0879CE">
            <w:pPr>
              <w:pStyle w:val="34"/>
              <w:jc w:val="center"/>
              <w:rPr>
                <w:rFonts w:hint="eastAsia" w:eastAsia="宋体"/>
                <w:color w:val="auto"/>
                <w:lang w:eastAsia="zh-CN"/>
              </w:rPr>
            </w:pPr>
            <w:r>
              <w:rPr>
                <w:rFonts w:hint="eastAsia"/>
                <w:color w:val="auto"/>
                <w:lang w:eastAsia="zh-CN"/>
              </w:rPr>
              <w:t>单位</w:t>
            </w:r>
          </w:p>
        </w:tc>
        <w:tc>
          <w:tcPr>
            <w:tcW w:w="757" w:type="pct"/>
            <w:tcBorders>
              <w:tl2br w:val="nil"/>
              <w:tr2bl w:val="nil"/>
            </w:tcBorders>
            <w:vAlign w:val="center"/>
          </w:tcPr>
          <w:p w14:paraId="16E1F092">
            <w:pPr>
              <w:pStyle w:val="34"/>
              <w:jc w:val="center"/>
              <w:rPr>
                <w:color w:val="auto"/>
              </w:rPr>
            </w:pPr>
            <w:r>
              <w:rPr>
                <w:rFonts w:hint="eastAsia"/>
                <w:color w:val="auto"/>
              </w:rPr>
              <w:t>存放位置</w:t>
            </w:r>
          </w:p>
        </w:tc>
        <w:tc>
          <w:tcPr>
            <w:tcW w:w="424" w:type="pct"/>
            <w:tcBorders>
              <w:tl2br w:val="nil"/>
              <w:tr2bl w:val="nil"/>
            </w:tcBorders>
            <w:vAlign w:val="center"/>
          </w:tcPr>
          <w:p w14:paraId="27992A65">
            <w:pPr>
              <w:pStyle w:val="34"/>
              <w:jc w:val="center"/>
              <w:rPr>
                <w:color w:val="auto"/>
              </w:rPr>
            </w:pPr>
            <w:r>
              <w:rPr>
                <w:rFonts w:hint="eastAsia"/>
                <w:color w:val="auto"/>
              </w:rPr>
              <w:t>负责人</w:t>
            </w:r>
          </w:p>
        </w:tc>
        <w:tc>
          <w:tcPr>
            <w:tcW w:w="724" w:type="pct"/>
            <w:tcBorders>
              <w:tl2br w:val="nil"/>
              <w:tr2bl w:val="nil"/>
            </w:tcBorders>
            <w:vAlign w:val="center"/>
          </w:tcPr>
          <w:p w14:paraId="246CDB78">
            <w:pPr>
              <w:pStyle w:val="34"/>
              <w:jc w:val="center"/>
              <w:rPr>
                <w:color w:val="auto"/>
              </w:rPr>
            </w:pPr>
            <w:r>
              <w:rPr>
                <w:rFonts w:hint="eastAsia"/>
                <w:color w:val="auto"/>
              </w:rPr>
              <w:t>联系方式</w:t>
            </w:r>
          </w:p>
        </w:tc>
      </w:tr>
      <w:tr w14:paraId="07264D2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28" w:type="pct"/>
            <w:tcBorders>
              <w:tl2br w:val="nil"/>
              <w:tr2bl w:val="nil"/>
            </w:tcBorders>
            <w:tcMar>
              <w:left w:w="28" w:type="dxa"/>
              <w:right w:w="28" w:type="dxa"/>
            </w:tcMar>
            <w:vAlign w:val="center"/>
          </w:tcPr>
          <w:p w14:paraId="1DF14DF2">
            <w:pPr>
              <w:pStyle w:val="34"/>
              <w:jc w:val="center"/>
              <w:rPr>
                <w:color w:val="auto"/>
              </w:rPr>
            </w:pPr>
            <w:r>
              <w:rPr>
                <w:rFonts w:hint="eastAsia"/>
                <w:color w:val="auto"/>
              </w:rPr>
              <w:t>1</w:t>
            </w:r>
          </w:p>
        </w:tc>
        <w:tc>
          <w:tcPr>
            <w:tcW w:w="528" w:type="pct"/>
            <w:vMerge w:val="restart"/>
            <w:tcBorders>
              <w:tl2br w:val="nil"/>
              <w:tr2bl w:val="nil"/>
            </w:tcBorders>
            <w:tcMar>
              <w:left w:w="28" w:type="dxa"/>
              <w:right w:w="28" w:type="dxa"/>
            </w:tcMar>
            <w:vAlign w:val="center"/>
          </w:tcPr>
          <w:p w14:paraId="7F456098">
            <w:pPr>
              <w:pStyle w:val="34"/>
              <w:jc w:val="center"/>
              <w:rPr>
                <w:color w:val="auto"/>
              </w:rPr>
            </w:pPr>
            <w:r>
              <w:rPr>
                <w:rFonts w:hint="eastAsia"/>
                <w:color w:val="auto"/>
              </w:rPr>
              <w:t>监控设备</w:t>
            </w:r>
          </w:p>
        </w:tc>
        <w:tc>
          <w:tcPr>
            <w:tcW w:w="1156" w:type="pct"/>
            <w:tcBorders>
              <w:tl2br w:val="nil"/>
              <w:tr2bl w:val="nil"/>
            </w:tcBorders>
            <w:tcMar>
              <w:left w:w="28" w:type="dxa"/>
              <w:right w:w="28" w:type="dxa"/>
            </w:tcMar>
            <w:vAlign w:val="center"/>
          </w:tcPr>
          <w:p w14:paraId="0F01D5A8">
            <w:pPr>
              <w:pStyle w:val="34"/>
              <w:jc w:val="center"/>
              <w:rPr>
                <w:color w:val="auto"/>
              </w:rPr>
            </w:pPr>
            <w:r>
              <w:rPr>
                <w:rFonts w:hint="eastAsia"/>
                <w:color w:val="auto"/>
              </w:rPr>
              <w:t>中央控制系统</w:t>
            </w:r>
          </w:p>
        </w:tc>
        <w:tc>
          <w:tcPr>
            <w:tcW w:w="521" w:type="pct"/>
            <w:tcBorders>
              <w:tl2br w:val="nil"/>
              <w:tr2bl w:val="nil"/>
            </w:tcBorders>
            <w:shd w:val="clear" w:color="auto" w:fill="auto"/>
            <w:tcMar>
              <w:left w:w="28" w:type="dxa"/>
              <w:right w:w="28" w:type="dxa"/>
            </w:tcMar>
            <w:vAlign w:val="center"/>
          </w:tcPr>
          <w:p w14:paraId="501B1DDB">
            <w:pPr>
              <w:pStyle w:val="34"/>
              <w:jc w:val="center"/>
              <w:rPr>
                <w:rFonts w:hint="eastAsia" w:eastAsia="宋体"/>
                <w:color w:val="auto"/>
                <w:lang w:val="en-US" w:eastAsia="zh-CN"/>
              </w:rPr>
            </w:pPr>
            <w:r>
              <w:rPr>
                <w:rFonts w:hint="eastAsia"/>
                <w:color w:val="auto"/>
                <w:lang w:val="en-US" w:eastAsia="zh-CN"/>
              </w:rPr>
              <w:t>1</w:t>
            </w:r>
          </w:p>
        </w:tc>
        <w:tc>
          <w:tcPr>
            <w:tcW w:w="558" w:type="pct"/>
            <w:tcBorders>
              <w:tl2br w:val="nil"/>
              <w:tr2bl w:val="nil"/>
            </w:tcBorders>
            <w:vAlign w:val="center"/>
          </w:tcPr>
          <w:p w14:paraId="471F5A15">
            <w:pPr>
              <w:pStyle w:val="34"/>
              <w:jc w:val="center"/>
              <w:rPr>
                <w:rFonts w:hint="eastAsia" w:eastAsia="宋体"/>
                <w:color w:val="auto"/>
                <w:lang w:eastAsia="zh-CN"/>
              </w:rPr>
            </w:pPr>
            <w:r>
              <w:rPr>
                <w:rFonts w:hint="eastAsia"/>
                <w:color w:val="auto"/>
                <w:lang w:eastAsia="zh-CN"/>
              </w:rPr>
              <w:t>套</w:t>
            </w:r>
          </w:p>
        </w:tc>
        <w:tc>
          <w:tcPr>
            <w:tcW w:w="757" w:type="pct"/>
            <w:tcBorders>
              <w:tl2br w:val="nil"/>
              <w:tr2bl w:val="nil"/>
            </w:tcBorders>
            <w:vAlign w:val="center"/>
          </w:tcPr>
          <w:p w14:paraId="116004E7">
            <w:pPr>
              <w:pStyle w:val="34"/>
              <w:ind w:firstLine="0" w:firstLineChars="0"/>
              <w:jc w:val="center"/>
              <w:rPr>
                <w:rFonts w:hint="default" w:eastAsia="宋体"/>
                <w:color w:val="auto"/>
                <w:sz w:val="21"/>
                <w:szCs w:val="21"/>
                <w:lang w:val="en-US" w:eastAsia="zh-CN"/>
              </w:rPr>
            </w:pPr>
            <w:r>
              <w:rPr>
                <w:rFonts w:hint="eastAsia"/>
                <w:color w:val="auto"/>
                <w:sz w:val="21"/>
                <w:szCs w:val="21"/>
                <w:lang w:val="en-US" w:eastAsia="zh-CN"/>
              </w:rPr>
              <w:t>中控室</w:t>
            </w:r>
          </w:p>
        </w:tc>
        <w:tc>
          <w:tcPr>
            <w:tcW w:w="424" w:type="pct"/>
            <w:vMerge w:val="restart"/>
            <w:tcBorders>
              <w:tl2br w:val="nil"/>
              <w:tr2bl w:val="nil"/>
            </w:tcBorders>
            <w:vAlign w:val="center"/>
          </w:tcPr>
          <w:p w14:paraId="5E69AD49">
            <w:pPr>
              <w:pStyle w:val="34"/>
              <w:ind w:firstLine="0" w:firstLineChars="0"/>
              <w:jc w:val="center"/>
              <w:rPr>
                <w:rFonts w:hint="default" w:eastAsia="宋体"/>
                <w:color w:val="auto"/>
                <w:lang w:val="en-US" w:eastAsia="zh-CN"/>
              </w:rPr>
            </w:pPr>
            <w:r>
              <w:rPr>
                <w:rFonts w:hint="eastAsia"/>
                <w:color w:val="auto"/>
                <w:lang w:val="en-US" w:eastAsia="zh-CN"/>
              </w:rPr>
              <w:t>付文燕</w:t>
            </w:r>
          </w:p>
        </w:tc>
        <w:tc>
          <w:tcPr>
            <w:tcW w:w="724" w:type="pct"/>
            <w:vMerge w:val="restart"/>
            <w:tcBorders>
              <w:tl2br w:val="nil"/>
              <w:tr2bl w:val="nil"/>
            </w:tcBorders>
            <w:vAlign w:val="center"/>
          </w:tcPr>
          <w:p w14:paraId="74180A73">
            <w:pPr>
              <w:pStyle w:val="34"/>
              <w:ind w:firstLine="0" w:firstLineChars="0"/>
              <w:jc w:val="center"/>
              <w:rPr>
                <w:color w:val="auto"/>
              </w:rPr>
            </w:pPr>
            <w:r>
              <w:rPr>
                <w:rFonts w:hint="eastAsia" w:ascii="宋体" w:hAnsi="宋体" w:eastAsia="宋体" w:cs="宋体"/>
                <w:color w:val="auto"/>
                <w:lang w:val="en-US" w:eastAsia="zh-CN"/>
              </w:rPr>
              <w:t>15107046060</w:t>
            </w:r>
          </w:p>
        </w:tc>
      </w:tr>
      <w:tr w14:paraId="080C629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28" w:type="pct"/>
            <w:tcBorders>
              <w:tl2br w:val="nil"/>
              <w:tr2bl w:val="nil"/>
            </w:tcBorders>
            <w:tcMar>
              <w:left w:w="28" w:type="dxa"/>
              <w:right w:w="28" w:type="dxa"/>
            </w:tcMar>
            <w:vAlign w:val="center"/>
          </w:tcPr>
          <w:p w14:paraId="7903A18F">
            <w:pPr>
              <w:pStyle w:val="34"/>
              <w:jc w:val="center"/>
              <w:rPr>
                <w:color w:val="auto"/>
              </w:rPr>
            </w:pPr>
            <w:r>
              <w:rPr>
                <w:rFonts w:hint="eastAsia"/>
                <w:color w:val="auto"/>
              </w:rPr>
              <w:t>2</w:t>
            </w:r>
          </w:p>
        </w:tc>
        <w:tc>
          <w:tcPr>
            <w:tcW w:w="528" w:type="pct"/>
            <w:vMerge w:val="continue"/>
            <w:tcBorders>
              <w:tl2br w:val="nil"/>
              <w:tr2bl w:val="nil"/>
            </w:tcBorders>
            <w:tcMar>
              <w:left w:w="28" w:type="dxa"/>
              <w:right w:w="28" w:type="dxa"/>
            </w:tcMar>
            <w:vAlign w:val="center"/>
          </w:tcPr>
          <w:p w14:paraId="717DC8BF">
            <w:pPr>
              <w:pStyle w:val="34"/>
              <w:jc w:val="center"/>
              <w:rPr>
                <w:color w:val="auto"/>
              </w:rPr>
            </w:pPr>
          </w:p>
        </w:tc>
        <w:tc>
          <w:tcPr>
            <w:tcW w:w="1156" w:type="pct"/>
            <w:tcBorders>
              <w:tl2br w:val="nil"/>
              <w:tr2bl w:val="nil"/>
            </w:tcBorders>
            <w:tcMar>
              <w:left w:w="28" w:type="dxa"/>
              <w:right w:w="28" w:type="dxa"/>
            </w:tcMar>
            <w:vAlign w:val="center"/>
          </w:tcPr>
          <w:p w14:paraId="23B9EC5E">
            <w:pPr>
              <w:pStyle w:val="34"/>
              <w:jc w:val="center"/>
              <w:rPr>
                <w:color w:val="auto"/>
              </w:rPr>
            </w:pPr>
            <w:r>
              <w:rPr>
                <w:rFonts w:hint="eastAsia"/>
                <w:color w:val="auto"/>
              </w:rPr>
              <w:t>视频监控系统</w:t>
            </w:r>
          </w:p>
        </w:tc>
        <w:tc>
          <w:tcPr>
            <w:tcW w:w="521" w:type="pct"/>
            <w:tcBorders>
              <w:tl2br w:val="nil"/>
              <w:tr2bl w:val="nil"/>
            </w:tcBorders>
            <w:shd w:val="clear" w:color="auto" w:fill="auto"/>
            <w:tcMar>
              <w:left w:w="28" w:type="dxa"/>
              <w:right w:w="28" w:type="dxa"/>
            </w:tcMar>
            <w:vAlign w:val="center"/>
          </w:tcPr>
          <w:p w14:paraId="256853DA">
            <w:pPr>
              <w:pStyle w:val="34"/>
              <w:jc w:val="center"/>
              <w:rPr>
                <w:rFonts w:hint="eastAsia" w:eastAsia="宋体"/>
                <w:color w:val="auto"/>
                <w:lang w:val="en-US" w:eastAsia="zh-CN"/>
              </w:rPr>
            </w:pPr>
            <w:r>
              <w:rPr>
                <w:rFonts w:hint="eastAsia"/>
                <w:color w:val="auto"/>
                <w:lang w:val="en-US" w:eastAsia="zh-CN"/>
              </w:rPr>
              <w:t>1</w:t>
            </w:r>
          </w:p>
        </w:tc>
        <w:tc>
          <w:tcPr>
            <w:tcW w:w="558" w:type="pct"/>
            <w:tcBorders>
              <w:tl2br w:val="nil"/>
              <w:tr2bl w:val="nil"/>
            </w:tcBorders>
            <w:vAlign w:val="center"/>
          </w:tcPr>
          <w:p w14:paraId="700D0BDD">
            <w:pPr>
              <w:pStyle w:val="34"/>
              <w:jc w:val="center"/>
              <w:rPr>
                <w:color w:val="auto"/>
              </w:rPr>
            </w:pPr>
            <w:r>
              <w:rPr>
                <w:rFonts w:hint="eastAsia"/>
                <w:color w:val="auto"/>
                <w:lang w:eastAsia="zh-CN"/>
              </w:rPr>
              <w:t>套</w:t>
            </w:r>
          </w:p>
        </w:tc>
        <w:tc>
          <w:tcPr>
            <w:tcW w:w="757" w:type="pct"/>
            <w:tcBorders>
              <w:tl2br w:val="nil"/>
              <w:tr2bl w:val="nil"/>
            </w:tcBorders>
            <w:vAlign w:val="center"/>
          </w:tcPr>
          <w:p w14:paraId="434D95BD">
            <w:pPr>
              <w:pStyle w:val="34"/>
              <w:ind w:firstLine="0" w:firstLineChars="0"/>
              <w:jc w:val="center"/>
              <w:rPr>
                <w:rFonts w:hint="eastAsia" w:eastAsia="宋体"/>
                <w:color w:val="auto"/>
                <w:sz w:val="21"/>
                <w:szCs w:val="21"/>
                <w:lang w:val="en-US" w:eastAsia="zh-CN"/>
              </w:rPr>
            </w:pPr>
            <w:r>
              <w:rPr>
                <w:rFonts w:hint="eastAsia"/>
                <w:color w:val="auto"/>
                <w:sz w:val="21"/>
                <w:szCs w:val="21"/>
                <w:lang w:val="en-US" w:eastAsia="zh-CN"/>
              </w:rPr>
              <w:t>中控室</w:t>
            </w:r>
          </w:p>
        </w:tc>
        <w:tc>
          <w:tcPr>
            <w:tcW w:w="424" w:type="pct"/>
            <w:vMerge w:val="continue"/>
            <w:tcBorders>
              <w:tl2br w:val="nil"/>
              <w:tr2bl w:val="nil"/>
            </w:tcBorders>
            <w:vAlign w:val="center"/>
          </w:tcPr>
          <w:p w14:paraId="318A5BF0">
            <w:pPr>
              <w:pStyle w:val="34"/>
              <w:jc w:val="center"/>
              <w:rPr>
                <w:color w:val="auto"/>
              </w:rPr>
            </w:pPr>
          </w:p>
        </w:tc>
        <w:tc>
          <w:tcPr>
            <w:tcW w:w="724" w:type="pct"/>
            <w:vMerge w:val="continue"/>
            <w:tcBorders>
              <w:tl2br w:val="nil"/>
              <w:tr2bl w:val="nil"/>
            </w:tcBorders>
            <w:vAlign w:val="center"/>
          </w:tcPr>
          <w:p w14:paraId="3D00B588">
            <w:pPr>
              <w:pStyle w:val="34"/>
              <w:jc w:val="center"/>
              <w:rPr>
                <w:color w:val="auto"/>
              </w:rPr>
            </w:pPr>
          </w:p>
        </w:tc>
      </w:tr>
      <w:tr w14:paraId="1639B77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28" w:type="pct"/>
            <w:tcBorders>
              <w:tl2br w:val="nil"/>
              <w:tr2bl w:val="nil"/>
            </w:tcBorders>
            <w:tcMar>
              <w:left w:w="28" w:type="dxa"/>
              <w:right w:w="28" w:type="dxa"/>
            </w:tcMar>
            <w:vAlign w:val="center"/>
          </w:tcPr>
          <w:p w14:paraId="0C62DD79">
            <w:pPr>
              <w:pStyle w:val="34"/>
              <w:jc w:val="center"/>
              <w:rPr>
                <w:color w:val="auto"/>
              </w:rPr>
            </w:pPr>
            <w:r>
              <w:rPr>
                <w:rFonts w:hint="eastAsia"/>
                <w:color w:val="auto"/>
              </w:rPr>
              <w:t>3</w:t>
            </w:r>
          </w:p>
        </w:tc>
        <w:tc>
          <w:tcPr>
            <w:tcW w:w="528" w:type="pct"/>
            <w:vMerge w:val="continue"/>
            <w:tcBorders>
              <w:tl2br w:val="nil"/>
              <w:tr2bl w:val="nil"/>
            </w:tcBorders>
            <w:tcMar>
              <w:left w:w="28" w:type="dxa"/>
              <w:right w:w="28" w:type="dxa"/>
            </w:tcMar>
            <w:vAlign w:val="center"/>
          </w:tcPr>
          <w:p w14:paraId="4164FB99">
            <w:pPr>
              <w:pStyle w:val="34"/>
              <w:jc w:val="center"/>
              <w:rPr>
                <w:color w:val="auto"/>
              </w:rPr>
            </w:pPr>
          </w:p>
        </w:tc>
        <w:tc>
          <w:tcPr>
            <w:tcW w:w="1156" w:type="pct"/>
            <w:tcBorders>
              <w:tl2br w:val="nil"/>
              <w:tr2bl w:val="nil"/>
            </w:tcBorders>
            <w:tcMar>
              <w:left w:w="28" w:type="dxa"/>
              <w:right w:w="28" w:type="dxa"/>
            </w:tcMar>
            <w:vAlign w:val="center"/>
          </w:tcPr>
          <w:p w14:paraId="63529BD0">
            <w:pPr>
              <w:pStyle w:val="34"/>
              <w:jc w:val="center"/>
              <w:rPr>
                <w:color w:val="auto"/>
              </w:rPr>
            </w:pPr>
            <w:r>
              <w:rPr>
                <w:rFonts w:hint="eastAsia"/>
                <w:color w:val="auto"/>
              </w:rPr>
              <w:t>COD、氨氮、水量在线监测系统</w:t>
            </w:r>
          </w:p>
        </w:tc>
        <w:tc>
          <w:tcPr>
            <w:tcW w:w="521" w:type="pct"/>
            <w:tcBorders>
              <w:tl2br w:val="nil"/>
              <w:tr2bl w:val="nil"/>
            </w:tcBorders>
            <w:shd w:val="clear" w:color="auto" w:fill="auto"/>
            <w:tcMar>
              <w:left w:w="28" w:type="dxa"/>
              <w:right w:w="28" w:type="dxa"/>
            </w:tcMar>
            <w:vAlign w:val="center"/>
          </w:tcPr>
          <w:p w14:paraId="00A92660">
            <w:pPr>
              <w:pStyle w:val="34"/>
              <w:jc w:val="center"/>
              <w:rPr>
                <w:rFonts w:hint="eastAsia" w:eastAsia="宋体"/>
                <w:color w:val="auto"/>
                <w:lang w:val="en-US" w:eastAsia="zh-CN"/>
              </w:rPr>
            </w:pPr>
            <w:r>
              <w:rPr>
                <w:rFonts w:hint="eastAsia"/>
                <w:color w:val="auto"/>
                <w:lang w:val="en-US" w:eastAsia="zh-CN"/>
              </w:rPr>
              <w:t>2</w:t>
            </w:r>
          </w:p>
        </w:tc>
        <w:tc>
          <w:tcPr>
            <w:tcW w:w="558" w:type="pct"/>
            <w:tcBorders>
              <w:tl2br w:val="nil"/>
              <w:tr2bl w:val="nil"/>
            </w:tcBorders>
            <w:vAlign w:val="center"/>
          </w:tcPr>
          <w:p w14:paraId="6986F402">
            <w:pPr>
              <w:pStyle w:val="34"/>
              <w:jc w:val="center"/>
              <w:rPr>
                <w:color w:val="auto"/>
              </w:rPr>
            </w:pPr>
            <w:r>
              <w:rPr>
                <w:rFonts w:hint="eastAsia"/>
                <w:color w:val="auto"/>
                <w:lang w:eastAsia="zh-CN"/>
              </w:rPr>
              <w:t>套</w:t>
            </w:r>
          </w:p>
        </w:tc>
        <w:tc>
          <w:tcPr>
            <w:tcW w:w="757" w:type="pct"/>
            <w:tcBorders>
              <w:tl2br w:val="nil"/>
              <w:tr2bl w:val="nil"/>
            </w:tcBorders>
            <w:vAlign w:val="center"/>
          </w:tcPr>
          <w:p w14:paraId="10489D63">
            <w:pPr>
              <w:pStyle w:val="34"/>
              <w:ind w:firstLine="0" w:firstLineChars="0"/>
              <w:jc w:val="center"/>
              <w:rPr>
                <w:rFonts w:hint="default" w:eastAsia="宋体"/>
                <w:color w:val="auto"/>
                <w:sz w:val="21"/>
                <w:szCs w:val="21"/>
                <w:lang w:val="en-US" w:eastAsia="zh-CN"/>
              </w:rPr>
            </w:pPr>
            <w:r>
              <w:rPr>
                <w:rFonts w:hint="eastAsia"/>
                <w:color w:val="auto"/>
                <w:sz w:val="21"/>
                <w:szCs w:val="21"/>
                <w:lang w:val="en-US" w:eastAsia="zh-CN"/>
              </w:rPr>
              <w:t>进水仪表间、出水仪表间</w:t>
            </w:r>
          </w:p>
        </w:tc>
        <w:tc>
          <w:tcPr>
            <w:tcW w:w="424" w:type="pct"/>
            <w:vMerge w:val="continue"/>
            <w:tcBorders>
              <w:tl2br w:val="nil"/>
              <w:tr2bl w:val="nil"/>
            </w:tcBorders>
            <w:vAlign w:val="center"/>
          </w:tcPr>
          <w:p w14:paraId="7E73203A">
            <w:pPr>
              <w:pStyle w:val="34"/>
              <w:jc w:val="center"/>
              <w:rPr>
                <w:color w:val="auto"/>
              </w:rPr>
            </w:pPr>
          </w:p>
        </w:tc>
        <w:tc>
          <w:tcPr>
            <w:tcW w:w="724" w:type="pct"/>
            <w:vMerge w:val="continue"/>
            <w:tcBorders>
              <w:tl2br w:val="nil"/>
              <w:tr2bl w:val="nil"/>
            </w:tcBorders>
            <w:vAlign w:val="center"/>
          </w:tcPr>
          <w:p w14:paraId="35465097">
            <w:pPr>
              <w:pStyle w:val="34"/>
              <w:jc w:val="center"/>
              <w:rPr>
                <w:color w:val="auto"/>
              </w:rPr>
            </w:pPr>
          </w:p>
        </w:tc>
      </w:tr>
      <w:tr w14:paraId="406F897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28" w:type="pct"/>
            <w:tcBorders>
              <w:tl2br w:val="nil"/>
              <w:tr2bl w:val="nil"/>
            </w:tcBorders>
            <w:tcMar>
              <w:left w:w="28" w:type="dxa"/>
              <w:right w:w="28" w:type="dxa"/>
            </w:tcMar>
            <w:vAlign w:val="center"/>
          </w:tcPr>
          <w:p w14:paraId="1D73BA51">
            <w:pPr>
              <w:pStyle w:val="34"/>
              <w:jc w:val="center"/>
              <w:rPr>
                <w:color w:val="auto"/>
              </w:rPr>
            </w:pPr>
            <w:r>
              <w:rPr>
                <w:rFonts w:hint="eastAsia"/>
                <w:color w:val="auto"/>
              </w:rPr>
              <w:t>4</w:t>
            </w:r>
          </w:p>
        </w:tc>
        <w:tc>
          <w:tcPr>
            <w:tcW w:w="528" w:type="pct"/>
            <w:vMerge w:val="restart"/>
            <w:tcBorders>
              <w:tl2br w:val="nil"/>
              <w:tr2bl w:val="nil"/>
            </w:tcBorders>
            <w:tcMar>
              <w:left w:w="28" w:type="dxa"/>
              <w:right w:w="28" w:type="dxa"/>
            </w:tcMar>
            <w:vAlign w:val="center"/>
          </w:tcPr>
          <w:p w14:paraId="5346DA5D">
            <w:pPr>
              <w:pStyle w:val="34"/>
              <w:jc w:val="center"/>
              <w:rPr>
                <w:color w:val="auto"/>
              </w:rPr>
            </w:pPr>
            <w:r>
              <w:rPr>
                <w:rFonts w:hint="eastAsia"/>
                <w:color w:val="auto"/>
              </w:rPr>
              <w:t>救援防护设备</w:t>
            </w:r>
          </w:p>
        </w:tc>
        <w:tc>
          <w:tcPr>
            <w:tcW w:w="1156" w:type="pct"/>
            <w:tcBorders>
              <w:tl2br w:val="nil"/>
              <w:tr2bl w:val="nil"/>
            </w:tcBorders>
            <w:tcMar>
              <w:left w:w="28" w:type="dxa"/>
              <w:right w:w="28" w:type="dxa"/>
            </w:tcMar>
            <w:vAlign w:val="center"/>
          </w:tcPr>
          <w:p w14:paraId="30A046E1">
            <w:pPr>
              <w:pStyle w:val="34"/>
              <w:jc w:val="center"/>
              <w:rPr>
                <w:color w:val="auto"/>
              </w:rPr>
            </w:pPr>
            <w:r>
              <w:rPr>
                <w:rFonts w:hint="eastAsia"/>
                <w:color w:val="auto"/>
              </w:rPr>
              <w:t>应急照明灯</w:t>
            </w:r>
          </w:p>
        </w:tc>
        <w:tc>
          <w:tcPr>
            <w:tcW w:w="521" w:type="pct"/>
            <w:tcBorders>
              <w:tl2br w:val="nil"/>
              <w:tr2bl w:val="nil"/>
            </w:tcBorders>
            <w:shd w:val="clear" w:color="auto" w:fill="auto"/>
            <w:tcMar>
              <w:left w:w="28" w:type="dxa"/>
              <w:right w:w="28" w:type="dxa"/>
            </w:tcMar>
            <w:vAlign w:val="center"/>
          </w:tcPr>
          <w:p w14:paraId="47CEC687">
            <w:pPr>
              <w:pStyle w:val="34"/>
              <w:jc w:val="center"/>
              <w:rPr>
                <w:rFonts w:hint="eastAsia" w:eastAsia="宋体"/>
                <w:color w:val="auto"/>
                <w:lang w:val="en-US" w:eastAsia="zh-CN"/>
              </w:rPr>
            </w:pPr>
            <w:r>
              <w:rPr>
                <w:rFonts w:hint="eastAsia"/>
                <w:color w:val="auto"/>
                <w:lang w:val="en-US" w:eastAsia="zh-CN"/>
              </w:rPr>
              <w:t>6</w:t>
            </w:r>
          </w:p>
        </w:tc>
        <w:tc>
          <w:tcPr>
            <w:tcW w:w="558" w:type="pct"/>
            <w:tcBorders>
              <w:tl2br w:val="nil"/>
              <w:tr2bl w:val="nil"/>
            </w:tcBorders>
            <w:vAlign w:val="center"/>
          </w:tcPr>
          <w:p w14:paraId="254D66FB">
            <w:pPr>
              <w:pStyle w:val="34"/>
              <w:jc w:val="center"/>
              <w:rPr>
                <w:rFonts w:hint="eastAsia" w:eastAsia="宋体"/>
                <w:color w:val="auto"/>
                <w:lang w:eastAsia="zh-CN"/>
              </w:rPr>
            </w:pPr>
            <w:r>
              <w:rPr>
                <w:rFonts w:hint="eastAsia"/>
                <w:color w:val="auto"/>
                <w:lang w:eastAsia="zh-CN"/>
              </w:rPr>
              <w:t>盏</w:t>
            </w:r>
          </w:p>
        </w:tc>
        <w:tc>
          <w:tcPr>
            <w:tcW w:w="757" w:type="pct"/>
            <w:tcBorders>
              <w:tl2br w:val="nil"/>
              <w:tr2bl w:val="nil"/>
            </w:tcBorders>
            <w:vAlign w:val="center"/>
          </w:tcPr>
          <w:p w14:paraId="7AD981F5">
            <w:pPr>
              <w:pStyle w:val="34"/>
              <w:ind w:firstLine="0" w:firstLineChars="0"/>
              <w:jc w:val="center"/>
              <w:rPr>
                <w:rFonts w:hint="default" w:eastAsia="宋体"/>
                <w:color w:val="auto"/>
                <w:sz w:val="21"/>
                <w:szCs w:val="21"/>
                <w:lang w:val="en-US" w:eastAsia="zh-CN"/>
              </w:rPr>
            </w:pPr>
            <w:r>
              <w:rPr>
                <w:rFonts w:hint="eastAsia"/>
                <w:color w:val="auto"/>
                <w:sz w:val="21"/>
                <w:szCs w:val="21"/>
                <w:lang w:val="en-US" w:eastAsia="zh-CN"/>
              </w:rPr>
              <w:t>1#配电间、2#配电间</w:t>
            </w:r>
          </w:p>
        </w:tc>
        <w:tc>
          <w:tcPr>
            <w:tcW w:w="424" w:type="pct"/>
            <w:vMerge w:val="restart"/>
            <w:tcBorders>
              <w:tl2br w:val="nil"/>
              <w:tr2bl w:val="nil"/>
            </w:tcBorders>
            <w:vAlign w:val="center"/>
          </w:tcPr>
          <w:p w14:paraId="0293C57D">
            <w:pPr>
              <w:pStyle w:val="34"/>
              <w:ind w:firstLine="0" w:firstLineChars="0"/>
              <w:jc w:val="center"/>
              <w:rPr>
                <w:rFonts w:hint="default" w:eastAsia="宋体"/>
                <w:color w:val="auto"/>
                <w:lang w:val="en-US" w:eastAsia="zh-CN"/>
              </w:rPr>
            </w:pPr>
            <w:r>
              <w:rPr>
                <w:rFonts w:hint="eastAsia"/>
                <w:color w:val="auto"/>
                <w:lang w:val="en-US" w:eastAsia="zh-CN"/>
              </w:rPr>
              <w:t>章云</w:t>
            </w:r>
          </w:p>
        </w:tc>
        <w:tc>
          <w:tcPr>
            <w:tcW w:w="724" w:type="pct"/>
            <w:vMerge w:val="restart"/>
            <w:tcBorders>
              <w:tl2br w:val="nil"/>
              <w:tr2bl w:val="nil"/>
            </w:tcBorders>
            <w:vAlign w:val="center"/>
          </w:tcPr>
          <w:p w14:paraId="3373ADD8">
            <w:pPr>
              <w:pStyle w:val="34"/>
              <w:ind w:firstLine="0" w:firstLineChars="0"/>
              <w:jc w:val="center"/>
              <w:rPr>
                <w:rFonts w:hint="default" w:eastAsia="宋体"/>
                <w:color w:val="auto"/>
                <w:lang w:val="en-US" w:eastAsia="zh-CN"/>
              </w:rPr>
            </w:pPr>
            <w:r>
              <w:rPr>
                <w:rFonts w:hint="eastAsia"/>
                <w:color w:val="auto"/>
                <w:lang w:val="en-US" w:eastAsia="zh-CN"/>
              </w:rPr>
              <w:t>18296983033</w:t>
            </w:r>
          </w:p>
        </w:tc>
      </w:tr>
      <w:tr w14:paraId="2C10743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28" w:type="pct"/>
            <w:tcBorders>
              <w:tl2br w:val="nil"/>
              <w:tr2bl w:val="nil"/>
            </w:tcBorders>
            <w:tcMar>
              <w:left w:w="28" w:type="dxa"/>
              <w:right w:w="28" w:type="dxa"/>
            </w:tcMar>
            <w:vAlign w:val="center"/>
          </w:tcPr>
          <w:p w14:paraId="4EBC925B">
            <w:pPr>
              <w:pStyle w:val="34"/>
              <w:jc w:val="center"/>
              <w:rPr>
                <w:color w:val="auto"/>
              </w:rPr>
            </w:pPr>
            <w:r>
              <w:rPr>
                <w:rFonts w:hint="eastAsia"/>
                <w:color w:val="auto"/>
              </w:rPr>
              <w:t>5</w:t>
            </w:r>
          </w:p>
        </w:tc>
        <w:tc>
          <w:tcPr>
            <w:tcW w:w="528" w:type="pct"/>
            <w:vMerge w:val="continue"/>
            <w:tcBorders>
              <w:tl2br w:val="nil"/>
              <w:tr2bl w:val="nil"/>
            </w:tcBorders>
            <w:tcMar>
              <w:left w:w="28" w:type="dxa"/>
              <w:right w:w="28" w:type="dxa"/>
            </w:tcMar>
            <w:vAlign w:val="center"/>
          </w:tcPr>
          <w:p w14:paraId="109AE79B">
            <w:pPr>
              <w:pStyle w:val="34"/>
              <w:jc w:val="center"/>
              <w:rPr>
                <w:color w:val="auto"/>
              </w:rPr>
            </w:pPr>
          </w:p>
        </w:tc>
        <w:tc>
          <w:tcPr>
            <w:tcW w:w="1156" w:type="pct"/>
            <w:tcBorders>
              <w:tl2br w:val="nil"/>
              <w:tr2bl w:val="nil"/>
            </w:tcBorders>
            <w:tcMar>
              <w:left w:w="28" w:type="dxa"/>
              <w:right w:w="28" w:type="dxa"/>
            </w:tcMar>
            <w:vAlign w:val="center"/>
          </w:tcPr>
          <w:p w14:paraId="229A48B1">
            <w:pPr>
              <w:pStyle w:val="34"/>
              <w:jc w:val="center"/>
              <w:rPr>
                <w:color w:val="auto"/>
              </w:rPr>
            </w:pPr>
            <w:r>
              <w:rPr>
                <w:rFonts w:hint="eastAsia"/>
                <w:color w:val="auto"/>
              </w:rPr>
              <w:t>便携式有毒气体检测仪</w:t>
            </w:r>
          </w:p>
        </w:tc>
        <w:tc>
          <w:tcPr>
            <w:tcW w:w="521" w:type="pct"/>
            <w:tcBorders>
              <w:tl2br w:val="nil"/>
              <w:tr2bl w:val="nil"/>
            </w:tcBorders>
            <w:shd w:val="clear" w:color="auto" w:fill="auto"/>
            <w:tcMar>
              <w:left w:w="28" w:type="dxa"/>
              <w:right w:w="28" w:type="dxa"/>
            </w:tcMar>
            <w:vAlign w:val="center"/>
          </w:tcPr>
          <w:p w14:paraId="7C7D53CE">
            <w:pPr>
              <w:pStyle w:val="34"/>
              <w:jc w:val="center"/>
              <w:rPr>
                <w:rFonts w:hint="eastAsia" w:eastAsia="宋体"/>
                <w:color w:val="auto"/>
                <w:lang w:val="en-US" w:eastAsia="zh-CN"/>
              </w:rPr>
            </w:pPr>
            <w:r>
              <w:rPr>
                <w:rFonts w:hint="eastAsia"/>
                <w:color w:val="auto"/>
                <w:lang w:val="en-US" w:eastAsia="zh-CN"/>
              </w:rPr>
              <w:t>1</w:t>
            </w:r>
          </w:p>
        </w:tc>
        <w:tc>
          <w:tcPr>
            <w:tcW w:w="558" w:type="pct"/>
            <w:tcBorders>
              <w:tl2br w:val="nil"/>
              <w:tr2bl w:val="nil"/>
            </w:tcBorders>
            <w:vAlign w:val="center"/>
          </w:tcPr>
          <w:p w14:paraId="0B189862">
            <w:pPr>
              <w:pStyle w:val="34"/>
              <w:jc w:val="center"/>
              <w:rPr>
                <w:rFonts w:hint="eastAsia" w:eastAsia="宋体"/>
                <w:color w:val="auto"/>
                <w:lang w:eastAsia="zh-CN"/>
              </w:rPr>
            </w:pPr>
            <w:r>
              <w:rPr>
                <w:rFonts w:hint="eastAsia"/>
                <w:color w:val="auto"/>
                <w:lang w:eastAsia="zh-CN"/>
              </w:rPr>
              <w:t>个</w:t>
            </w:r>
          </w:p>
        </w:tc>
        <w:tc>
          <w:tcPr>
            <w:tcW w:w="757" w:type="pct"/>
            <w:tcBorders>
              <w:tl2br w:val="nil"/>
              <w:tr2bl w:val="nil"/>
            </w:tcBorders>
            <w:vAlign w:val="center"/>
          </w:tcPr>
          <w:p w14:paraId="08DA29CB">
            <w:pPr>
              <w:pStyle w:val="34"/>
              <w:ind w:firstLine="0" w:firstLineChars="0"/>
              <w:jc w:val="center"/>
              <w:rPr>
                <w:rFonts w:hint="default" w:eastAsia="宋体"/>
                <w:color w:val="auto"/>
                <w:sz w:val="21"/>
                <w:szCs w:val="21"/>
                <w:lang w:val="en-US" w:eastAsia="zh-CN"/>
              </w:rPr>
            </w:pPr>
            <w:r>
              <w:rPr>
                <w:rFonts w:hint="eastAsia"/>
                <w:color w:val="auto"/>
                <w:sz w:val="21"/>
                <w:szCs w:val="21"/>
                <w:lang w:val="en-US" w:eastAsia="zh-CN"/>
              </w:rPr>
              <w:t>中控室</w:t>
            </w:r>
          </w:p>
        </w:tc>
        <w:tc>
          <w:tcPr>
            <w:tcW w:w="424" w:type="pct"/>
            <w:vMerge w:val="continue"/>
            <w:tcBorders>
              <w:tl2br w:val="nil"/>
              <w:tr2bl w:val="nil"/>
            </w:tcBorders>
            <w:vAlign w:val="center"/>
          </w:tcPr>
          <w:p w14:paraId="262092D9">
            <w:pPr>
              <w:pStyle w:val="34"/>
              <w:jc w:val="center"/>
              <w:rPr>
                <w:color w:val="auto"/>
              </w:rPr>
            </w:pPr>
          </w:p>
        </w:tc>
        <w:tc>
          <w:tcPr>
            <w:tcW w:w="724" w:type="pct"/>
            <w:vMerge w:val="continue"/>
            <w:tcBorders>
              <w:tl2br w:val="nil"/>
              <w:tr2bl w:val="nil"/>
            </w:tcBorders>
            <w:vAlign w:val="center"/>
          </w:tcPr>
          <w:p w14:paraId="29F9B7F7">
            <w:pPr>
              <w:pStyle w:val="34"/>
              <w:jc w:val="center"/>
              <w:rPr>
                <w:color w:val="auto"/>
              </w:rPr>
            </w:pPr>
          </w:p>
        </w:tc>
      </w:tr>
      <w:tr w14:paraId="5F11261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28" w:type="pct"/>
            <w:tcBorders>
              <w:tl2br w:val="nil"/>
              <w:tr2bl w:val="nil"/>
            </w:tcBorders>
            <w:tcMar>
              <w:left w:w="28" w:type="dxa"/>
              <w:right w:w="28" w:type="dxa"/>
            </w:tcMar>
            <w:vAlign w:val="center"/>
          </w:tcPr>
          <w:p w14:paraId="515F1BCB">
            <w:pPr>
              <w:pStyle w:val="34"/>
              <w:jc w:val="center"/>
              <w:rPr>
                <w:color w:val="auto"/>
              </w:rPr>
            </w:pPr>
            <w:r>
              <w:rPr>
                <w:rFonts w:hint="eastAsia"/>
                <w:color w:val="auto"/>
              </w:rPr>
              <w:t>6</w:t>
            </w:r>
          </w:p>
        </w:tc>
        <w:tc>
          <w:tcPr>
            <w:tcW w:w="528" w:type="pct"/>
            <w:vMerge w:val="continue"/>
            <w:tcBorders>
              <w:tl2br w:val="nil"/>
              <w:tr2bl w:val="nil"/>
            </w:tcBorders>
            <w:tcMar>
              <w:left w:w="28" w:type="dxa"/>
              <w:right w:w="28" w:type="dxa"/>
            </w:tcMar>
            <w:vAlign w:val="center"/>
          </w:tcPr>
          <w:p w14:paraId="0218E4B6">
            <w:pPr>
              <w:pStyle w:val="34"/>
              <w:jc w:val="center"/>
              <w:rPr>
                <w:color w:val="auto"/>
              </w:rPr>
            </w:pPr>
          </w:p>
        </w:tc>
        <w:tc>
          <w:tcPr>
            <w:tcW w:w="1156" w:type="pct"/>
            <w:tcBorders>
              <w:tl2br w:val="nil"/>
              <w:tr2bl w:val="nil"/>
            </w:tcBorders>
            <w:tcMar>
              <w:left w:w="28" w:type="dxa"/>
              <w:right w:w="28" w:type="dxa"/>
            </w:tcMar>
            <w:vAlign w:val="center"/>
          </w:tcPr>
          <w:p w14:paraId="4CB452BD">
            <w:pPr>
              <w:pStyle w:val="34"/>
              <w:jc w:val="center"/>
              <w:rPr>
                <w:color w:val="auto"/>
              </w:rPr>
            </w:pPr>
            <w:r>
              <w:rPr>
                <w:rFonts w:hint="eastAsia"/>
                <w:color w:val="auto"/>
              </w:rPr>
              <w:t>救生衣</w:t>
            </w:r>
          </w:p>
        </w:tc>
        <w:tc>
          <w:tcPr>
            <w:tcW w:w="521" w:type="pct"/>
            <w:tcBorders>
              <w:tl2br w:val="nil"/>
              <w:tr2bl w:val="nil"/>
            </w:tcBorders>
            <w:shd w:val="clear" w:color="auto" w:fill="auto"/>
            <w:tcMar>
              <w:left w:w="28" w:type="dxa"/>
              <w:right w:w="28" w:type="dxa"/>
            </w:tcMar>
            <w:vAlign w:val="center"/>
          </w:tcPr>
          <w:p w14:paraId="5F3B5C41">
            <w:pPr>
              <w:pStyle w:val="34"/>
              <w:jc w:val="center"/>
              <w:rPr>
                <w:rFonts w:hint="default" w:eastAsia="宋体"/>
                <w:color w:val="auto"/>
                <w:lang w:val="en-US" w:eastAsia="zh-CN"/>
              </w:rPr>
            </w:pPr>
            <w:r>
              <w:rPr>
                <w:rFonts w:hint="eastAsia"/>
                <w:color w:val="auto"/>
                <w:lang w:val="en-US" w:eastAsia="zh-CN"/>
              </w:rPr>
              <w:t>38</w:t>
            </w:r>
          </w:p>
        </w:tc>
        <w:tc>
          <w:tcPr>
            <w:tcW w:w="558" w:type="pct"/>
            <w:tcBorders>
              <w:tl2br w:val="nil"/>
              <w:tr2bl w:val="nil"/>
            </w:tcBorders>
            <w:vAlign w:val="center"/>
          </w:tcPr>
          <w:p w14:paraId="799E413D">
            <w:pPr>
              <w:pStyle w:val="34"/>
              <w:jc w:val="center"/>
              <w:rPr>
                <w:color w:val="auto"/>
              </w:rPr>
            </w:pPr>
            <w:r>
              <w:rPr>
                <w:rFonts w:hint="eastAsia"/>
                <w:color w:val="auto"/>
                <w:lang w:eastAsia="zh-CN"/>
              </w:rPr>
              <w:t>套</w:t>
            </w:r>
          </w:p>
        </w:tc>
        <w:tc>
          <w:tcPr>
            <w:tcW w:w="757" w:type="pct"/>
            <w:tcBorders>
              <w:tl2br w:val="nil"/>
              <w:tr2bl w:val="nil"/>
            </w:tcBorders>
            <w:vAlign w:val="center"/>
          </w:tcPr>
          <w:p w14:paraId="0070344A">
            <w:pPr>
              <w:pStyle w:val="34"/>
              <w:ind w:firstLine="0" w:firstLineChars="0"/>
              <w:jc w:val="center"/>
              <w:rPr>
                <w:rFonts w:hint="default" w:eastAsia="宋体"/>
                <w:color w:val="auto"/>
                <w:sz w:val="21"/>
                <w:szCs w:val="21"/>
                <w:lang w:val="en-US" w:eastAsia="zh-CN"/>
              </w:rPr>
            </w:pPr>
            <w:r>
              <w:rPr>
                <w:rFonts w:hint="eastAsia"/>
                <w:color w:val="auto"/>
                <w:sz w:val="21"/>
                <w:szCs w:val="21"/>
                <w:lang w:val="en-US" w:eastAsia="zh-CN"/>
              </w:rPr>
              <w:t>各池体构筑物、仓库</w:t>
            </w:r>
          </w:p>
        </w:tc>
        <w:tc>
          <w:tcPr>
            <w:tcW w:w="424" w:type="pct"/>
            <w:vMerge w:val="continue"/>
            <w:tcBorders>
              <w:tl2br w:val="nil"/>
              <w:tr2bl w:val="nil"/>
            </w:tcBorders>
            <w:vAlign w:val="center"/>
          </w:tcPr>
          <w:p w14:paraId="4CE69714">
            <w:pPr>
              <w:pStyle w:val="34"/>
              <w:jc w:val="center"/>
              <w:rPr>
                <w:color w:val="auto"/>
              </w:rPr>
            </w:pPr>
          </w:p>
        </w:tc>
        <w:tc>
          <w:tcPr>
            <w:tcW w:w="724" w:type="pct"/>
            <w:vMerge w:val="continue"/>
            <w:tcBorders>
              <w:tl2br w:val="nil"/>
              <w:tr2bl w:val="nil"/>
            </w:tcBorders>
            <w:vAlign w:val="center"/>
          </w:tcPr>
          <w:p w14:paraId="1F576912">
            <w:pPr>
              <w:pStyle w:val="34"/>
              <w:jc w:val="center"/>
              <w:rPr>
                <w:color w:val="auto"/>
              </w:rPr>
            </w:pPr>
          </w:p>
        </w:tc>
      </w:tr>
      <w:tr w14:paraId="13DC571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28" w:type="pct"/>
            <w:tcBorders>
              <w:tl2br w:val="nil"/>
              <w:tr2bl w:val="nil"/>
            </w:tcBorders>
            <w:tcMar>
              <w:left w:w="28" w:type="dxa"/>
              <w:right w:w="28" w:type="dxa"/>
            </w:tcMar>
            <w:vAlign w:val="center"/>
          </w:tcPr>
          <w:p w14:paraId="0EEC55E3">
            <w:pPr>
              <w:pStyle w:val="34"/>
              <w:jc w:val="center"/>
              <w:rPr>
                <w:color w:val="auto"/>
              </w:rPr>
            </w:pPr>
            <w:r>
              <w:rPr>
                <w:rFonts w:hint="eastAsia"/>
                <w:color w:val="auto"/>
              </w:rPr>
              <w:t>7</w:t>
            </w:r>
          </w:p>
        </w:tc>
        <w:tc>
          <w:tcPr>
            <w:tcW w:w="528" w:type="pct"/>
            <w:vMerge w:val="continue"/>
            <w:tcBorders>
              <w:tl2br w:val="nil"/>
              <w:tr2bl w:val="nil"/>
            </w:tcBorders>
            <w:tcMar>
              <w:left w:w="28" w:type="dxa"/>
              <w:right w:w="28" w:type="dxa"/>
            </w:tcMar>
            <w:vAlign w:val="center"/>
          </w:tcPr>
          <w:p w14:paraId="43F987B0">
            <w:pPr>
              <w:pStyle w:val="34"/>
              <w:jc w:val="center"/>
              <w:rPr>
                <w:color w:val="auto"/>
              </w:rPr>
            </w:pPr>
          </w:p>
        </w:tc>
        <w:tc>
          <w:tcPr>
            <w:tcW w:w="1156" w:type="pct"/>
            <w:tcBorders>
              <w:tl2br w:val="nil"/>
              <w:tr2bl w:val="nil"/>
            </w:tcBorders>
            <w:tcMar>
              <w:left w:w="28" w:type="dxa"/>
              <w:right w:w="28" w:type="dxa"/>
            </w:tcMar>
            <w:vAlign w:val="center"/>
          </w:tcPr>
          <w:p w14:paraId="185F9BFE">
            <w:pPr>
              <w:pStyle w:val="34"/>
              <w:jc w:val="center"/>
              <w:rPr>
                <w:color w:val="auto"/>
              </w:rPr>
            </w:pPr>
            <w:r>
              <w:rPr>
                <w:rFonts w:hint="eastAsia"/>
                <w:color w:val="auto"/>
              </w:rPr>
              <w:t>急救药箱</w:t>
            </w:r>
          </w:p>
        </w:tc>
        <w:tc>
          <w:tcPr>
            <w:tcW w:w="521" w:type="pct"/>
            <w:tcBorders>
              <w:tl2br w:val="nil"/>
              <w:tr2bl w:val="nil"/>
            </w:tcBorders>
            <w:shd w:val="clear" w:color="auto" w:fill="auto"/>
            <w:tcMar>
              <w:left w:w="28" w:type="dxa"/>
              <w:right w:w="28" w:type="dxa"/>
            </w:tcMar>
            <w:vAlign w:val="center"/>
          </w:tcPr>
          <w:p w14:paraId="1DB9A94A">
            <w:pPr>
              <w:pStyle w:val="34"/>
              <w:jc w:val="center"/>
              <w:rPr>
                <w:rFonts w:hint="eastAsia" w:eastAsia="宋体"/>
                <w:color w:val="auto"/>
                <w:lang w:val="en-US" w:eastAsia="zh-CN"/>
              </w:rPr>
            </w:pPr>
            <w:r>
              <w:rPr>
                <w:rFonts w:hint="eastAsia"/>
                <w:color w:val="auto"/>
                <w:lang w:val="en-US" w:eastAsia="zh-CN"/>
              </w:rPr>
              <w:t>2</w:t>
            </w:r>
          </w:p>
        </w:tc>
        <w:tc>
          <w:tcPr>
            <w:tcW w:w="558" w:type="pct"/>
            <w:tcBorders>
              <w:tl2br w:val="nil"/>
              <w:tr2bl w:val="nil"/>
            </w:tcBorders>
            <w:vAlign w:val="center"/>
          </w:tcPr>
          <w:p w14:paraId="21C664BE">
            <w:pPr>
              <w:pStyle w:val="34"/>
              <w:jc w:val="center"/>
              <w:rPr>
                <w:rFonts w:hint="eastAsia" w:eastAsia="宋体"/>
                <w:color w:val="auto"/>
                <w:lang w:eastAsia="zh-CN"/>
              </w:rPr>
            </w:pPr>
            <w:r>
              <w:rPr>
                <w:rFonts w:hint="eastAsia"/>
                <w:color w:val="auto"/>
                <w:lang w:eastAsia="zh-CN"/>
              </w:rPr>
              <w:t>个</w:t>
            </w:r>
          </w:p>
        </w:tc>
        <w:tc>
          <w:tcPr>
            <w:tcW w:w="757" w:type="pct"/>
            <w:tcBorders>
              <w:tl2br w:val="nil"/>
              <w:tr2bl w:val="nil"/>
            </w:tcBorders>
            <w:vAlign w:val="center"/>
          </w:tcPr>
          <w:p w14:paraId="159C8799">
            <w:pPr>
              <w:pStyle w:val="34"/>
              <w:ind w:firstLine="0" w:firstLineChars="0"/>
              <w:jc w:val="center"/>
              <w:rPr>
                <w:rFonts w:hint="default" w:eastAsia="宋体"/>
                <w:color w:val="auto"/>
                <w:sz w:val="21"/>
                <w:szCs w:val="21"/>
                <w:lang w:val="en-US" w:eastAsia="zh-CN"/>
              </w:rPr>
            </w:pPr>
            <w:r>
              <w:rPr>
                <w:rFonts w:hint="eastAsia"/>
                <w:color w:val="auto"/>
                <w:sz w:val="21"/>
                <w:szCs w:val="21"/>
                <w:lang w:val="en-US" w:eastAsia="zh-CN"/>
              </w:rPr>
              <w:t>中控室</w:t>
            </w:r>
          </w:p>
        </w:tc>
        <w:tc>
          <w:tcPr>
            <w:tcW w:w="424" w:type="pct"/>
            <w:vMerge w:val="continue"/>
            <w:tcBorders>
              <w:tl2br w:val="nil"/>
              <w:tr2bl w:val="nil"/>
            </w:tcBorders>
            <w:vAlign w:val="center"/>
          </w:tcPr>
          <w:p w14:paraId="2691201B">
            <w:pPr>
              <w:pStyle w:val="34"/>
              <w:jc w:val="center"/>
              <w:rPr>
                <w:color w:val="auto"/>
              </w:rPr>
            </w:pPr>
          </w:p>
        </w:tc>
        <w:tc>
          <w:tcPr>
            <w:tcW w:w="724" w:type="pct"/>
            <w:vMerge w:val="continue"/>
            <w:tcBorders>
              <w:tl2br w:val="nil"/>
              <w:tr2bl w:val="nil"/>
            </w:tcBorders>
            <w:vAlign w:val="center"/>
          </w:tcPr>
          <w:p w14:paraId="05520F98">
            <w:pPr>
              <w:pStyle w:val="34"/>
              <w:jc w:val="center"/>
              <w:rPr>
                <w:color w:val="auto"/>
              </w:rPr>
            </w:pPr>
          </w:p>
        </w:tc>
      </w:tr>
      <w:tr w14:paraId="2A07C0B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28" w:type="pct"/>
            <w:tcBorders>
              <w:tl2br w:val="nil"/>
              <w:tr2bl w:val="nil"/>
            </w:tcBorders>
            <w:tcMar>
              <w:left w:w="28" w:type="dxa"/>
              <w:right w:w="28" w:type="dxa"/>
            </w:tcMar>
            <w:vAlign w:val="center"/>
          </w:tcPr>
          <w:p w14:paraId="0ECF576C">
            <w:pPr>
              <w:pStyle w:val="34"/>
              <w:jc w:val="center"/>
              <w:rPr>
                <w:color w:val="auto"/>
              </w:rPr>
            </w:pPr>
            <w:r>
              <w:rPr>
                <w:rFonts w:hint="eastAsia"/>
                <w:color w:val="auto"/>
              </w:rPr>
              <w:t>8</w:t>
            </w:r>
          </w:p>
        </w:tc>
        <w:tc>
          <w:tcPr>
            <w:tcW w:w="528" w:type="pct"/>
            <w:vMerge w:val="continue"/>
            <w:tcBorders>
              <w:tl2br w:val="nil"/>
              <w:tr2bl w:val="nil"/>
            </w:tcBorders>
            <w:tcMar>
              <w:left w:w="28" w:type="dxa"/>
              <w:right w:w="28" w:type="dxa"/>
            </w:tcMar>
            <w:vAlign w:val="center"/>
          </w:tcPr>
          <w:p w14:paraId="6D6F52DE">
            <w:pPr>
              <w:pStyle w:val="34"/>
              <w:jc w:val="center"/>
              <w:rPr>
                <w:color w:val="auto"/>
              </w:rPr>
            </w:pPr>
          </w:p>
        </w:tc>
        <w:tc>
          <w:tcPr>
            <w:tcW w:w="1156" w:type="pct"/>
            <w:tcBorders>
              <w:tl2br w:val="nil"/>
              <w:tr2bl w:val="nil"/>
            </w:tcBorders>
            <w:tcMar>
              <w:left w:w="28" w:type="dxa"/>
              <w:right w:w="28" w:type="dxa"/>
            </w:tcMar>
            <w:vAlign w:val="center"/>
          </w:tcPr>
          <w:p w14:paraId="1A774C78">
            <w:pPr>
              <w:pStyle w:val="34"/>
              <w:jc w:val="center"/>
              <w:rPr>
                <w:color w:val="auto"/>
              </w:rPr>
            </w:pPr>
            <w:r>
              <w:rPr>
                <w:rFonts w:hint="eastAsia"/>
                <w:color w:val="auto"/>
              </w:rPr>
              <w:t>救生圈</w:t>
            </w:r>
          </w:p>
        </w:tc>
        <w:tc>
          <w:tcPr>
            <w:tcW w:w="521" w:type="pct"/>
            <w:tcBorders>
              <w:tl2br w:val="nil"/>
              <w:tr2bl w:val="nil"/>
            </w:tcBorders>
            <w:shd w:val="clear" w:color="auto" w:fill="auto"/>
            <w:tcMar>
              <w:left w:w="28" w:type="dxa"/>
              <w:right w:w="28" w:type="dxa"/>
            </w:tcMar>
            <w:vAlign w:val="center"/>
          </w:tcPr>
          <w:p w14:paraId="394A5B33">
            <w:pPr>
              <w:pStyle w:val="34"/>
              <w:jc w:val="center"/>
              <w:rPr>
                <w:rFonts w:hint="default" w:eastAsia="宋体"/>
                <w:color w:val="auto"/>
                <w:lang w:val="en-US" w:eastAsia="zh-CN"/>
              </w:rPr>
            </w:pPr>
            <w:r>
              <w:rPr>
                <w:rFonts w:hint="eastAsia"/>
                <w:color w:val="auto"/>
                <w:lang w:val="en-US" w:eastAsia="zh-CN"/>
              </w:rPr>
              <w:t>32</w:t>
            </w:r>
          </w:p>
        </w:tc>
        <w:tc>
          <w:tcPr>
            <w:tcW w:w="558" w:type="pct"/>
            <w:tcBorders>
              <w:tl2br w:val="nil"/>
              <w:tr2bl w:val="nil"/>
            </w:tcBorders>
            <w:vAlign w:val="center"/>
          </w:tcPr>
          <w:p w14:paraId="13E8BAC7">
            <w:pPr>
              <w:pStyle w:val="34"/>
              <w:jc w:val="center"/>
              <w:rPr>
                <w:rFonts w:hint="eastAsia" w:eastAsia="宋体"/>
                <w:color w:val="auto"/>
                <w:lang w:eastAsia="zh-CN"/>
              </w:rPr>
            </w:pPr>
            <w:r>
              <w:rPr>
                <w:rFonts w:hint="eastAsia"/>
                <w:color w:val="auto"/>
                <w:lang w:eastAsia="zh-CN"/>
              </w:rPr>
              <w:t>个</w:t>
            </w:r>
          </w:p>
        </w:tc>
        <w:tc>
          <w:tcPr>
            <w:tcW w:w="757" w:type="pct"/>
            <w:tcBorders>
              <w:tl2br w:val="nil"/>
              <w:tr2bl w:val="nil"/>
            </w:tcBorders>
            <w:vAlign w:val="center"/>
          </w:tcPr>
          <w:p w14:paraId="2355195D">
            <w:pPr>
              <w:pStyle w:val="34"/>
              <w:bidi w:val="0"/>
              <w:jc w:val="center"/>
              <w:rPr>
                <w:rFonts w:hint="default"/>
                <w:color w:val="auto"/>
                <w:lang w:val="en-US" w:eastAsia="zh-CN"/>
              </w:rPr>
            </w:pPr>
            <w:r>
              <w:rPr>
                <w:rFonts w:hint="eastAsia"/>
                <w:color w:val="auto"/>
                <w:lang w:val="en-US" w:eastAsia="zh-CN"/>
              </w:rPr>
              <w:t>各池体构筑物、仓库</w:t>
            </w:r>
          </w:p>
        </w:tc>
        <w:tc>
          <w:tcPr>
            <w:tcW w:w="424" w:type="pct"/>
            <w:vMerge w:val="continue"/>
            <w:tcBorders>
              <w:tl2br w:val="nil"/>
              <w:tr2bl w:val="nil"/>
            </w:tcBorders>
            <w:vAlign w:val="center"/>
          </w:tcPr>
          <w:p w14:paraId="28FA07D0">
            <w:pPr>
              <w:pStyle w:val="34"/>
              <w:jc w:val="center"/>
              <w:rPr>
                <w:color w:val="auto"/>
              </w:rPr>
            </w:pPr>
          </w:p>
        </w:tc>
        <w:tc>
          <w:tcPr>
            <w:tcW w:w="724" w:type="pct"/>
            <w:vMerge w:val="continue"/>
            <w:tcBorders>
              <w:tl2br w:val="nil"/>
              <w:tr2bl w:val="nil"/>
            </w:tcBorders>
            <w:vAlign w:val="center"/>
          </w:tcPr>
          <w:p w14:paraId="3440FA49">
            <w:pPr>
              <w:pStyle w:val="34"/>
              <w:jc w:val="center"/>
              <w:rPr>
                <w:color w:val="auto"/>
              </w:rPr>
            </w:pPr>
          </w:p>
        </w:tc>
      </w:tr>
      <w:tr w14:paraId="3B42F39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28" w:type="pct"/>
            <w:tcBorders>
              <w:tl2br w:val="nil"/>
              <w:tr2bl w:val="nil"/>
            </w:tcBorders>
            <w:tcMar>
              <w:left w:w="28" w:type="dxa"/>
              <w:right w:w="28" w:type="dxa"/>
            </w:tcMar>
            <w:vAlign w:val="center"/>
          </w:tcPr>
          <w:p w14:paraId="10D14CE3">
            <w:pPr>
              <w:pStyle w:val="34"/>
              <w:jc w:val="center"/>
              <w:rPr>
                <w:rFonts w:hint="eastAsia" w:eastAsia="宋体"/>
                <w:color w:val="auto"/>
                <w:lang w:val="en-US" w:eastAsia="zh-CN"/>
              </w:rPr>
            </w:pPr>
            <w:r>
              <w:rPr>
                <w:rFonts w:hint="eastAsia"/>
                <w:color w:val="auto"/>
                <w:lang w:val="en-US" w:eastAsia="zh-CN"/>
              </w:rPr>
              <w:t>9</w:t>
            </w:r>
          </w:p>
        </w:tc>
        <w:tc>
          <w:tcPr>
            <w:tcW w:w="528" w:type="pct"/>
            <w:vMerge w:val="continue"/>
            <w:tcBorders>
              <w:tl2br w:val="nil"/>
              <w:tr2bl w:val="nil"/>
            </w:tcBorders>
            <w:tcMar>
              <w:left w:w="28" w:type="dxa"/>
              <w:right w:w="28" w:type="dxa"/>
            </w:tcMar>
            <w:vAlign w:val="center"/>
          </w:tcPr>
          <w:p w14:paraId="03F5A7CD">
            <w:pPr>
              <w:pStyle w:val="34"/>
              <w:jc w:val="center"/>
              <w:rPr>
                <w:color w:val="auto"/>
              </w:rPr>
            </w:pPr>
          </w:p>
        </w:tc>
        <w:tc>
          <w:tcPr>
            <w:tcW w:w="1156" w:type="pct"/>
            <w:tcBorders>
              <w:tl2br w:val="nil"/>
              <w:tr2bl w:val="nil"/>
            </w:tcBorders>
            <w:tcMar>
              <w:left w:w="28" w:type="dxa"/>
              <w:right w:w="28" w:type="dxa"/>
            </w:tcMar>
            <w:vAlign w:val="center"/>
          </w:tcPr>
          <w:p w14:paraId="3F822F6F">
            <w:pPr>
              <w:pStyle w:val="34"/>
              <w:jc w:val="center"/>
              <w:rPr>
                <w:color w:val="auto"/>
              </w:rPr>
            </w:pPr>
            <w:r>
              <w:rPr>
                <w:rFonts w:hint="eastAsia"/>
                <w:color w:val="auto"/>
              </w:rPr>
              <w:t>防毒面具</w:t>
            </w:r>
          </w:p>
        </w:tc>
        <w:tc>
          <w:tcPr>
            <w:tcW w:w="521" w:type="pct"/>
            <w:tcBorders>
              <w:tl2br w:val="nil"/>
              <w:tr2bl w:val="nil"/>
            </w:tcBorders>
            <w:shd w:val="clear" w:color="auto" w:fill="auto"/>
            <w:tcMar>
              <w:left w:w="28" w:type="dxa"/>
              <w:right w:w="28" w:type="dxa"/>
            </w:tcMar>
            <w:vAlign w:val="center"/>
          </w:tcPr>
          <w:p w14:paraId="52C12EB3">
            <w:pPr>
              <w:pStyle w:val="34"/>
              <w:jc w:val="center"/>
              <w:rPr>
                <w:rFonts w:hint="default" w:eastAsia="宋体"/>
                <w:color w:val="auto"/>
                <w:lang w:val="en-US" w:eastAsia="zh-CN"/>
              </w:rPr>
            </w:pPr>
            <w:r>
              <w:rPr>
                <w:rFonts w:hint="eastAsia"/>
                <w:color w:val="auto"/>
                <w:lang w:val="en-US" w:eastAsia="zh-CN"/>
              </w:rPr>
              <w:t>8</w:t>
            </w:r>
          </w:p>
        </w:tc>
        <w:tc>
          <w:tcPr>
            <w:tcW w:w="558" w:type="pct"/>
            <w:tcBorders>
              <w:tl2br w:val="nil"/>
              <w:tr2bl w:val="nil"/>
            </w:tcBorders>
            <w:vAlign w:val="center"/>
          </w:tcPr>
          <w:p w14:paraId="3F039B77">
            <w:pPr>
              <w:pStyle w:val="34"/>
              <w:jc w:val="center"/>
              <w:rPr>
                <w:rFonts w:hint="eastAsia" w:eastAsia="宋体"/>
                <w:color w:val="auto"/>
                <w:lang w:eastAsia="zh-CN"/>
              </w:rPr>
            </w:pPr>
            <w:r>
              <w:rPr>
                <w:rFonts w:hint="eastAsia"/>
                <w:color w:val="auto"/>
                <w:lang w:eastAsia="zh-CN"/>
              </w:rPr>
              <w:t>副</w:t>
            </w:r>
          </w:p>
        </w:tc>
        <w:tc>
          <w:tcPr>
            <w:tcW w:w="757" w:type="pct"/>
            <w:tcBorders>
              <w:tl2br w:val="nil"/>
              <w:tr2bl w:val="nil"/>
            </w:tcBorders>
            <w:vAlign w:val="center"/>
          </w:tcPr>
          <w:p w14:paraId="4F60375E">
            <w:pPr>
              <w:ind w:firstLine="420" w:firstLineChars="200"/>
              <w:jc w:val="left"/>
              <w:rPr>
                <w:rFonts w:hint="eastAsia" w:eastAsia="宋体"/>
                <w:color w:val="auto"/>
                <w:sz w:val="21"/>
                <w:szCs w:val="21"/>
                <w:lang w:val="en-US" w:eastAsia="zh-CN"/>
              </w:rPr>
            </w:pPr>
            <w:r>
              <w:rPr>
                <w:rFonts w:hint="eastAsia"/>
                <w:color w:val="auto"/>
                <w:sz w:val="21"/>
                <w:szCs w:val="21"/>
                <w:lang w:val="en-US" w:eastAsia="zh-CN"/>
              </w:rPr>
              <w:t>仓库</w:t>
            </w:r>
          </w:p>
        </w:tc>
        <w:tc>
          <w:tcPr>
            <w:tcW w:w="424" w:type="pct"/>
            <w:vMerge w:val="continue"/>
            <w:tcBorders>
              <w:tl2br w:val="nil"/>
              <w:tr2bl w:val="nil"/>
            </w:tcBorders>
            <w:vAlign w:val="center"/>
          </w:tcPr>
          <w:p w14:paraId="100D0570">
            <w:pPr>
              <w:pStyle w:val="34"/>
              <w:jc w:val="center"/>
              <w:rPr>
                <w:color w:val="auto"/>
              </w:rPr>
            </w:pPr>
          </w:p>
        </w:tc>
        <w:tc>
          <w:tcPr>
            <w:tcW w:w="724" w:type="pct"/>
            <w:vMerge w:val="continue"/>
            <w:tcBorders>
              <w:tl2br w:val="nil"/>
              <w:tr2bl w:val="nil"/>
            </w:tcBorders>
            <w:vAlign w:val="center"/>
          </w:tcPr>
          <w:p w14:paraId="07FC9EC6">
            <w:pPr>
              <w:pStyle w:val="34"/>
              <w:jc w:val="center"/>
              <w:rPr>
                <w:color w:val="auto"/>
              </w:rPr>
            </w:pPr>
          </w:p>
        </w:tc>
      </w:tr>
      <w:tr w14:paraId="43792F1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28" w:type="pct"/>
            <w:tcBorders>
              <w:tl2br w:val="nil"/>
              <w:tr2bl w:val="nil"/>
            </w:tcBorders>
            <w:tcMar>
              <w:left w:w="28" w:type="dxa"/>
              <w:right w:w="28" w:type="dxa"/>
            </w:tcMar>
            <w:vAlign w:val="center"/>
          </w:tcPr>
          <w:p w14:paraId="06689F5D">
            <w:pPr>
              <w:pStyle w:val="34"/>
              <w:ind w:firstLine="0" w:firstLineChars="0"/>
              <w:jc w:val="center"/>
              <w:rPr>
                <w:rFonts w:ascii="Times New Roman" w:hAnsi="Times New Roman" w:eastAsia="宋体" w:cstheme="minorBidi"/>
                <w:color w:val="auto"/>
                <w:kern w:val="2"/>
                <w:sz w:val="21"/>
                <w:szCs w:val="21"/>
                <w:lang w:val="en-US" w:eastAsia="zh-CN" w:bidi="ar-SA"/>
              </w:rPr>
            </w:pPr>
            <w:r>
              <w:rPr>
                <w:rFonts w:hint="eastAsia"/>
                <w:color w:val="auto"/>
              </w:rPr>
              <w:t>10</w:t>
            </w:r>
          </w:p>
        </w:tc>
        <w:tc>
          <w:tcPr>
            <w:tcW w:w="528" w:type="pct"/>
            <w:vMerge w:val="continue"/>
            <w:tcBorders>
              <w:tl2br w:val="nil"/>
              <w:tr2bl w:val="nil"/>
            </w:tcBorders>
            <w:tcMar>
              <w:left w:w="28" w:type="dxa"/>
              <w:right w:w="28" w:type="dxa"/>
            </w:tcMar>
            <w:vAlign w:val="center"/>
          </w:tcPr>
          <w:p w14:paraId="144825A0">
            <w:pPr>
              <w:pStyle w:val="34"/>
              <w:jc w:val="center"/>
              <w:rPr>
                <w:color w:val="auto"/>
              </w:rPr>
            </w:pPr>
          </w:p>
        </w:tc>
        <w:tc>
          <w:tcPr>
            <w:tcW w:w="1156" w:type="pct"/>
            <w:tcBorders>
              <w:tl2br w:val="nil"/>
              <w:tr2bl w:val="nil"/>
            </w:tcBorders>
            <w:tcMar>
              <w:left w:w="28" w:type="dxa"/>
              <w:right w:w="28" w:type="dxa"/>
            </w:tcMar>
            <w:vAlign w:val="center"/>
          </w:tcPr>
          <w:p w14:paraId="32BF36D7">
            <w:pPr>
              <w:pStyle w:val="34"/>
              <w:jc w:val="center"/>
              <w:rPr>
                <w:color w:val="auto"/>
              </w:rPr>
            </w:pPr>
            <w:r>
              <w:rPr>
                <w:rFonts w:hint="eastAsia"/>
                <w:color w:val="auto"/>
              </w:rPr>
              <w:t>防护眼罩</w:t>
            </w:r>
          </w:p>
        </w:tc>
        <w:tc>
          <w:tcPr>
            <w:tcW w:w="521" w:type="pct"/>
            <w:tcBorders>
              <w:tl2br w:val="nil"/>
              <w:tr2bl w:val="nil"/>
            </w:tcBorders>
            <w:shd w:val="clear" w:color="auto" w:fill="auto"/>
            <w:tcMar>
              <w:left w:w="28" w:type="dxa"/>
              <w:right w:w="28" w:type="dxa"/>
            </w:tcMar>
            <w:vAlign w:val="center"/>
          </w:tcPr>
          <w:p w14:paraId="5A7D3D7B">
            <w:pPr>
              <w:pStyle w:val="34"/>
              <w:jc w:val="center"/>
              <w:rPr>
                <w:rFonts w:hint="eastAsia" w:eastAsia="宋体"/>
                <w:color w:val="auto"/>
                <w:lang w:val="en-US" w:eastAsia="zh-CN"/>
              </w:rPr>
            </w:pPr>
            <w:r>
              <w:rPr>
                <w:rFonts w:hint="eastAsia"/>
                <w:color w:val="auto"/>
                <w:lang w:val="en-US" w:eastAsia="zh-CN"/>
              </w:rPr>
              <w:t>4</w:t>
            </w:r>
          </w:p>
        </w:tc>
        <w:tc>
          <w:tcPr>
            <w:tcW w:w="558" w:type="pct"/>
            <w:tcBorders>
              <w:tl2br w:val="nil"/>
              <w:tr2bl w:val="nil"/>
            </w:tcBorders>
            <w:vAlign w:val="center"/>
          </w:tcPr>
          <w:p w14:paraId="2CC5F343">
            <w:pPr>
              <w:pStyle w:val="34"/>
              <w:jc w:val="center"/>
              <w:rPr>
                <w:color w:val="auto"/>
              </w:rPr>
            </w:pPr>
            <w:r>
              <w:rPr>
                <w:rFonts w:hint="eastAsia"/>
                <w:color w:val="auto"/>
                <w:lang w:eastAsia="zh-CN"/>
              </w:rPr>
              <w:t>副</w:t>
            </w:r>
          </w:p>
        </w:tc>
        <w:tc>
          <w:tcPr>
            <w:tcW w:w="757" w:type="pct"/>
            <w:tcBorders>
              <w:tl2br w:val="nil"/>
              <w:tr2bl w:val="nil"/>
            </w:tcBorders>
            <w:vAlign w:val="center"/>
          </w:tcPr>
          <w:p w14:paraId="2F1FCD88">
            <w:pPr>
              <w:pStyle w:val="34"/>
              <w:ind w:firstLine="0" w:firstLineChars="0"/>
              <w:jc w:val="center"/>
              <w:rPr>
                <w:rFonts w:hint="eastAsia" w:eastAsia="宋体"/>
                <w:color w:val="auto"/>
                <w:sz w:val="21"/>
                <w:szCs w:val="21"/>
                <w:lang w:val="en-US" w:eastAsia="zh-CN"/>
              </w:rPr>
            </w:pPr>
            <w:r>
              <w:rPr>
                <w:rFonts w:hint="eastAsia"/>
                <w:color w:val="auto"/>
                <w:sz w:val="21"/>
                <w:szCs w:val="21"/>
                <w:lang w:val="en-US" w:eastAsia="zh-CN"/>
              </w:rPr>
              <w:t>仓库</w:t>
            </w:r>
          </w:p>
        </w:tc>
        <w:tc>
          <w:tcPr>
            <w:tcW w:w="424" w:type="pct"/>
            <w:vMerge w:val="continue"/>
            <w:tcBorders>
              <w:tl2br w:val="nil"/>
              <w:tr2bl w:val="nil"/>
            </w:tcBorders>
            <w:vAlign w:val="center"/>
          </w:tcPr>
          <w:p w14:paraId="4C517715">
            <w:pPr>
              <w:pStyle w:val="34"/>
              <w:jc w:val="center"/>
              <w:rPr>
                <w:color w:val="auto"/>
              </w:rPr>
            </w:pPr>
          </w:p>
        </w:tc>
        <w:tc>
          <w:tcPr>
            <w:tcW w:w="724" w:type="pct"/>
            <w:vMerge w:val="continue"/>
            <w:tcBorders>
              <w:tl2br w:val="nil"/>
              <w:tr2bl w:val="nil"/>
            </w:tcBorders>
            <w:vAlign w:val="center"/>
          </w:tcPr>
          <w:p w14:paraId="2CC2DCE7">
            <w:pPr>
              <w:pStyle w:val="34"/>
              <w:jc w:val="center"/>
              <w:rPr>
                <w:color w:val="auto"/>
              </w:rPr>
            </w:pPr>
          </w:p>
        </w:tc>
      </w:tr>
      <w:tr w14:paraId="0315672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28" w:type="pct"/>
            <w:tcBorders>
              <w:tl2br w:val="nil"/>
              <w:tr2bl w:val="nil"/>
            </w:tcBorders>
            <w:tcMar>
              <w:left w:w="28" w:type="dxa"/>
              <w:right w:w="28" w:type="dxa"/>
            </w:tcMar>
            <w:vAlign w:val="center"/>
          </w:tcPr>
          <w:p w14:paraId="7F6BF561">
            <w:pPr>
              <w:pStyle w:val="34"/>
              <w:ind w:firstLine="0" w:firstLineChars="0"/>
              <w:jc w:val="center"/>
              <w:rPr>
                <w:rFonts w:ascii="Times New Roman" w:hAnsi="Times New Roman" w:eastAsia="宋体" w:cstheme="minorBidi"/>
                <w:color w:val="auto"/>
                <w:kern w:val="2"/>
                <w:sz w:val="21"/>
                <w:szCs w:val="21"/>
                <w:lang w:val="en-US" w:eastAsia="zh-CN" w:bidi="ar-SA"/>
              </w:rPr>
            </w:pPr>
            <w:r>
              <w:rPr>
                <w:rFonts w:hint="eastAsia"/>
                <w:color w:val="auto"/>
              </w:rPr>
              <w:t>11</w:t>
            </w:r>
          </w:p>
        </w:tc>
        <w:tc>
          <w:tcPr>
            <w:tcW w:w="528" w:type="pct"/>
            <w:vMerge w:val="continue"/>
            <w:tcBorders>
              <w:tl2br w:val="nil"/>
              <w:tr2bl w:val="nil"/>
            </w:tcBorders>
            <w:tcMar>
              <w:left w:w="28" w:type="dxa"/>
              <w:right w:w="28" w:type="dxa"/>
            </w:tcMar>
            <w:vAlign w:val="center"/>
          </w:tcPr>
          <w:p w14:paraId="7706AB45">
            <w:pPr>
              <w:pStyle w:val="34"/>
              <w:jc w:val="center"/>
              <w:rPr>
                <w:color w:val="auto"/>
              </w:rPr>
            </w:pPr>
          </w:p>
        </w:tc>
        <w:tc>
          <w:tcPr>
            <w:tcW w:w="1156" w:type="pct"/>
            <w:tcBorders>
              <w:tl2br w:val="nil"/>
              <w:tr2bl w:val="nil"/>
            </w:tcBorders>
            <w:tcMar>
              <w:left w:w="28" w:type="dxa"/>
              <w:right w:w="28" w:type="dxa"/>
            </w:tcMar>
            <w:vAlign w:val="center"/>
          </w:tcPr>
          <w:p w14:paraId="6DBDD7C5">
            <w:pPr>
              <w:pStyle w:val="34"/>
              <w:jc w:val="center"/>
              <w:rPr>
                <w:color w:val="auto"/>
              </w:rPr>
            </w:pPr>
            <w:r>
              <w:rPr>
                <w:rFonts w:hint="eastAsia"/>
                <w:color w:val="auto"/>
              </w:rPr>
              <w:t>雨靴</w:t>
            </w:r>
          </w:p>
        </w:tc>
        <w:tc>
          <w:tcPr>
            <w:tcW w:w="521" w:type="pct"/>
            <w:tcBorders>
              <w:tl2br w:val="nil"/>
              <w:tr2bl w:val="nil"/>
            </w:tcBorders>
            <w:shd w:val="clear" w:color="auto" w:fill="auto"/>
            <w:tcMar>
              <w:left w:w="28" w:type="dxa"/>
              <w:right w:w="28" w:type="dxa"/>
            </w:tcMar>
            <w:vAlign w:val="center"/>
          </w:tcPr>
          <w:p w14:paraId="4DF2511A">
            <w:pPr>
              <w:pStyle w:val="34"/>
              <w:jc w:val="center"/>
              <w:rPr>
                <w:rFonts w:hint="eastAsia" w:eastAsia="宋体"/>
                <w:color w:val="auto"/>
                <w:lang w:val="en-US" w:eastAsia="zh-CN"/>
              </w:rPr>
            </w:pPr>
            <w:r>
              <w:rPr>
                <w:rFonts w:hint="eastAsia"/>
                <w:color w:val="auto"/>
                <w:lang w:val="en-US" w:eastAsia="zh-CN"/>
              </w:rPr>
              <w:t>4</w:t>
            </w:r>
          </w:p>
        </w:tc>
        <w:tc>
          <w:tcPr>
            <w:tcW w:w="558" w:type="pct"/>
            <w:tcBorders>
              <w:tl2br w:val="nil"/>
              <w:tr2bl w:val="nil"/>
            </w:tcBorders>
            <w:vAlign w:val="center"/>
          </w:tcPr>
          <w:p w14:paraId="3B8B2DB3">
            <w:pPr>
              <w:pStyle w:val="34"/>
              <w:jc w:val="center"/>
              <w:rPr>
                <w:rFonts w:hint="eastAsia" w:eastAsia="宋体"/>
                <w:color w:val="auto"/>
                <w:lang w:eastAsia="zh-CN"/>
              </w:rPr>
            </w:pPr>
            <w:r>
              <w:rPr>
                <w:rFonts w:hint="eastAsia"/>
                <w:color w:val="auto"/>
                <w:lang w:eastAsia="zh-CN"/>
              </w:rPr>
              <w:t>双</w:t>
            </w:r>
          </w:p>
        </w:tc>
        <w:tc>
          <w:tcPr>
            <w:tcW w:w="757" w:type="pct"/>
            <w:tcBorders>
              <w:tl2br w:val="nil"/>
              <w:tr2bl w:val="nil"/>
            </w:tcBorders>
            <w:vAlign w:val="center"/>
          </w:tcPr>
          <w:p w14:paraId="0B9AA7A2">
            <w:pPr>
              <w:pStyle w:val="34"/>
              <w:ind w:firstLine="0" w:firstLineChars="0"/>
              <w:jc w:val="center"/>
              <w:rPr>
                <w:rFonts w:hint="eastAsia" w:eastAsia="宋体"/>
                <w:color w:val="auto"/>
                <w:sz w:val="21"/>
                <w:szCs w:val="21"/>
                <w:lang w:val="en-US" w:eastAsia="zh-CN"/>
              </w:rPr>
            </w:pPr>
            <w:r>
              <w:rPr>
                <w:rFonts w:hint="eastAsia"/>
                <w:color w:val="auto"/>
                <w:sz w:val="21"/>
                <w:szCs w:val="21"/>
                <w:lang w:val="en-US" w:eastAsia="zh-CN"/>
              </w:rPr>
              <w:t>仓库</w:t>
            </w:r>
          </w:p>
        </w:tc>
        <w:tc>
          <w:tcPr>
            <w:tcW w:w="424" w:type="pct"/>
            <w:vMerge w:val="continue"/>
            <w:tcBorders>
              <w:tl2br w:val="nil"/>
              <w:tr2bl w:val="nil"/>
            </w:tcBorders>
            <w:vAlign w:val="center"/>
          </w:tcPr>
          <w:p w14:paraId="7C26C774">
            <w:pPr>
              <w:pStyle w:val="34"/>
              <w:jc w:val="center"/>
              <w:rPr>
                <w:color w:val="auto"/>
              </w:rPr>
            </w:pPr>
          </w:p>
        </w:tc>
        <w:tc>
          <w:tcPr>
            <w:tcW w:w="724" w:type="pct"/>
            <w:vMerge w:val="continue"/>
            <w:tcBorders>
              <w:tl2br w:val="nil"/>
              <w:tr2bl w:val="nil"/>
            </w:tcBorders>
            <w:vAlign w:val="center"/>
          </w:tcPr>
          <w:p w14:paraId="55AAFEDB">
            <w:pPr>
              <w:pStyle w:val="34"/>
              <w:jc w:val="center"/>
              <w:rPr>
                <w:color w:val="auto"/>
              </w:rPr>
            </w:pPr>
          </w:p>
        </w:tc>
      </w:tr>
      <w:tr w14:paraId="5D7AE74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28" w:type="pct"/>
            <w:tcBorders>
              <w:tl2br w:val="nil"/>
              <w:tr2bl w:val="nil"/>
            </w:tcBorders>
            <w:tcMar>
              <w:left w:w="28" w:type="dxa"/>
              <w:right w:w="28" w:type="dxa"/>
            </w:tcMar>
            <w:vAlign w:val="center"/>
          </w:tcPr>
          <w:p w14:paraId="547480D7">
            <w:pPr>
              <w:pStyle w:val="34"/>
              <w:ind w:firstLine="0" w:firstLineChars="0"/>
              <w:jc w:val="center"/>
              <w:rPr>
                <w:rFonts w:ascii="Times New Roman" w:hAnsi="Times New Roman" w:eastAsia="宋体" w:cstheme="minorBidi"/>
                <w:color w:val="auto"/>
                <w:kern w:val="2"/>
                <w:sz w:val="21"/>
                <w:szCs w:val="21"/>
                <w:lang w:val="en-US" w:eastAsia="zh-CN" w:bidi="ar-SA"/>
              </w:rPr>
            </w:pPr>
            <w:r>
              <w:rPr>
                <w:rFonts w:hint="eastAsia"/>
                <w:color w:val="auto"/>
              </w:rPr>
              <w:t>12</w:t>
            </w:r>
          </w:p>
        </w:tc>
        <w:tc>
          <w:tcPr>
            <w:tcW w:w="528" w:type="pct"/>
            <w:vMerge w:val="continue"/>
            <w:tcBorders>
              <w:tl2br w:val="nil"/>
              <w:tr2bl w:val="nil"/>
            </w:tcBorders>
            <w:tcMar>
              <w:left w:w="28" w:type="dxa"/>
              <w:right w:w="28" w:type="dxa"/>
            </w:tcMar>
            <w:vAlign w:val="center"/>
          </w:tcPr>
          <w:p w14:paraId="65D586D6">
            <w:pPr>
              <w:pStyle w:val="34"/>
              <w:jc w:val="center"/>
              <w:rPr>
                <w:color w:val="auto"/>
              </w:rPr>
            </w:pPr>
          </w:p>
        </w:tc>
        <w:tc>
          <w:tcPr>
            <w:tcW w:w="1156" w:type="pct"/>
            <w:tcBorders>
              <w:tl2br w:val="nil"/>
              <w:tr2bl w:val="nil"/>
            </w:tcBorders>
            <w:tcMar>
              <w:left w:w="28" w:type="dxa"/>
              <w:right w:w="28" w:type="dxa"/>
            </w:tcMar>
            <w:vAlign w:val="center"/>
          </w:tcPr>
          <w:p w14:paraId="4F174478">
            <w:pPr>
              <w:pStyle w:val="34"/>
              <w:jc w:val="center"/>
              <w:rPr>
                <w:color w:val="auto"/>
              </w:rPr>
            </w:pPr>
            <w:r>
              <w:rPr>
                <w:rFonts w:hint="eastAsia"/>
                <w:color w:val="auto"/>
              </w:rPr>
              <w:t>雨衣</w:t>
            </w:r>
          </w:p>
        </w:tc>
        <w:tc>
          <w:tcPr>
            <w:tcW w:w="521" w:type="pct"/>
            <w:tcBorders>
              <w:tl2br w:val="nil"/>
              <w:tr2bl w:val="nil"/>
            </w:tcBorders>
            <w:shd w:val="clear" w:color="auto" w:fill="auto"/>
            <w:tcMar>
              <w:left w:w="28" w:type="dxa"/>
              <w:right w:w="28" w:type="dxa"/>
            </w:tcMar>
            <w:vAlign w:val="center"/>
          </w:tcPr>
          <w:p w14:paraId="7CFA19B3">
            <w:pPr>
              <w:pStyle w:val="34"/>
              <w:jc w:val="center"/>
              <w:rPr>
                <w:rFonts w:hint="default" w:eastAsia="宋体"/>
                <w:color w:val="auto"/>
                <w:lang w:val="en-US" w:eastAsia="zh-CN"/>
              </w:rPr>
            </w:pPr>
            <w:r>
              <w:rPr>
                <w:rFonts w:hint="eastAsia"/>
                <w:color w:val="auto"/>
                <w:lang w:val="en-US" w:eastAsia="zh-CN"/>
              </w:rPr>
              <w:t>6</w:t>
            </w:r>
          </w:p>
        </w:tc>
        <w:tc>
          <w:tcPr>
            <w:tcW w:w="558" w:type="pct"/>
            <w:tcBorders>
              <w:tl2br w:val="nil"/>
              <w:tr2bl w:val="nil"/>
            </w:tcBorders>
            <w:vAlign w:val="center"/>
          </w:tcPr>
          <w:p w14:paraId="37E0C250">
            <w:pPr>
              <w:pStyle w:val="34"/>
              <w:jc w:val="center"/>
              <w:rPr>
                <w:rFonts w:hint="eastAsia" w:eastAsia="宋体"/>
                <w:color w:val="auto"/>
                <w:lang w:eastAsia="zh-CN"/>
              </w:rPr>
            </w:pPr>
            <w:r>
              <w:rPr>
                <w:rFonts w:hint="eastAsia"/>
                <w:color w:val="auto"/>
                <w:lang w:eastAsia="zh-CN"/>
              </w:rPr>
              <w:t>件</w:t>
            </w:r>
          </w:p>
        </w:tc>
        <w:tc>
          <w:tcPr>
            <w:tcW w:w="757" w:type="pct"/>
            <w:tcBorders>
              <w:tl2br w:val="nil"/>
              <w:tr2bl w:val="nil"/>
            </w:tcBorders>
            <w:vAlign w:val="center"/>
          </w:tcPr>
          <w:p w14:paraId="78974960">
            <w:pPr>
              <w:pStyle w:val="34"/>
              <w:ind w:firstLine="0" w:firstLineChars="0"/>
              <w:jc w:val="center"/>
              <w:rPr>
                <w:rFonts w:hint="default" w:eastAsia="宋体"/>
                <w:color w:val="auto"/>
                <w:sz w:val="21"/>
                <w:szCs w:val="21"/>
                <w:lang w:val="en-US" w:eastAsia="zh-CN"/>
              </w:rPr>
            </w:pPr>
            <w:r>
              <w:rPr>
                <w:rFonts w:hint="eastAsia"/>
                <w:color w:val="auto"/>
                <w:sz w:val="21"/>
                <w:szCs w:val="21"/>
                <w:lang w:val="en-US" w:eastAsia="zh-CN"/>
              </w:rPr>
              <w:t>仓库</w:t>
            </w:r>
          </w:p>
        </w:tc>
        <w:tc>
          <w:tcPr>
            <w:tcW w:w="424" w:type="pct"/>
            <w:vMerge w:val="continue"/>
            <w:tcBorders>
              <w:tl2br w:val="nil"/>
              <w:tr2bl w:val="nil"/>
            </w:tcBorders>
            <w:vAlign w:val="center"/>
          </w:tcPr>
          <w:p w14:paraId="2027D743">
            <w:pPr>
              <w:pStyle w:val="34"/>
              <w:jc w:val="center"/>
              <w:rPr>
                <w:color w:val="auto"/>
              </w:rPr>
            </w:pPr>
          </w:p>
        </w:tc>
        <w:tc>
          <w:tcPr>
            <w:tcW w:w="724" w:type="pct"/>
            <w:vMerge w:val="continue"/>
            <w:tcBorders>
              <w:tl2br w:val="nil"/>
              <w:tr2bl w:val="nil"/>
            </w:tcBorders>
            <w:vAlign w:val="center"/>
          </w:tcPr>
          <w:p w14:paraId="3D199CBE">
            <w:pPr>
              <w:pStyle w:val="34"/>
              <w:jc w:val="center"/>
              <w:rPr>
                <w:color w:val="auto"/>
              </w:rPr>
            </w:pPr>
          </w:p>
        </w:tc>
      </w:tr>
      <w:tr w14:paraId="3B3B98C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28" w:type="pct"/>
            <w:tcBorders>
              <w:tl2br w:val="nil"/>
              <w:tr2bl w:val="nil"/>
            </w:tcBorders>
            <w:tcMar>
              <w:left w:w="28" w:type="dxa"/>
              <w:right w:w="28" w:type="dxa"/>
            </w:tcMar>
            <w:vAlign w:val="center"/>
          </w:tcPr>
          <w:p w14:paraId="0E6FCC83">
            <w:pPr>
              <w:pStyle w:val="34"/>
              <w:ind w:firstLine="0" w:firstLineChars="0"/>
              <w:jc w:val="center"/>
              <w:rPr>
                <w:rFonts w:ascii="Times New Roman" w:hAnsi="Times New Roman" w:eastAsia="宋体" w:cstheme="minorBidi"/>
                <w:color w:val="auto"/>
                <w:kern w:val="2"/>
                <w:sz w:val="21"/>
                <w:szCs w:val="21"/>
                <w:lang w:val="en-US" w:eastAsia="zh-CN" w:bidi="ar-SA"/>
              </w:rPr>
            </w:pPr>
            <w:r>
              <w:rPr>
                <w:rFonts w:hint="eastAsia"/>
                <w:color w:val="auto"/>
              </w:rPr>
              <w:t>13</w:t>
            </w:r>
          </w:p>
        </w:tc>
        <w:tc>
          <w:tcPr>
            <w:tcW w:w="528" w:type="pct"/>
            <w:vMerge w:val="continue"/>
            <w:tcBorders>
              <w:tl2br w:val="nil"/>
              <w:tr2bl w:val="nil"/>
            </w:tcBorders>
            <w:tcMar>
              <w:left w:w="28" w:type="dxa"/>
              <w:right w:w="28" w:type="dxa"/>
            </w:tcMar>
            <w:vAlign w:val="center"/>
          </w:tcPr>
          <w:p w14:paraId="660C995B">
            <w:pPr>
              <w:pStyle w:val="34"/>
              <w:jc w:val="center"/>
              <w:rPr>
                <w:color w:val="auto"/>
              </w:rPr>
            </w:pPr>
          </w:p>
        </w:tc>
        <w:tc>
          <w:tcPr>
            <w:tcW w:w="1156" w:type="pct"/>
            <w:tcBorders>
              <w:tl2br w:val="nil"/>
              <w:tr2bl w:val="nil"/>
            </w:tcBorders>
            <w:tcMar>
              <w:left w:w="28" w:type="dxa"/>
              <w:right w:w="28" w:type="dxa"/>
            </w:tcMar>
            <w:vAlign w:val="center"/>
          </w:tcPr>
          <w:p w14:paraId="0B04875C">
            <w:pPr>
              <w:pStyle w:val="34"/>
              <w:jc w:val="center"/>
              <w:rPr>
                <w:color w:val="auto"/>
              </w:rPr>
            </w:pPr>
            <w:r>
              <w:rPr>
                <w:rFonts w:hint="eastAsia"/>
                <w:color w:val="auto"/>
              </w:rPr>
              <w:t>救生绳</w:t>
            </w:r>
          </w:p>
        </w:tc>
        <w:tc>
          <w:tcPr>
            <w:tcW w:w="521" w:type="pct"/>
            <w:tcBorders>
              <w:tl2br w:val="nil"/>
              <w:tr2bl w:val="nil"/>
            </w:tcBorders>
            <w:shd w:val="clear" w:color="auto" w:fill="auto"/>
            <w:tcMar>
              <w:left w:w="28" w:type="dxa"/>
              <w:right w:w="28" w:type="dxa"/>
            </w:tcMar>
            <w:vAlign w:val="center"/>
          </w:tcPr>
          <w:p w14:paraId="5845E418">
            <w:pPr>
              <w:pStyle w:val="34"/>
              <w:jc w:val="center"/>
              <w:rPr>
                <w:rFonts w:hint="default" w:eastAsia="宋体"/>
                <w:color w:val="auto"/>
                <w:lang w:val="en-US" w:eastAsia="zh-CN"/>
              </w:rPr>
            </w:pPr>
            <w:r>
              <w:rPr>
                <w:rFonts w:hint="eastAsia"/>
                <w:color w:val="auto"/>
                <w:lang w:val="en-US" w:eastAsia="zh-CN"/>
              </w:rPr>
              <w:t>30</w:t>
            </w:r>
          </w:p>
        </w:tc>
        <w:tc>
          <w:tcPr>
            <w:tcW w:w="558" w:type="pct"/>
            <w:tcBorders>
              <w:tl2br w:val="nil"/>
              <w:tr2bl w:val="nil"/>
            </w:tcBorders>
            <w:vAlign w:val="center"/>
          </w:tcPr>
          <w:p w14:paraId="49C6FD71">
            <w:pPr>
              <w:pStyle w:val="34"/>
              <w:jc w:val="center"/>
              <w:rPr>
                <w:rFonts w:hint="eastAsia" w:eastAsia="宋体"/>
                <w:color w:val="auto"/>
                <w:lang w:eastAsia="zh-CN"/>
              </w:rPr>
            </w:pPr>
            <w:r>
              <w:rPr>
                <w:rFonts w:hint="eastAsia"/>
                <w:color w:val="auto"/>
                <w:lang w:eastAsia="zh-CN"/>
              </w:rPr>
              <w:t>条</w:t>
            </w:r>
            <w:r>
              <w:rPr>
                <w:rFonts w:hint="eastAsia"/>
                <w:color w:val="auto"/>
                <w:lang w:val="en-US" w:eastAsia="zh-CN"/>
              </w:rPr>
              <w:t>（10米／条）</w:t>
            </w:r>
          </w:p>
        </w:tc>
        <w:tc>
          <w:tcPr>
            <w:tcW w:w="757" w:type="pct"/>
            <w:tcBorders>
              <w:tl2br w:val="nil"/>
              <w:tr2bl w:val="nil"/>
            </w:tcBorders>
            <w:vAlign w:val="center"/>
          </w:tcPr>
          <w:p w14:paraId="0B6D4577">
            <w:pPr>
              <w:pStyle w:val="34"/>
              <w:ind w:firstLine="0" w:firstLineChars="0"/>
              <w:jc w:val="center"/>
              <w:rPr>
                <w:rFonts w:hint="default" w:eastAsia="宋体"/>
                <w:color w:val="auto"/>
                <w:sz w:val="21"/>
                <w:szCs w:val="21"/>
                <w:lang w:val="en-US" w:eastAsia="zh-CN"/>
              </w:rPr>
            </w:pPr>
            <w:r>
              <w:rPr>
                <w:rFonts w:hint="eastAsia"/>
                <w:color w:val="auto"/>
                <w:sz w:val="21"/>
                <w:szCs w:val="21"/>
                <w:lang w:val="en-US" w:eastAsia="zh-CN"/>
              </w:rPr>
              <w:t>各池体构筑物</w:t>
            </w:r>
          </w:p>
        </w:tc>
        <w:tc>
          <w:tcPr>
            <w:tcW w:w="424" w:type="pct"/>
            <w:vMerge w:val="continue"/>
            <w:tcBorders>
              <w:tl2br w:val="nil"/>
              <w:tr2bl w:val="nil"/>
            </w:tcBorders>
            <w:vAlign w:val="center"/>
          </w:tcPr>
          <w:p w14:paraId="51AFFEB3">
            <w:pPr>
              <w:pStyle w:val="34"/>
              <w:jc w:val="center"/>
              <w:rPr>
                <w:color w:val="auto"/>
              </w:rPr>
            </w:pPr>
          </w:p>
        </w:tc>
        <w:tc>
          <w:tcPr>
            <w:tcW w:w="724" w:type="pct"/>
            <w:vMerge w:val="continue"/>
            <w:tcBorders>
              <w:tl2br w:val="nil"/>
              <w:tr2bl w:val="nil"/>
            </w:tcBorders>
            <w:vAlign w:val="center"/>
          </w:tcPr>
          <w:p w14:paraId="0914AF8B">
            <w:pPr>
              <w:pStyle w:val="34"/>
              <w:jc w:val="center"/>
              <w:rPr>
                <w:color w:val="auto"/>
              </w:rPr>
            </w:pPr>
          </w:p>
        </w:tc>
      </w:tr>
      <w:tr w14:paraId="2BEEB5F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28" w:type="pct"/>
            <w:tcBorders>
              <w:tl2br w:val="nil"/>
              <w:tr2bl w:val="nil"/>
            </w:tcBorders>
            <w:tcMar>
              <w:left w:w="28" w:type="dxa"/>
              <w:right w:w="28" w:type="dxa"/>
            </w:tcMar>
            <w:vAlign w:val="center"/>
          </w:tcPr>
          <w:p w14:paraId="4E314833">
            <w:pPr>
              <w:pStyle w:val="34"/>
              <w:ind w:firstLine="0" w:firstLineChars="0"/>
              <w:jc w:val="center"/>
              <w:rPr>
                <w:rFonts w:ascii="Times New Roman" w:hAnsi="Times New Roman" w:eastAsia="宋体" w:cstheme="minorBidi"/>
                <w:color w:val="auto"/>
                <w:kern w:val="2"/>
                <w:sz w:val="21"/>
                <w:szCs w:val="21"/>
                <w:lang w:val="en-US" w:eastAsia="zh-CN" w:bidi="ar-SA"/>
              </w:rPr>
            </w:pPr>
            <w:r>
              <w:rPr>
                <w:rFonts w:hint="eastAsia"/>
                <w:color w:val="auto"/>
              </w:rPr>
              <w:t>14</w:t>
            </w:r>
          </w:p>
        </w:tc>
        <w:tc>
          <w:tcPr>
            <w:tcW w:w="528" w:type="pct"/>
            <w:vMerge w:val="continue"/>
            <w:tcBorders>
              <w:tl2br w:val="nil"/>
              <w:tr2bl w:val="nil"/>
            </w:tcBorders>
            <w:tcMar>
              <w:left w:w="28" w:type="dxa"/>
              <w:right w:w="28" w:type="dxa"/>
            </w:tcMar>
            <w:vAlign w:val="center"/>
          </w:tcPr>
          <w:p w14:paraId="7EB23B29">
            <w:pPr>
              <w:pStyle w:val="34"/>
              <w:jc w:val="center"/>
              <w:rPr>
                <w:color w:val="auto"/>
              </w:rPr>
            </w:pPr>
          </w:p>
        </w:tc>
        <w:tc>
          <w:tcPr>
            <w:tcW w:w="1156" w:type="pct"/>
            <w:tcBorders>
              <w:tl2br w:val="nil"/>
              <w:tr2bl w:val="nil"/>
            </w:tcBorders>
            <w:tcMar>
              <w:left w:w="28" w:type="dxa"/>
              <w:right w:w="28" w:type="dxa"/>
            </w:tcMar>
            <w:vAlign w:val="center"/>
          </w:tcPr>
          <w:p w14:paraId="2FFA21AA">
            <w:pPr>
              <w:pStyle w:val="34"/>
              <w:jc w:val="center"/>
              <w:rPr>
                <w:color w:val="auto"/>
              </w:rPr>
            </w:pPr>
            <w:r>
              <w:rPr>
                <w:rFonts w:hint="eastAsia"/>
                <w:color w:val="auto"/>
              </w:rPr>
              <w:t>干粉灭火器</w:t>
            </w:r>
          </w:p>
        </w:tc>
        <w:tc>
          <w:tcPr>
            <w:tcW w:w="521" w:type="pct"/>
            <w:tcBorders>
              <w:tl2br w:val="nil"/>
              <w:tr2bl w:val="nil"/>
            </w:tcBorders>
            <w:shd w:val="clear" w:color="auto" w:fill="auto"/>
            <w:tcMar>
              <w:left w:w="28" w:type="dxa"/>
              <w:right w:w="28" w:type="dxa"/>
            </w:tcMar>
            <w:vAlign w:val="center"/>
          </w:tcPr>
          <w:p w14:paraId="25A7784A">
            <w:pPr>
              <w:pStyle w:val="34"/>
              <w:jc w:val="center"/>
              <w:rPr>
                <w:rFonts w:hint="default" w:eastAsia="宋体"/>
                <w:color w:val="auto"/>
                <w:lang w:val="en-US" w:eastAsia="zh-CN"/>
              </w:rPr>
            </w:pPr>
            <w:r>
              <w:rPr>
                <w:rFonts w:hint="eastAsia"/>
                <w:color w:val="auto"/>
                <w:lang w:val="en-US" w:eastAsia="zh-CN"/>
              </w:rPr>
              <w:t>48</w:t>
            </w:r>
          </w:p>
        </w:tc>
        <w:tc>
          <w:tcPr>
            <w:tcW w:w="558" w:type="pct"/>
            <w:tcBorders>
              <w:tl2br w:val="nil"/>
              <w:tr2bl w:val="nil"/>
            </w:tcBorders>
            <w:vAlign w:val="center"/>
          </w:tcPr>
          <w:p w14:paraId="0775F70A">
            <w:pPr>
              <w:pStyle w:val="34"/>
              <w:jc w:val="center"/>
              <w:rPr>
                <w:rFonts w:hint="eastAsia" w:eastAsia="宋体"/>
                <w:color w:val="auto"/>
                <w:lang w:eastAsia="zh-CN"/>
              </w:rPr>
            </w:pPr>
            <w:r>
              <w:rPr>
                <w:rFonts w:hint="eastAsia"/>
                <w:color w:val="auto"/>
                <w:lang w:eastAsia="zh-CN"/>
              </w:rPr>
              <w:t>个</w:t>
            </w:r>
          </w:p>
        </w:tc>
        <w:tc>
          <w:tcPr>
            <w:tcW w:w="757" w:type="pct"/>
            <w:tcBorders>
              <w:tl2br w:val="nil"/>
              <w:tr2bl w:val="nil"/>
            </w:tcBorders>
            <w:vAlign w:val="center"/>
          </w:tcPr>
          <w:p w14:paraId="76FE7118">
            <w:pPr>
              <w:pStyle w:val="34"/>
              <w:ind w:firstLine="0" w:firstLineChars="0"/>
              <w:jc w:val="center"/>
              <w:rPr>
                <w:rFonts w:hint="default" w:eastAsia="宋体"/>
                <w:color w:val="auto"/>
                <w:sz w:val="21"/>
                <w:szCs w:val="21"/>
                <w:lang w:val="en-US" w:eastAsia="zh-CN"/>
              </w:rPr>
            </w:pPr>
            <w:r>
              <w:rPr>
                <w:rFonts w:hint="eastAsia"/>
                <w:color w:val="auto"/>
                <w:sz w:val="21"/>
                <w:szCs w:val="21"/>
                <w:lang w:val="en-US" w:eastAsia="zh-CN"/>
              </w:rPr>
              <w:t>各设备车间</w:t>
            </w:r>
          </w:p>
        </w:tc>
        <w:tc>
          <w:tcPr>
            <w:tcW w:w="424" w:type="pct"/>
            <w:vMerge w:val="continue"/>
            <w:tcBorders>
              <w:tl2br w:val="nil"/>
              <w:tr2bl w:val="nil"/>
            </w:tcBorders>
            <w:vAlign w:val="center"/>
          </w:tcPr>
          <w:p w14:paraId="73053781">
            <w:pPr>
              <w:pStyle w:val="34"/>
              <w:jc w:val="center"/>
              <w:rPr>
                <w:color w:val="auto"/>
              </w:rPr>
            </w:pPr>
          </w:p>
        </w:tc>
        <w:tc>
          <w:tcPr>
            <w:tcW w:w="724" w:type="pct"/>
            <w:vMerge w:val="continue"/>
            <w:tcBorders>
              <w:tl2br w:val="nil"/>
              <w:tr2bl w:val="nil"/>
            </w:tcBorders>
            <w:vAlign w:val="center"/>
          </w:tcPr>
          <w:p w14:paraId="64F9B0D3">
            <w:pPr>
              <w:pStyle w:val="34"/>
              <w:jc w:val="center"/>
              <w:rPr>
                <w:color w:val="auto"/>
              </w:rPr>
            </w:pPr>
          </w:p>
        </w:tc>
      </w:tr>
      <w:tr w14:paraId="00706B4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28" w:type="pct"/>
            <w:tcBorders>
              <w:tl2br w:val="nil"/>
              <w:tr2bl w:val="nil"/>
            </w:tcBorders>
            <w:tcMar>
              <w:left w:w="28" w:type="dxa"/>
              <w:right w:w="28" w:type="dxa"/>
            </w:tcMar>
            <w:vAlign w:val="center"/>
          </w:tcPr>
          <w:p w14:paraId="3DE300DB">
            <w:pPr>
              <w:pStyle w:val="34"/>
              <w:ind w:firstLine="0" w:firstLineChars="0"/>
              <w:jc w:val="center"/>
              <w:rPr>
                <w:rFonts w:ascii="Times New Roman" w:hAnsi="Times New Roman" w:eastAsia="宋体" w:cstheme="minorBidi"/>
                <w:color w:val="auto"/>
                <w:kern w:val="2"/>
                <w:sz w:val="21"/>
                <w:szCs w:val="21"/>
                <w:lang w:val="en-US" w:eastAsia="zh-CN" w:bidi="ar-SA"/>
              </w:rPr>
            </w:pPr>
            <w:r>
              <w:rPr>
                <w:rFonts w:hint="eastAsia"/>
                <w:color w:val="auto"/>
              </w:rPr>
              <w:t>15</w:t>
            </w:r>
          </w:p>
        </w:tc>
        <w:tc>
          <w:tcPr>
            <w:tcW w:w="528" w:type="pct"/>
            <w:vMerge w:val="restart"/>
            <w:tcBorders>
              <w:tl2br w:val="nil"/>
              <w:tr2bl w:val="nil"/>
            </w:tcBorders>
            <w:tcMar>
              <w:left w:w="28" w:type="dxa"/>
              <w:right w:w="28" w:type="dxa"/>
            </w:tcMar>
            <w:vAlign w:val="center"/>
          </w:tcPr>
          <w:p w14:paraId="05516471">
            <w:pPr>
              <w:pStyle w:val="34"/>
              <w:jc w:val="center"/>
              <w:rPr>
                <w:color w:val="auto"/>
              </w:rPr>
            </w:pPr>
            <w:r>
              <w:rPr>
                <w:rFonts w:hint="eastAsia"/>
                <w:color w:val="auto"/>
              </w:rPr>
              <w:t>抢险堵漏物资</w:t>
            </w:r>
          </w:p>
        </w:tc>
        <w:tc>
          <w:tcPr>
            <w:tcW w:w="1156" w:type="pct"/>
            <w:tcBorders>
              <w:tl2br w:val="nil"/>
              <w:tr2bl w:val="nil"/>
            </w:tcBorders>
            <w:tcMar>
              <w:left w:w="28" w:type="dxa"/>
              <w:right w:w="28" w:type="dxa"/>
            </w:tcMar>
            <w:vAlign w:val="center"/>
          </w:tcPr>
          <w:p w14:paraId="0427CADB">
            <w:pPr>
              <w:pStyle w:val="34"/>
              <w:jc w:val="center"/>
              <w:rPr>
                <w:color w:val="auto"/>
              </w:rPr>
            </w:pPr>
            <w:r>
              <w:rPr>
                <w:rFonts w:hint="eastAsia"/>
                <w:color w:val="auto"/>
              </w:rPr>
              <w:t>铁锹</w:t>
            </w:r>
          </w:p>
        </w:tc>
        <w:tc>
          <w:tcPr>
            <w:tcW w:w="521" w:type="pct"/>
            <w:tcBorders>
              <w:tl2br w:val="nil"/>
              <w:tr2bl w:val="nil"/>
            </w:tcBorders>
            <w:shd w:val="clear" w:color="auto" w:fill="auto"/>
            <w:tcMar>
              <w:left w:w="28" w:type="dxa"/>
              <w:right w:w="28" w:type="dxa"/>
            </w:tcMar>
            <w:vAlign w:val="center"/>
          </w:tcPr>
          <w:p w14:paraId="003FAA48">
            <w:pPr>
              <w:pStyle w:val="34"/>
              <w:jc w:val="center"/>
              <w:rPr>
                <w:rFonts w:hint="eastAsia" w:eastAsia="宋体"/>
                <w:color w:val="auto"/>
                <w:lang w:val="en-US" w:eastAsia="zh-CN"/>
              </w:rPr>
            </w:pPr>
            <w:r>
              <w:rPr>
                <w:rFonts w:hint="eastAsia"/>
                <w:color w:val="auto"/>
                <w:lang w:val="en-US" w:eastAsia="zh-CN"/>
              </w:rPr>
              <w:t>8</w:t>
            </w:r>
          </w:p>
        </w:tc>
        <w:tc>
          <w:tcPr>
            <w:tcW w:w="558" w:type="pct"/>
            <w:tcBorders>
              <w:tl2br w:val="nil"/>
              <w:tr2bl w:val="nil"/>
            </w:tcBorders>
            <w:vAlign w:val="center"/>
          </w:tcPr>
          <w:p w14:paraId="66F94EC4">
            <w:pPr>
              <w:pStyle w:val="34"/>
              <w:jc w:val="center"/>
              <w:rPr>
                <w:rFonts w:hint="eastAsia" w:eastAsia="宋体"/>
                <w:color w:val="auto"/>
                <w:lang w:eastAsia="zh-CN"/>
              </w:rPr>
            </w:pPr>
            <w:r>
              <w:rPr>
                <w:rFonts w:hint="eastAsia"/>
                <w:color w:val="auto"/>
                <w:lang w:eastAsia="zh-CN"/>
              </w:rPr>
              <w:t>把</w:t>
            </w:r>
          </w:p>
        </w:tc>
        <w:tc>
          <w:tcPr>
            <w:tcW w:w="757" w:type="pct"/>
            <w:tcBorders>
              <w:tl2br w:val="nil"/>
              <w:tr2bl w:val="nil"/>
            </w:tcBorders>
            <w:vAlign w:val="center"/>
          </w:tcPr>
          <w:p w14:paraId="009FB7CC">
            <w:pPr>
              <w:pStyle w:val="34"/>
              <w:ind w:firstLine="0" w:firstLineChars="0"/>
              <w:jc w:val="center"/>
              <w:rPr>
                <w:rFonts w:hint="default" w:eastAsia="宋体"/>
                <w:color w:val="auto"/>
                <w:sz w:val="21"/>
                <w:szCs w:val="21"/>
                <w:lang w:val="en-US" w:eastAsia="zh-CN"/>
              </w:rPr>
            </w:pPr>
            <w:r>
              <w:rPr>
                <w:rFonts w:hint="eastAsia"/>
                <w:color w:val="auto"/>
                <w:sz w:val="21"/>
                <w:szCs w:val="21"/>
                <w:lang w:val="en-US" w:eastAsia="zh-CN"/>
              </w:rPr>
              <w:t>1#2#配电间、仪表间、化验室</w:t>
            </w:r>
          </w:p>
        </w:tc>
        <w:tc>
          <w:tcPr>
            <w:tcW w:w="424" w:type="pct"/>
            <w:vMerge w:val="restart"/>
            <w:tcBorders>
              <w:tl2br w:val="nil"/>
              <w:tr2bl w:val="nil"/>
            </w:tcBorders>
            <w:vAlign w:val="center"/>
          </w:tcPr>
          <w:p w14:paraId="3E80409F">
            <w:pPr>
              <w:pStyle w:val="34"/>
              <w:ind w:firstLine="0" w:firstLineChars="0"/>
              <w:jc w:val="center"/>
              <w:rPr>
                <w:rFonts w:hint="default" w:eastAsia="宋体"/>
                <w:color w:val="auto"/>
                <w:lang w:val="en-US" w:eastAsia="zh-CN"/>
              </w:rPr>
            </w:pPr>
            <w:r>
              <w:rPr>
                <w:rFonts w:hint="eastAsia"/>
                <w:color w:val="auto"/>
                <w:lang w:val="en-US" w:eastAsia="zh-CN"/>
              </w:rPr>
              <w:t>王一夫</w:t>
            </w:r>
          </w:p>
        </w:tc>
        <w:tc>
          <w:tcPr>
            <w:tcW w:w="724" w:type="pct"/>
            <w:vMerge w:val="restart"/>
            <w:tcBorders>
              <w:tl2br w:val="nil"/>
              <w:tr2bl w:val="nil"/>
            </w:tcBorders>
            <w:vAlign w:val="center"/>
          </w:tcPr>
          <w:p w14:paraId="051166CB">
            <w:pPr>
              <w:pStyle w:val="34"/>
              <w:ind w:firstLine="0" w:firstLineChars="0"/>
              <w:jc w:val="center"/>
              <w:rPr>
                <w:rFonts w:hint="eastAsia" w:eastAsia="宋体"/>
                <w:color w:val="auto"/>
                <w:lang w:val="en-US" w:eastAsia="zh-CN"/>
              </w:rPr>
            </w:pPr>
            <w:r>
              <w:rPr>
                <w:rFonts w:hint="eastAsia" w:ascii="宋体" w:hAnsi="宋体" w:eastAsia="宋体" w:cs="宋体"/>
                <w:color w:val="auto"/>
                <w:lang w:val="en-US" w:eastAsia="zh-CN"/>
              </w:rPr>
              <w:t>15279411941</w:t>
            </w:r>
          </w:p>
        </w:tc>
      </w:tr>
      <w:tr w14:paraId="425692C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28" w:type="pct"/>
            <w:tcBorders>
              <w:tl2br w:val="nil"/>
              <w:tr2bl w:val="nil"/>
            </w:tcBorders>
            <w:tcMar>
              <w:left w:w="28" w:type="dxa"/>
              <w:right w:w="28" w:type="dxa"/>
            </w:tcMar>
            <w:vAlign w:val="center"/>
          </w:tcPr>
          <w:p w14:paraId="6DBA6504">
            <w:pPr>
              <w:pStyle w:val="34"/>
              <w:ind w:firstLine="0" w:firstLineChars="0"/>
              <w:jc w:val="center"/>
              <w:rPr>
                <w:rFonts w:ascii="Times New Roman" w:hAnsi="Times New Roman" w:eastAsia="宋体" w:cstheme="minorBidi"/>
                <w:color w:val="auto"/>
                <w:kern w:val="2"/>
                <w:sz w:val="21"/>
                <w:szCs w:val="21"/>
                <w:lang w:val="en-US" w:eastAsia="zh-CN" w:bidi="ar-SA"/>
              </w:rPr>
            </w:pPr>
            <w:r>
              <w:rPr>
                <w:rFonts w:hint="eastAsia"/>
                <w:color w:val="auto"/>
              </w:rPr>
              <w:t>16</w:t>
            </w:r>
          </w:p>
        </w:tc>
        <w:tc>
          <w:tcPr>
            <w:tcW w:w="528" w:type="pct"/>
            <w:vMerge w:val="continue"/>
            <w:tcBorders>
              <w:tl2br w:val="nil"/>
              <w:tr2bl w:val="nil"/>
            </w:tcBorders>
            <w:tcMar>
              <w:left w:w="28" w:type="dxa"/>
              <w:right w:w="28" w:type="dxa"/>
            </w:tcMar>
            <w:vAlign w:val="center"/>
          </w:tcPr>
          <w:p w14:paraId="736C68E0">
            <w:pPr>
              <w:pStyle w:val="34"/>
              <w:jc w:val="center"/>
              <w:rPr>
                <w:color w:val="auto"/>
              </w:rPr>
            </w:pPr>
          </w:p>
        </w:tc>
        <w:tc>
          <w:tcPr>
            <w:tcW w:w="1156" w:type="pct"/>
            <w:tcBorders>
              <w:tl2br w:val="nil"/>
              <w:tr2bl w:val="nil"/>
            </w:tcBorders>
            <w:tcMar>
              <w:left w:w="28" w:type="dxa"/>
              <w:right w:w="28" w:type="dxa"/>
            </w:tcMar>
            <w:vAlign w:val="center"/>
          </w:tcPr>
          <w:p w14:paraId="5F388E92">
            <w:pPr>
              <w:pStyle w:val="34"/>
              <w:jc w:val="center"/>
              <w:rPr>
                <w:color w:val="auto"/>
              </w:rPr>
            </w:pPr>
            <w:r>
              <w:rPr>
                <w:rFonts w:hint="eastAsia"/>
                <w:color w:val="auto"/>
              </w:rPr>
              <w:t>水管</w:t>
            </w:r>
          </w:p>
        </w:tc>
        <w:tc>
          <w:tcPr>
            <w:tcW w:w="521" w:type="pct"/>
            <w:tcBorders>
              <w:tl2br w:val="nil"/>
              <w:tr2bl w:val="nil"/>
            </w:tcBorders>
            <w:shd w:val="clear" w:color="auto" w:fill="auto"/>
            <w:tcMar>
              <w:left w:w="28" w:type="dxa"/>
              <w:right w:w="28" w:type="dxa"/>
            </w:tcMar>
            <w:vAlign w:val="center"/>
          </w:tcPr>
          <w:p w14:paraId="2A186F1D">
            <w:pPr>
              <w:pStyle w:val="34"/>
              <w:jc w:val="center"/>
              <w:rPr>
                <w:rFonts w:hint="default" w:eastAsia="宋体"/>
                <w:color w:val="auto"/>
                <w:lang w:val="en-US" w:eastAsia="zh-CN"/>
              </w:rPr>
            </w:pPr>
            <w:r>
              <w:rPr>
                <w:rFonts w:hint="eastAsia"/>
                <w:color w:val="auto"/>
                <w:lang w:val="en-US" w:eastAsia="zh-CN"/>
              </w:rPr>
              <w:t>20</w:t>
            </w:r>
          </w:p>
        </w:tc>
        <w:tc>
          <w:tcPr>
            <w:tcW w:w="558" w:type="pct"/>
            <w:tcBorders>
              <w:tl2br w:val="nil"/>
              <w:tr2bl w:val="nil"/>
            </w:tcBorders>
            <w:vAlign w:val="center"/>
          </w:tcPr>
          <w:p w14:paraId="55A5D48B">
            <w:pPr>
              <w:pStyle w:val="34"/>
              <w:jc w:val="center"/>
              <w:rPr>
                <w:rFonts w:hint="eastAsia" w:eastAsia="宋体"/>
                <w:color w:val="auto"/>
                <w:lang w:eastAsia="zh-CN"/>
              </w:rPr>
            </w:pPr>
            <w:r>
              <w:rPr>
                <w:rFonts w:hint="eastAsia"/>
                <w:color w:val="auto"/>
                <w:lang w:eastAsia="zh-CN"/>
              </w:rPr>
              <w:t>米</w:t>
            </w:r>
          </w:p>
        </w:tc>
        <w:tc>
          <w:tcPr>
            <w:tcW w:w="757" w:type="pct"/>
            <w:tcBorders>
              <w:tl2br w:val="nil"/>
              <w:tr2bl w:val="nil"/>
            </w:tcBorders>
            <w:vAlign w:val="center"/>
          </w:tcPr>
          <w:p w14:paraId="454EFDE2">
            <w:pPr>
              <w:pStyle w:val="34"/>
              <w:bidi w:val="0"/>
              <w:rPr>
                <w:rFonts w:hint="eastAsia" w:eastAsia="宋体"/>
                <w:color w:val="auto"/>
                <w:szCs w:val="21"/>
                <w:lang w:val="en-US" w:eastAsia="zh-CN"/>
              </w:rPr>
            </w:pPr>
            <w:r>
              <w:rPr>
                <w:rFonts w:hint="eastAsia"/>
                <w:color w:val="auto"/>
                <w:lang w:val="en-US" w:eastAsia="zh-CN"/>
              </w:rPr>
              <w:t>仓库</w:t>
            </w:r>
          </w:p>
        </w:tc>
        <w:tc>
          <w:tcPr>
            <w:tcW w:w="424" w:type="pct"/>
            <w:vMerge w:val="continue"/>
            <w:tcBorders>
              <w:tl2br w:val="nil"/>
              <w:tr2bl w:val="nil"/>
            </w:tcBorders>
            <w:vAlign w:val="center"/>
          </w:tcPr>
          <w:p w14:paraId="3FE32044">
            <w:pPr>
              <w:pStyle w:val="34"/>
              <w:jc w:val="center"/>
              <w:rPr>
                <w:color w:val="auto"/>
              </w:rPr>
            </w:pPr>
          </w:p>
        </w:tc>
        <w:tc>
          <w:tcPr>
            <w:tcW w:w="724" w:type="pct"/>
            <w:vMerge w:val="continue"/>
            <w:tcBorders>
              <w:tl2br w:val="nil"/>
              <w:tr2bl w:val="nil"/>
            </w:tcBorders>
            <w:vAlign w:val="center"/>
          </w:tcPr>
          <w:p w14:paraId="1F5D1C1C">
            <w:pPr>
              <w:pStyle w:val="34"/>
              <w:jc w:val="center"/>
              <w:rPr>
                <w:color w:val="auto"/>
              </w:rPr>
            </w:pPr>
          </w:p>
        </w:tc>
      </w:tr>
      <w:tr w14:paraId="79E6810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28" w:type="pct"/>
            <w:tcBorders>
              <w:tl2br w:val="nil"/>
              <w:tr2bl w:val="nil"/>
            </w:tcBorders>
            <w:tcMar>
              <w:left w:w="28" w:type="dxa"/>
              <w:right w:w="28" w:type="dxa"/>
            </w:tcMar>
            <w:vAlign w:val="center"/>
          </w:tcPr>
          <w:p w14:paraId="77A47601">
            <w:pPr>
              <w:pStyle w:val="34"/>
              <w:ind w:firstLine="0" w:firstLineChars="0"/>
              <w:jc w:val="center"/>
              <w:rPr>
                <w:rFonts w:ascii="Times New Roman" w:hAnsi="Times New Roman" w:eastAsia="宋体" w:cstheme="minorBidi"/>
                <w:color w:val="auto"/>
                <w:kern w:val="2"/>
                <w:sz w:val="21"/>
                <w:szCs w:val="21"/>
                <w:lang w:val="en-US" w:eastAsia="zh-CN" w:bidi="ar-SA"/>
              </w:rPr>
            </w:pPr>
            <w:r>
              <w:rPr>
                <w:rFonts w:hint="eastAsia"/>
                <w:color w:val="auto"/>
              </w:rPr>
              <w:t>17</w:t>
            </w:r>
          </w:p>
        </w:tc>
        <w:tc>
          <w:tcPr>
            <w:tcW w:w="528" w:type="pct"/>
            <w:vMerge w:val="continue"/>
            <w:tcBorders>
              <w:tl2br w:val="nil"/>
              <w:tr2bl w:val="nil"/>
            </w:tcBorders>
            <w:tcMar>
              <w:left w:w="28" w:type="dxa"/>
              <w:right w:w="28" w:type="dxa"/>
            </w:tcMar>
            <w:vAlign w:val="center"/>
          </w:tcPr>
          <w:p w14:paraId="0DFCE3A0">
            <w:pPr>
              <w:pStyle w:val="34"/>
              <w:jc w:val="center"/>
              <w:rPr>
                <w:color w:val="auto"/>
              </w:rPr>
            </w:pPr>
          </w:p>
        </w:tc>
        <w:tc>
          <w:tcPr>
            <w:tcW w:w="1156" w:type="pct"/>
            <w:tcBorders>
              <w:tl2br w:val="nil"/>
              <w:tr2bl w:val="nil"/>
            </w:tcBorders>
            <w:tcMar>
              <w:left w:w="28" w:type="dxa"/>
              <w:right w:w="28" w:type="dxa"/>
            </w:tcMar>
            <w:vAlign w:val="center"/>
          </w:tcPr>
          <w:p w14:paraId="3759750D">
            <w:pPr>
              <w:pStyle w:val="34"/>
              <w:jc w:val="center"/>
              <w:rPr>
                <w:color w:val="auto"/>
              </w:rPr>
            </w:pPr>
            <w:r>
              <w:rPr>
                <w:rFonts w:hint="eastAsia"/>
                <w:color w:val="auto"/>
              </w:rPr>
              <w:t>潜水泵</w:t>
            </w:r>
          </w:p>
        </w:tc>
        <w:tc>
          <w:tcPr>
            <w:tcW w:w="521" w:type="pct"/>
            <w:tcBorders>
              <w:tl2br w:val="nil"/>
              <w:tr2bl w:val="nil"/>
            </w:tcBorders>
            <w:shd w:val="clear" w:color="auto" w:fill="auto"/>
            <w:tcMar>
              <w:left w:w="28" w:type="dxa"/>
              <w:right w:w="28" w:type="dxa"/>
            </w:tcMar>
            <w:vAlign w:val="center"/>
          </w:tcPr>
          <w:p w14:paraId="652E9E6E">
            <w:pPr>
              <w:pStyle w:val="34"/>
              <w:jc w:val="center"/>
              <w:rPr>
                <w:rFonts w:hint="eastAsia" w:eastAsia="宋体"/>
                <w:color w:val="auto"/>
                <w:lang w:val="en-US" w:eastAsia="zh-CN"/>
              </w:rPr>
            </w:pPr>
            <w:r>
              <w:rPr>
                <w:rFonts w:hint="eastAsia"/>
                <w:color w:val="auto"/>
                <w:lang w:val="en-US" w:eastAsia="zh-CN"/>
              </w:rPr>
              <w:t>1</w:t>
            </w:r>
          </w:p>
        </w:tc>
        <w:tc>
          <w:tcPr>
            <w:tcW w:w="558" w:type="pct"/>
            <w:tcBorders>
              <w:tl2br w:val="nil"/>
              <w:tr2bl w:val="nil"/>
            </w:tcBorders>
            <w:vAlign w:val="center"/>
          </w:tcPr>
          <w:p w14:paraId="2A0E5895">
            <w:pPr>
              <w:pStyle w:val="34"/>
              <w:jc w:val="center"/>
              <w:rPr>
                <w:rFonts w:hint="eastAsia" w:eastAsia="宋体"/>
                <w:color w:val="auto"/>
                <w:lang w:eastAsia="zh-CN"/>
              </w:rPr>
            </w:pPr>
            <w:r>
              <w:rPr>
                <w:rFonts w:hint="eastAsia"/>
                <w:color w:val="auto"/>
                <w:lang w:eastAsia="zh-CN"/>
              </w:rPr>
              <w:t>台</w:t>
            </w:r>
          </w:p>
        </w:tc>
        <w:tc>
          <w:tcPr>
            <w:tcW w:w="757" w:type="pct"/>
            <w:tcBorders>
              <w:tl2br w:val="nil"/>
              <w:tr2bl w:val="nil"/>
            </w:tcBorders>
            <w:vAlign w:val="center"/>
          </w:tcPr>
          <w:p w14:paraId="583A22A7">
            <w:pPr>
              <w:ind w:firstLine="420" w:firstLineChars="200"/>
              <w:jc w:val="left"/>
              <w:rPr>
                <w:rFonts w:hint="eastAsia" w:eastAsia="宋体"/>
                <w:color w:val="auto"/>
                <w:sz w:val="21"/>
                <w:szCs w:val="21"/>
                <w:lang w:val="en-US" w:eastAsia="zh-CN"/>
              </w:rPr>
            </w:pPr>
            <w:r>
              <w:rPr>
                <w:rFonts w:hint="eastAsia"/>
                <w:color w:val="auto"/>
                <w:sz w:val="21"/>
                <w:szCs w:val="21"/>
                <w:lang w:val="en-US" w:eastAsia="zh-CN"/>
              </w:rPr>
              <w:t>仓库</w:t>
            </w:r>
          </w:p>
        </w:tc>
        <w:tc>
          <w:tcPr>
            <w:tcW w:w="424" w:type="pct"/>
            <w:vMerge w:val="continue"/>
            <w:tcBorders>
              <w:tl2br w:val="nil"/>
              <w:tr2bl w:val="nil"/>
            </w:tcBorders>
            <w:vAlign w:val="center"/>
          </w:tcPr>
          <w:p w14:paraId="07B23FFB">
            <w:pPr>
              <w:pStyle w:val="34"/>
              <w:jc w:val="center"/>
              <w:rPr>
                <w:color w:val="auto"/>
              </w:rPr>
            </w:pPr>
          </w:p>
        </w:tc>
        <w:tc>
          <w:tcPr>
            <w:tcW w:w="724" w:type="pct"/>
            <w:vMerge w:val="continue"/>
            <w:tcBorders>
              <w:tl2br w:val="nil"/>
              <w:tr2bl w:val="nil"/>
            </w:tcBorders>
            <w:vAlign w:val="center"/>
          </w:tcPr>
          <w:p w14:paraId="6C473DFA">
            <w:pPr>
              <w:pStyle w:val="34"/>
              <w:jc w:val="center"/>
              <w:rPr>
                <w:color w:val="auto"/>
              </w:rPr>
            </w:pPr>
          </w:p>
        </w:tc>
      </w:tr>
      <w:tr w14:paraId="17C8E3F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28" w:type="pct"/>
            <w:tcBorders>
              <w:tl2br w:val="nil"/>
              <w:tr2bl w:val="nil"/>
            </w:tcBorders>
            <w:tcMar>
              <w:left w:w="28" w:type="dxa"/>
              <w:right w:w="28" w:type="dxa"/>
            </w:tcMar>
            <w:vAlign w:val="center"/>
          </w:tcPr>
          <w:p w14:paraId="6C658251">
            <w:pPr>
              <w:pStyle w:val="34"/>
              <w:ind w:firstLine="0" w:firstLineChars="0"/>
              <w:jc w:val="center"/>
              <w:rPr>
                <w:rFonts w:ascii="Times New Roman" w:hAnsi="Times New Roman" w:eastAsia="宋体" w:cstheme="minorBidi"/>
                <w:color w:val="auto"/>
                <w:kern w:val="2"/>
                <w:sz w:val="21"/>
                <w:szCs w:val="21"/>
                <w:lang w:val="en-US" w:eastAsia="zh-CN" w:bidi="ar-SA"/>
              </w:rPr>
            </w:pPr>
            <w:r>
              <w:rPr>
                <w:rFonts w:hint="eastAsia"/>
                <w:color w:val="auto"/>
              </w:rPr>
              <w:t>18</w:t>
            </w:r>
          </w:p>
        </w:tc>
        <w:tc>
          <w:tcPr>
            <w:tcW w:w="528" w:type="pct"/>
            <w:vMerge w:val="continue"/>
            <w:tcBorders>
              <w:tl2br w:val="nil"/>
              <w:tr2bl w:val="nil"/>
            </w:tcBorders>
            <w:tcMar>
              <w:left w:w="28" w:type="dxa"/>
              <w:right w:w="28" w:type="dxa"/>
            </w:tcMar>
            <w:vAlign w:val="center"/>
          </w:tcPr>
          <w:p w14:paraId="2A62EF9B">
            <w:pPr>
              <w:pStyle w:val="34"/>
              <w:jc w:val="center"/>
              <w:rPr>
                <w:color w:val="auto"/>
              </w:rPr>
            </w:pPr>
          </w:p>
        </w:tc>
        <w:tc>
          <w:tcPr>
            <w:tcW w:w="1156" w:type="pct"/>
            <w:tcBorders>
              <w:tl2br w:val="nil"/>
              <w:tr2bl w:val="nil"/>
            </w:tcBorders>
            <w:tcMar>
              <w:left w:w="28" w:type="dxa"/>
              <w:right w:w="28" w:type="dxa"/>
            </w:tcMar>
            <w:vAlign w:val="center"/>
          </w:tcPr>
          <w:p w14:paraId="36EFF29A">
            <w:pPr>
              <w:pStyle w:val="34"/>
              <w:jc w:val="center"/>
              <w:rPr>
                <w:color w:val="auto"/>
              </w:rPr>
            </w:pPr>
            <w:r>
              <w:rPr>
                <w:rFonts w:hint="eastAsia"/>
                <w:color w:val="auto"/>
              </w:rPr>
              <w:t>绳索</w:t>
            </w:r>
          </w:p>
        </w:tc>
        <w:tc>
          <w:tcPr>
            <w:tcW w:w="521" w:type="pct"/>
            <w:tcBorders>
              <w:tl2br w:val="nil"/>
              <w:tr2bl w:val="nil"/>
            </w:tcBorders>
            <w:shd w:val="clear" w:color="auto" w:fill="auto"/>
            <w:tcMar>
              <w:left w:w="28" w:type="dxa"/>
              <w:right w:w="28" w:type="dxa"/>
            </w:tcMar>
            <w:vAlign w:val="center"/>
          </w:tcPr>
          <w:p w14:paraId="19B3493E">
            <w:pPr>
              <w:pStyle w:val="34"/>
              <w:jc w:val="center"/>
              <w:rPr>
                <w:rFonts w:hint="eastAsia" w:eastAsia="宋体"/>
                <w:color w:val="auto"/>
                <w:lang w:val="en-US" w:eastAsia="zh-CN"/>
              </w:rPr>
            </w:pPr>
            <w:r>
              <w:rPr>
                <w:rFonts w:hint="eastAsia"/>
                <w:color w:val="auto"/>
                <w:lang w:val="en-US" w:eastAsia="zh-CN"/>
              </w:rPr>
              <w:t>2</w:t>
            </w:r>
          </w:p>
        </w:tc>
        <w:tc>
          <w:tcPr>
            <w:tcW w:w="558" w:type="pct"/>
            <w:tcBorders>
              <w:tl2br w:val="nil"/>
              <w:tr2bl w:val="nil"/>
            </w:tcBorders>
            <w:vAlign w:val="center"/>
          </w:tcPr>
          <w:p w14:paraId="6F413A32">
            <w:pPr>
              <w:pStyle w:val="34"/>
              <w:jc w:val="center"/>
              <w:rPr>
                <w:rFonts w:hint="eastAsia" w:eastAsia="宋体"/>
                <w:color w:val="auto"/>
                <w:lang w:eastAsia="zh-CN"/>
              </w:rPr>
            </w:pPr>
            <w:r>
              <w:rPr>
                <w:rFonts w:hint="eastAsia"/>
                <w:color w:val="auto"/>
                <w:lang w:eastAsia="zh-CN"/>
              </w:rPr>
              <w:t>条</w:t>
            </w:r>
          </w:p>
        </w:tc>
        <w:tc>
          <w:tcPr>
            <w:tcW w:w="757" w:type="pct"/>
            <w:tcBorders>
              <w:tl2br w:val="nil"/>
              <w:tr2bl w:val="nil"/>
            </w:tcBorders>
            <w:vAlign w:val="center"/>
          </w:tcPr>
          <w:p w14:paraId="4AE02BC1">
            <w:pPr>
              <w:pStyle w:val="34"/>
              <w:bidi w:val="0"/>
              <w:rPr>
                <w:rFonts w:hint="default" w:eastAsia="宋体"/>
                <w:color w:val="auto"/>
                <w:lang w:val="en-US" w:eastAsia="zh-CN"/>
              </w:rPr>
            </w:pPr>
            <w:r>
              <w:rPr>
                <w:rFonts w:hint="eastAsia"/>
                <w:color w:val="auto"/>
                <w:lang w:val="en-US" w:eastAsia="zh-CN"/>
              </w:rPr>
              <w:t>水池及仓库</w:t>
            </w:r>
          </w:p>
        </w:tc>
        <w:tc>
          <w:tcPr>
            <w:tcW w:w="424" w:type="pct"/>
            <w:vMerge w:val="continue"/>
            <w:tcBorders>
              <w:tl2br w:val="nil"/>
              <w:tr2bl w:val="nil"/>
            </w:tcBorders>
            <w:vAlign w:val="center"/>
          </w:tcPr>
          <w:p w14:paraId="736A35CB">
            <w:pPr>
              <w:pStyle w:val="34"/>
              <w:jc w:val="center"/>
              <w:rPr>
                <w:color w:val="auto"/>
              </w:rPr>
            </w:pPr>
          </w:p>
        </w:tc>
        <w:tc>
          <w:tcPr>
            <w:tcW w:w="724" w:type="pct"/>
            <w:vMerge w:val="continue"/>
            <w:tcBorders>
              <w:tl2br w:val="nil"/>
              <w:tr2bl w:val="nil"/>
            </w:tcBorders>
            <w:vAlign w:val="center"/>
          </w:tcPr>
          <w:p w14:paraId="1DFABEC1">
            <w:pPr>
              <w:pStyle w:val="34"/>
              <w:jc w:val="center"/>
              <w:rPr>
                <w:color w:val="auto"/>
              </w:rPr>
            </w:pPr>
          </w:p>
        </w:tc>
      </w:tr>
      <w:tr w14:paraId="4EB38FC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28" w:type="pct"/>
            <w:tcBorders>
              <w:tl2br w:val="nil"/>
              <w:tr2bl w:val="nil"/>
            </w:tcBorders>
            <w:tcMar>
              <w:left w:w="28" w:type="dxa"/>
              <w:right w:w="28" w:type="dxa"/>
            </w:tcMar>
            <w:vAlign w:val="center"/>
          </w:tcPr>
          <w:p w14:paraId="5A5861D6">
            <w:pPr>
              <w:pStyle w:val="34"/>
              <w:ind w:firstLine="0" w:firstLineChars="0"/>
              <w:jc w:val="center"/>
              <w:rPr>
                <w:rFonts w:ascii="Times New Roman" w:hAnsi="Times New Roman" w:eastAsia="宋体" w:cstheme="minorBidi"/>
                <w:color w:val="auto"/>
                <w:kern w:val="2"/>
                <w:sz w:val="21"/>
                <w:szCs w:val="21"/>
                <w:lang w:val="en-US" w:eastAsia="zh-CN" w:bidi="ar-SA"/>
              </w:rPr>
            </w:pPr>
            <w:r>
              <w:rPr>
                <w:rFonts w:hint="eastAsia"/>
                <w:color w:val="auto"/>
              </w:rPr>
              <w:t>19</w:t>
            </w:r>
          </w:p>
        </w:tc>
        <w:tc>
          <w:tcPr>
            <w:tcW w:w="528" w:type="pct"/>
            <w:vMerge w:val="continue"/>
            <w:tcBorders>
              <w:tl2br w:val="nil"/>
              <w:tr2bl w:val="nil"/>
            </w:tcBorders>
            <w:tcMar>
              <w:left w:w="28" w:type="dxa"/>
              <w:right w:w="28" w:type="dxa"/>
            </w:tcMar>
            <w:vAlign w:val="center"/>
          </w:tcPr>
          <w:p w14:paraId="1606B100">
            <w:pPr>
              <w:pStyle w:val="34"/>
              <w:jc w:val="center"/>
              <w:rPr>
                <w:color w:val="auto"/>
              </w:rPr>
            </w:pPr>
          </w:p>
        </w:tc>
        <w:tc>
          <w:tcPr>
            <w:tcW w:w="1156" w:type="pct"/>
            <w:tcBorders>
              <w:tl2br w:val="nil"/>
              <w:tr2bl w:val="nil"/>
            </w:tcBorders>
            <w:tcMar>
              <w:left w:w="28" w:type="dxa"/>
              <w:right w:w="28" w:type="dxa"/>
            </w:tcMar>
            <w:vAlign w:val="center"/>
          </w:tcPr>
          <w:p w14:paraId="6630A8F4">
            <w:pPr>
              <w:pStyle w:val="34"/>
              <w:jc w:val="center"/>
              <w:rPr>
                <w:color w:val="auto"/>
              </w:rPr>
            </w:pPr>
            <w:r>
              <w:rPr>
                <w:rFonts w:hint="eastAsia"/>
                <w:color w:val="auto"/>
              </w:rPr>
              <w:t>水泥</w:t>
            </w:r>
          </w:p>
        </w:tc>
        <w:tc>
          <w:tcPr>
            <w:tcW w:w="521" w:type="pct"/>
            <w:tcBorders>
              <w:tl2br w:val="nil"/>
              <w:tr2bl w:val="nil"/>
            </w:tcBorders>
            <w:shd w:val="clear" w:color="auto" w:fill="auto"/>
            <w:tcMar>
              <w:left w:w="28" w:type="dxa"/>
              <w:right w:w="28" w:type="dxa"/>
            </w:tcMar>
            <w:vAlign w:val="center"/>
          </w:tcPr>
          <w:p w14:paraId="12A9D484">
            <w:pPr>
              <w:pStyle w:val="34"/>
              <w:jc w:val="center"/>
              <w:rPr>
                <w:rFonts w:hint="eastAsia" w:eastAsia="宋体"/>
                <w:color w:val="auto"/>
                <w:lang w:val="en-US" w:eastAsia="zh-CN"/>
              </w:rPr>
            </w:pPr>
            <w:r>
              <w:rPr>
                <w:rFonts w:hint="eastAsia"/>
                <w:color w:val="auto"/>
                <w:lang w:val="en-US" w:eastAsia="zh-CN"/>
              </w:rPr>
              <w:t>2</w:t>
            </w:r>
          </w:p>
        </w:tc>
        <w:tc>
          <w:tcPr>
            <w:tcW w:w="558" w:type="pct"/>
            <w:tcBorders>
              <w:tl2br w:val="nil"/>
              <w:tr2bl w:val="nil"/>
            </w:tcBorders>
            <w:vAlign w:val="center"/>
          </w:tcPr>
          <w:p w14:paraId="1A689D52">
            <w:pPr>
              <w:pStyle w:val="34"/>
              <w:jc w:val="center"/>
              <w:rPr>
                <w:rFonts w:hint="eastAsia" w:eastAsia="宋体"/>
                <w:color w:val="auto"/>
                <w:lang w:eastAsia="zh-CN"/>
              </w:rPr>
            </w:pPr>
            <w:r>
              <w:rPr>
                <w:rFonts w:hint="eastAsia"/>
                <w:color w:val="auto"/>
                <w:lang w:eastAsia="zh-CN"/>
              </w:rPr>
              <w:t>袋</w:t>
            </w:r>
          </w:p>
        </w:tc>
        <w:tc>
          <w:tcPr>
            <w:tcW w:w="757" w:type="pct"/>
            <w:tcBorders>
              <w:tl2br w:val="nil"/>
              <w:tr2bl w:val="nil"/>
            </w:tcBorders>
            <w:vAlign w:val="center"/>
          </w:tcPr>
          <w:p w14:paraId="1FC89217">
            <w:pPr>
              <w:jc w:val="left"/>
              <w:rPr>
                <w:rFonts w:hint="eastAsia" w:eastAsia="宋体"/>
                <w:color w:val="auto"/>
                <w:sz w:val="21"/>
                <w:szCs w:val="21"/>
                <w:lang w:val="en-US" w:eastAsia="zh-CN"/>
              </w:rPr>
            </w:pPr>
            <w:r>
              <w:rPr>
                <w:rFonts w:hint="eastAsia"/>
                <w:color w:val="auto"/>
                <w:sz w:val="21"/>
                <w:szCs w:val="21"/>
                <w:lang w:val="en-US" w:eastAsia="zh-CN"/>
              </w:rPr>
              <w:t>仓库</w:t>
            </w:r>
          </w:p>
        </w:tc>
        <w:tc>
          <w:tcPr>
            <w:tcW w:w="424" w:type="pct"/>
            <w:vMerge w:val="continue"/>
            <w:tcBorders>
              <w:tl2br w:val="nil"/>
              <w:tr2bl w:val="nil"/>
            </w:tcBorders>
            <w:vAlign w:val="center"/>
          </w:tcPr>
          <w:p w14:paraId="263EF33A">
            <w:pPr>
              <w:pStyle w:val="34"/>
              <w:jc w:val="center"/>
              <w:rPr>
                <w:color w:val="auto"/>
              </w:rPr>
            </w:pPr>
          </w:p>
        </w:tc>
        <w:tc>
          <w:tcPr>
            <w:tcW w:w="724" w:type="pct"/>
            <w:vMerge w:val="continue"/>
            <w:tcBorders>
              <w:tl2br w:val="nil"/>
              <w:tr2bl w:val="nil"/>
            </w:tcBorders>
            <w:vAlign w:val="center"/>
          </w:tcPr>
          <w:p w14:paraId="1C513929">
            <w:pPr>
              <w:pStyle w:val="34"/>
              <w:jc w:val="center"/>
              <w:rPr>
                <w:color w:val="auto"/>
              </w:rPr>
            </w:pPr>
          </w:p>
        </w:tc>
      </w:tr>
      <w:tr w14:paraId="4E5684A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28" w:type="pct"/>
            <w:tcBorders>
              <w:tl2br w:val="nil"/>
              <w:tr2bl w:val="nil"/>
            </w:tcBorders>
            <w:tcMar>
              <w:left w:w="28" w:type="dxa"/>
              <w:right w:w="28" w:type="dxa"/>
            </w:tcMar>
            <w:vAlign w:val="center"/>
          </w:tcPr>
          <w:p w14:paraId="0AD10F7C">
            <w:pPr>
              <w:pStyle w:val="34"/>
              <w:ind w:firstLine="0" w:firstLineChars="0"/>
              <w:jc w:val="center"/>
              <w:rPr>
                <w:rFonts w:ascii="Times New Roman" w:hAnsi="Times New Roman" w:eastAsia="宋体" w:cstheme="minorBidi"/>
                <w:color w:val="auto"/>
                <w:kern w:val="2"/>
                <w:sz w:val="21"/>
                <w:szCs w:val="21"/>
                <w:lang w:val="en-US" w:eastAsia="zh-CN" w:bidi="ar-SA"/>
              </w:rPr>
            </w:pPr>
            <w:r>
              <w:rPr>
                <w:rFonts w:hint="eastAsia"/>
                <w:color w:val="auto"/>
              </w:rPr>
              <w:t>20</w:t>
            </w:r>
          </w:p>
        </w:tc>
        <w:tc>
          <w:tcPr>
            <w:tcW w:w="528" w:type="pct"/>
            <w:vMerge w:val="continue"/>
            <w:tcBorders>
              <w:tl2br w:val="nil"/>
              <w:tr2bl w:val="nil"/>
            </w:tcBorders>
            <w:tcMar>
              <w:left w:w="28" w:type="dxa"/>
              <w:right w:w="28" w:type="dxa"/>
            </w:tcMar>
            <w:vAlign w:val="center"/>
          </w:tcPr>
          <w:p w14:paraId="324E0EBB">
            <w:pPr>
              <w:pStyle w:val="34"/>
              <w:jc w:val="center"/>
              <w:rPr>
                <w:color w:val="auto"/>
              </w:rPr>
            </w:pPr>
          </w:p>
        </w:tc>
        <w:tc>
          <w:tcPr>
            <w:tcW w:w="1156" w:type="pct"/>
            <w:tcBorders>
              <w:tl2br w:val="nil"/>
              <w:tr2bl w:val="nil"/>
            </w:tcBorders>
            <w:tcMar>
              <w:left w:w="28" w:type="dxa"/>
              <w:right w:w="28" w:type="dxa"/>
            </w:tcMar>
            <w:vAlign w:val="center"/>
          </w:tcPr>
          <w:p w14:paraId="22A3802F">
            <w:pPr>
              <w:pStyle w:val="34"/>
              <w:jc w:val="center"/>
              <w:rPr>
                <w:color w:val="auto"/>
              </w:rPr>
            </w:pPr>
            <w:r>
              <w:rPr>
                <w:rFonts w:hint="eastAsia"/>
                <w:color w:val="auto"/>
              </w:rPr>
              <w:t>备用水泵</w:t>
            </w:r>
          </w:p>
        </w:tc>
        <w:tc>
          <w:tcPr>
            <w:tcW w:w="521" w:type="pct"/>
            <w:tcBorders>
              <w:tl2br w:val="nil"/>
              <w:tr2bl w:val="nil"/>
            </w:tcBorders>
            <w:shd w:val="clear" w:color="auto" w:fill="auto"/>
            <w:tcMar>
              <w:left w:w="28" w:type="dxa"/>
              <w:right w:w="28" w:type="dxa"/>
            </w:tcMar>
            <w:vAlign w:val="center"/>
          </w:tcPr>
          <w:p w14:paraId="07ACBA0C">
            <w:pPr>
              <w:pStyle w:val="34"/>
              <w:jc w:val="center"/>
              <w:rPr>
                <w:rFonts w:hint="eastAsia" w:eastAsia="宋体"/>
                <w:color w:val="auto"/>
                <w:lang w:val="en-US" w:eastAsia="zh-CN"/>
              </w:rPr>
            </w:pPr>
            <w:r>
              <w:rPr>
                <w:rFonts w:hint="eastAsia"/>
                <w:color w:val="auto"/>
                <w:lang w:val="en-US" w:eastAsia="zh-CN"/>
              </w:rPr>
              <w:t>1</w:t>
            </w:r>
          </w:p>
        </w:tc>
        <w:tc>
          <w:tcPr>
            <w:tcW w:w="558" w:type="pct"/>
            <w:tcBorders>
              <w:tl2br w:val="nil"/>
              <w:tr2bl w:val="nil"/>
            </w:tcBorders>
            <w:vAlign w:val="center"/>
          </w:tcPr>
          <w:p w14:paraId="6E46A5F2">
            <w:pPr>
              <w:pStyle w:val="34"/>
              <w:jc w:val="center"/>
              <w:rPr>
                <w:rFonts w:hint="eastAsia" w:eastAsia="宋体"/>
                <w:color w:val="auto"/>
                <w:lang w:eastAsia="zh-CN"/>
              </w:rPr>
            </w:pPr>
            <w:r>
              <w:rPr>
                <w:rFonts w:hint="eastAsia"/>
                <w:color w:val="auto"/>
                <w:lang w:eastAsia="zh-CN"/>
              </w:rPr>
              <w:t>台</w:t>
            </w:r>
          </w:p>
        </w:tc>
        <w:tc>
          <w:tcPr>
            <w:tcW w:w="757" w:type="pct"/>
            <w:tcBorders>
              <w:tl2br w:val="nil"/>
              <w:tr2bl w:val="nil"/>
            </w:tcBorders>
            <w:vAlign w:val="center"/>
          </w:tcPr>
          <w:p w14:paraId="31F5125A">
            <w:pPr>
              <w:pStyle w:val="34"/>
              <w:ind w:firstLine="0" w:firstLineChars="0"/>
              <w:jc w:val="center"/>
              <w:rPr>
                <w:rFonts w:hint="eastAsia" w:eastAsia="宋体"/>
                <w:color w:val="auto"/>
                <w:sz w:val="21"/>
                <w:szCs w:val="21"/>
                <w:lang w:val="en-US" w:eastAsia="zh-CN"/>
              </w:rPr>
            </w:pPr>
            <w:r>
              <w:rPr>
                <w:rFonts w:hint="eastAsia"/>
                <w:color w:val="auto"/>
                <w:sz w:val="21"/>
                <w:szCs w:val="21"/>
                <w:lang w:val="en-US" w:eastAsia="zh-CN"/>
              </w:rPr>
              <w:t>仓库</w:t>
            </w:r>
          </w:p>
        </w:tc>
        <w:tc>
          <w:tcPr>
            <w:tcW w:w="424" w:type="pct"/>
            <w:vMerge w:val="continue"/>
            <w:tcBorders>
              <w:tl2br w:val="nil"/>
              <w:tr2bl w:val="nil"/>
            </w:tcBorders>
            <w:vAlign w:val="center"/>
          </w:tcPr>
          <w:p w14:paraId="57DE428A">
            <w:pPr>
              <w:pStyle w:val="34"/>
              <w:jc w:val="center"/>
              <w:rPr>
                <w:color w:val="auto"/>
              </w:rPr>
            </w:pPr>
          </w:p>
        </w:tc>
        <w:tc>
          <w:tcPr>
            <w:tcW w:w="724" w:type="pct"/>
            <w:vMerge w:val="continue"/>
            <w:tcBorders>
              <w:tl2br w:val="nil"/>
              <w:tr2bl w:val="nil"/>
            </w:tcBorders>
            <w:vAlign w:val="center"/>
          </w:tcPr>
          <w:p w14:paraId="24126F82">
            <w:pPr>
              <w:pStyle w:val="34"/>
              <w:jc w:val="center"/>
              <w:rPr>
                <w:color w:val="auto"/>
              </w:rPr>
            </w:pPr>
          </w:p>
        </w:tc>
      </w:tr>
      <w:tr w14:paraId="04C051F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28" w:type="pct"/>
            <w:tcBorders>
              <w:tl2br w:val="nil"/>
              <w:tr2bl w:val="nil"/>
            </w:tcBorders>
            <w:tcMar>
              <w:left w:w="28" w:type="dxa"/>
              <w:right w:w="28" w:type="dxa"/>
            </w:tcMar>
            <w:vAlign w:val="center"/>
          </w:tcPr>
          <w:p w14:paraId="0C978B31">
            <w:pPr>
              <w:pStyle w:val="34"/>
              <w:ind w:firstLine="0" w:firstLineChars="0"/>
              <w:jc w:val="center"/>
              <w:rPr>
                <w:rFonts w:ascii="Times New Roman" w:hAnsi="Times New Roman" w:eastAsia="宋体" w:cstheme="minorBidi"/>
                <w:color w:val="auto"/>
                <w:kern w:val="2"/>
                <w:sz w:val="21"/>
                <w:szCs w:val="21"/>
                <w:lang w:val="en-US" w:eastAsia="zh-CN" w:bidi="ar-SA"/>
              </w:rPr>
            </w:pPr>
            <w:r>
              <w:rPr>
                <w:rFonts w:hint="eastAsia"/>
                <w:color w:val="auto"/>
              </w:rPr>
              <w:t>21</w:t>
            </w:r>
          </w:p>
        </w:tc>
        <w:tc>
          <w:tcPr>
            <w:tcW w:w="528" w:type="pct"/>
            <w:vMerge w:val="continue"/>
            <w:tcBorders>
              <w:tl2br w:val="nil"/>
              <w:tr2bl w:val="nil"/>
            </w:tcBorders>
            <w:tcMar>
              <w:left w:w="28" w:type="dxa"/>
              <w:right w:w="28" w:type="dxa"/>
            </w:tcMar>
            <w:vAlign w:val="center"/>
          </w:tcPr>
          <w:p w14:paraId="58681601">
            <w:pPr>
              <w:pStyle w:val="34"/>
              <w:jc w:val="center"/>
              <w:rPr>
                <w:color w:val="auto"/>
              </w:rPr>
            </w:pPr>
          </w:p>
        </w:tc>
        <w:tc>
          <w:tcPr>
            <w:tcW w:w="1156" w:type="pct"/>
            <w:tcBorders>
              <w:tl2br w:val="nil"/>
              <w:tr2bl w:val="nil"/>
            </w:tcBorders>
            <w:tcMar>
              <w:left w:w="28" w:type="dxa"/>
              <w:right w:w="28" w:type="dxa"/>
            </w:tcMar>
            <w:vAlign w:val="center"/>
          </w:tcPr>
          <w:p w14:paraId="14EC94D4">
            <w:pPr>
              <w:pStyle w:val="34"/>
              <w:jc w:val="center"/>
              <w:rPr>
                <w:color w:val="auto"/>
              </w:rPr>
            </w:pPr>
            <w:r>
              <w:rPr>
                <w:rFonts w:hint="eastAsia"/>
                <w:color w:val="auto"/>
              </w:rPr>
              <w:t>絮凝剂</w:t>
            </w:r>
          </w:p>
        </w:tc>
        <w:tc>
          <w:tcPr>
            <w:tcW w:w="521" w:type="pct"/>
            <w:tcBorders>
              <w:tl2br w:val="nil"/>
              <w:tr2bl w:val="nil"/>
            </w:tcBorders>
            <w:shd w:val="clear" w:color="auto" w:fill="auto"/>
            <w:tcMar>
              <w:left w:w="28" w:type="dxa"/>
              <w:right w:w="28" w:type="dxa"/>
            </w:tcMar>
            <w:vAlign w:val="center"/>
          </w:tcPr>
          <w:p w14:paraId="1066DBF6">
            <w:pPr>
              <w:pStyle w:val="34"/>
              <w:jc w:val="center"/>
              <w:rPr>
                <w:rFonts w:hint="default" w:eastAsia="宋体"/>
                <w:color w:val="auto"/>
                <w:lang w:val="en-US" w:eastAsia="zh-CN"/>
              </w:rPr>
            </w:pPr>
            <w:r>
              <w:rPr>
                <w:rFonts w:hint="eastAsia"/>
                <w:color w:val="auto"/>
                <w:lang w:val="en-US" w:eastAsia="zh-CN"/>
              </w:rPr>
              <w:t>1</w:t>
            </w:r>
          </w:p>
        </w:tc>
        <w:tc>
          <w:tcPr>
            <w:tcW w:w="558" w:type="pct"/>
            <w:tcBorders>
              <w:tl2br w:val="nil"/>
              <w:tr2bl w:val="nil"/>
            </w:tcBorders>
            <w:vAlign w:val="center"/>
          </w:tcPr>
          <w:p w14:paraId="3511ABAF">
            <w:pPr>
              <w:pStyle w:val="34"/>
              <w:jc w:val="center"/>
              <w:rPr>
                <w:rFonts w:hint="eastAsia" w:eastAsia="宋体"/>
                <w:color w:val="auto"/>
                <w:lang w:val="en-US" w:eastAsia="zh-CN"/>
              </w:rPr>
            </w:pPr>
            <w:r>
              <w:rPr>
                <w:rFonts w:hint="eastAsia"/>
                <w:color w:val="auto"/>
                <w:lang w:eastAsia="zh-CN"/>
              </w:rPr>
              <w:t>吨</w:t>
            </w:r>
          </w:p>
        </w:tc>
        <w:tc>
          <w:tcPr>
            <w:tcW w:w="757" w:type="pct"/>
            <w:tcBorders>
              <w:tl2br w:val="nil"/>
              <w:tr2bl w:val="nil"/>
            </w:tcBorders>
            <w:vAlign w:val="center"/>
          </w:tcPr>
          <w:p w14:paraId="237377FF">
            <w:pPr>
              <w:pStyle w:val="34"/>
              <w:ind w:firstLine="0" w:firstLineChars="0"/>
              <w:jc w:val="center"/>
              <w:rPr>
                <w:rFonts w:hint="default" w:eastAsia="宋体"/>
                <w:color w:val="auto"/>
                <w:sz w:val="21"/>
                <w:szCs w:val="21"/>
                <w:lang w:val="en-US" w:eastAsia="zh-CN"/>
              </w:rPr>
            </w:pPr>
            <w:r>
              <w:rPr>
                <w:rFonts w:hint="eastAsia"/>
                <w:color w:val="auto"/>
                <w:sz w:val="21"/>
                <w:szCs w:val="21"/>
                <w:lang w:val="en-US" w:eastAsia="zh-CN"/>
              </w:rPr>
              <w:t>加药间、脱泥车间</w:t>
            </w:r>
          </w:p>
        </w:tc>
        <w:tc>
          <w:tcPr>
            <w:tcW w:w="424" w:type="pct"/>
            <w:vMerge w:val="continue"/>
            <w:tcBorders>
              <w:tl2br w:val="nil"/>
              <w:tr2bl w:val="nil"/>
            </w:tcBorders>
            <w:vAlign w:val="center"/>
          </w:tcPr>
          <w:p w14:paraId="046B6BC5">
            <w:pPr>
              <w:pStyle w:val="34"/>
              <w:jc w:val="center"/>
              <w:rPr>
                <w:color w:val="auto"/>
              </w:rPr>
            </w:pPr>
          </w:p>
        </w:tc>
        <w:tc>
          <w:tcPr>
            <w:tcW w:w="724" w:type="pct"/>
            <w:vMerge w:val="continue"/>
            <w:tcBorders>
              <w:tl2br w:val="nil"/>
              <w:tr2bl w:val="nil"/>
            </w:tcBorders>
            <w:vAlign w:val="center"/>
          </w:tcPr>
          <w:p w14:paraId="051ED7FB">
            <w:pPr>
              <w:pStyle w:val="34"/>
              <w:jc w:val="center"/>
              <w:rPr>
                <w:color w:val="auto"/>
              </w:rPr>
            </w:pPr>
          </w:p>
        </w:tc>
      </w:tr>
      <w:tr w14:paraId="32ED46D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28" w:type="pct"/>
            <w:tcBorders>
              <w:tl2br w:val="nil"/>
              <w:tr2bl w:val="nil"/>
            </w:tcBorders>
            <w:tcMar>
              <w:left w:w="28" w:type="dxa"/>
              <w:right w:w="28" w:type="dxa"/>
            </w:tcMar>
            <w:vAlign w:val="center"/>
          </w:tcPr>
          <w:p w14:paraId="675FF43C">
            <w:pPr>
              <w:pStyle w:val="34"/>
              <w:ind w:firstLine="0" w:firstLineChars="0"/>
              <w:jc w:val="center"/>
              <w:rPr>
                <w:rFonts w:ascii="Times New Roman" w:hAnsi="Times New Roman" w:eastAsia="宋体" w:cstheme="minorBidi"/>
                <w:color w:val="auto"/>
                <w:kern w:val="2"/>
                <w:sz w:val="21"/>
                <w:szCs w:val="21"/>
                <w:lang w:val="en-US" w:eastAsia="zh-CN" w:bidi="ar-SA"/>
              </w:rPr>
            </w:pPr>
            <w:r>
              <w:rPr>
                <w:rFonts w:hint="eastAsia"/>
                <w:color w:val="auto"/>
              </w:rPr>
              <w:t>22</w:t>
            </w:r>
          </w:p>
        </w:tc>
        <w:tc>
          <w:tcPr>
            <w:tcW w:w="528" w:type="pct"/>
            <w:vMerge w:val="continue"/>
            <w:tcBorders>
              <w:tl2br w:val="nil"/>
              <w:tr2bl w:val="nil"/>
            </w:tcBorders>
            <w:tcMar>
              <w:left w:w="28" w:type="dxa"/>
              <w:right w:w="28" w:type="dxa"/>
            </w:tcMar>
            <w:vAlign w:val="center"/>
          </w:tcPr>
          <w:p w14:paraId="268A2084">
            <w:pPr>
              <w:pStyle w:val="34"/>
              <w:jc w:val="center"/>
              <w:rPr>
                <w:color w:val="auto"/>
              </w:rPr>
            </w:pPr>
          </w:p>
        </w:tc>
        <w:tc>
          <w:tcPr>
            <w:tcW w:w="1156" w:type="pct"/>
            <w:tcBorders>
              <w:tl2br w:val="nil"/>
              <w:tr2bl w:val="nil"/>
            </w:tcBorders>
            <w:tcMar>
              <w:left w:w="28" w:type="dxa"/>
              <w:right w:w="28" w:type="dxa"/>
            </w:tcMar>
            <w:vAlign w:val="center"/>
          </w:tcPr>
          <w:p w14:paraId="6529EAAD">
            <w:pPr>
              <w:pStyle w:val="34"/>
              <w:jc w:val="center"/>
              <w:rPr>
                <w:color w:val="auto"/>
              </w:rPr>
            </w:pPr>
            <w:r>
              <w:rPr>
                <w:rFonts w:hint="eastAsia"/>
                <w:color w:val="auto"/>
              </w:rPr>
              <w:t>收容桶</w:t>
            </w:r>
          </w:p>
        </w:tc>
        <w:tc>
          <w:tcPr>
            <w:tcW w:w="521" w:type="pct"/>
            <w:tcBorders>
              <w:tl2br w:val="nil"/>
              <w:tr2bl w:val="nil"/>
            </w:tcBorders>
            <w:shd w:val="clear" w:color="auto" w:fill="auto"/>
            <w:tcMar>
              <w:left w:w="28" w:type="dxa"/>
              <w:right w:w="28" w:type="dxa"/>
            </w:tcMar>
            <w:vAlign w:val="center"/>
          </w:tcPr>
          <w:p w14:paraId="44A7C500">
            <w:pPr>
              <w:pStyle w:val="34"/>
              <w:jc w:val="center"/>
              <w:rPr>
                <w:rFonts w:hint="default" w:eastAsia="宋体"/>
                <w:color w:val="auto"/>
                <w:lang w:val="en-US" w:eastAsia="zh-CN"/>
              </w:rPr>
            </w:pPr>
            <w:r>
              <w:rPr>
                <w:rFonts w:hint="eastAsia"/>
                <w:color w:val="auto"/>
                <w:lang w:val="en-US" w:eastAsia="zh-CN"/>
              </w:rPr>
              <w:t>6</w:t>
            </w:r>
          </w:p>
        </w:tc>
        <w:tc>
          <w:tcPr>
            <w:tcW w:w="558" w:type="pct"/>
            <w:tcBorders>
              <w:tl2br w:val="nil"/>
              <w:tr2bl w:val="nil"/>
            </w:tcBorders>
            <w:vAlign w:val="center"/>
          </w:tcPr>
          <w:p w14:paraId="6EE1460B">
            <w:pPr>
              <w:pStyle w:val="34"/>
              <w:jc w:val="center"/>
              <w:rPr>
                <w:rFonts w:hint="eastAsia" w:eastAsia="宋体"/>
                <w:color w:val="auto"/>
                <w:lang w:eastAsia="zh-CN"/>
              </w:rPr>
            </w:pPr>
            <w:r>
              <w:rPr>
                <w:rFonts w:hint="eastAsia"/>
                <w:color w:val="auto"/>
                <w:lang w:eastAsia="zh-CN"/>
              </w:rPr>
              <w:t>个</w:t>
            </w:r>
          </w:p>
        </w:tc>
        <w:tc>
          <w:tcPr>
            <w:tcW w:w="757" w:type="pct"/>
            <w:tcBorders>
              <w:tl2br w:val="nil"/>
              <w:tr2bl w:val="nil"/>
            </w:tcBorders>
            <w:vAlign w:val="center"/>
          </w:tcPr>
          <w:p w14:paraId="3C8C6355">
            <w:pPr>
              <w:pStyle w:val="34"/>
              <w:bidi w:val="0"/>
              <w:rPr>
                <w:rFonts w:hint="eastAsia" w:eastAsia="宋体"/>
                <w:color w:val="auto"/>
                <w:lang w:val="en-US" w:eastAsia="zh-CN"/>
              </w:rPr>
            </w:pPr>
            <w:r>
              <w:rPr>
                <w:rFonts w:hint="eastAsia"/>
                <w:color w:val="auto"/>
                <w:lang w:val="en-US" w:eastAsia="zh-CN"/>
              </w:rPr>
              <w:t>危废间</w:t>
            </w:r>
          </w:p>
        </w:tc>
        <w:tc>
          <w:tcPr>
            <w:tcW w:w="424" w:type="pct"/>
            <w:vMerge w:val="continue"/>
            <w:tcBorders>
              <w:tl2br w:val="nil"/>
              <w:tr2bl w:val="nil"/>
            </w:tcBorders>
            <w:vAlign w:val="center"/>
          </w:tcPr>
          <w:p w14:paraId="55DC2C58">
            <w:pPr>
              <w:pStyle w:val="34"/>
              <w:jc w:val="center"/>
              <w:rPr>
                <w:color w:val="auto"/>
              </w:rPr>
            </w:pPr>
          </w:p>
        </w:tc>
        <w:tc>
          <w:tcPr>
            <w:tcW w:w="724" w:type="pct"/>
            <w:vMerge w:val="continue"/>
            <w:tcBorders>
              <w:tl2br w:val="nil"/>
              <w:tr2bl w:val="nil"/>
            </w:tcBorders>
            <w:vAlign w:val="center"/>
          </w:tcPr>
          <w:p w14:paraId="4CA9225E">
            <w:pPr>
              <w:pStyle w:val="34"/>
              <w:jc w:val="center"/>
              <w:rPr>
                <w:color w:val="auto"/>
              </w:rPr>
            </w:pPr>
          </w:p>
        </w:tc>
      </w:tr>
      <w:tr w14:paraId="7F25BD0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28" w:type="pct"/>
            <w:tcBorders>
              <w:tl2br w:val="nil"/>
              <w:tr2bl w:val="nil"/>
            </w:tcBorders>
            <w:tcMar>
              <w:left w:w="28" w:type="dxa"/>
              <w:right w:w="28" w:type="dxa"/>
            </w:tcMar>
            <w:vAlign w:val="center"/>
          </w:tcPr>
          <w:p w14:paraId="76BC0A73">
            <w:pPr>
              <w:pStyle w:val="34"/>
              <w:ind w:firstLine="0" w:firstLineChars="0"/>
              <w:jc w:val="center"/>
              <w:rPr>
                <w:rFonts w:ascii="Times New Roman" w:hAnsi="Times New Roman" w:eastAsia="宋体" w:cstheme="minorBidi"/>
                <w:color w:val="auto"/>
                <w:kern w:val="2"/>
                <w:sz w:val="21"/>
                <w:szCs w:val="21"/>
                <w:lang w:val="en-US" w:eastAsia="zh-CN" w:bidi="ar-SA"/>
              </w:rPr>
            </w:pPr>
            <w:r>
              <w:rPr>
                <w:rFonts w:hint="eastAsia"/>
                <w:color w:val="auto"/>
              </w:rPr>
              <w:t>23</w:t>
            </w:r>
          </w:p>
        </w:tc>
        <w:tc>
          <w:tcPr>
            <w:tcW w:w="528" w:type="pct"/>
            <w:vMerge w:val="restart"/>
            <w:tcBorders>
              <w:tl2br w:val="nil"/>
              <w:tr2bl w:val="nil"/>
            </w:tcBorders>
            <w:tcMar>
              <w:left w:w="28" w:type="dxa"/>
              <w:right w:w="28" w:type="dxa"/>
            </w:tcMar>
            <w:vAlign w:val="center"/>
          </w:tcPr>
          <w:p w14:paraId="00456A8A">
            <w:pPr>
              <w:pStyle w:val="34"/>
              <w:jc w:val="center"/>
              <w:rPr>
                <w:color w:val="auto"/>
              </w:rPr>
            </w:pPr>
            <w:r>
              <w:rPr>
                <w:rFonts w:hint="eastAsia"/>
                <w:color w:val="auto"/>
              </w:rPr>
              <w:t>环境监测设备</w:t>
            </w:r>
          </w:p>
        </w:tc>
        <w:tc>
          <w:tcPr>
            <w:tcW w:w="1156" w:type="pct"/>
            <w:tcBorders>
              <w:tl2br w:val="nil"/>
              <w:tr2bl w:val="nil"/>
            </w:tcBorders>
            <w:tcMar>
              <w:left w:w="28" w:type="dxa"/>
              <w:right w:w="28" w:type="dxa"/>
            </w:tcMar>
            <w:vAlign w:val="center"/>
          </w:tcPr>
          <w:p w14:paraId="6FBBFEBF">
            <w:pPr>
              <w:pStyle w:val="34"/>
              <w:jc w:val="center"/>
              <w:rPr>
                <w:color w:val="auto"/>
              </w:rPr>
            </w:pPr>
            <w:r>
              <w:rPr>
                <w:rFonts w:hint="eastAsia"/>
                <w:color w:val="auto"/>
              </w:rPr>
              <w:t>生化培养箱</w:t>
            </w:r>
          </w:p>
        </w:tc>
        <w:tc>
          <w:tcPr>
            <w:tcW w:w="521" w:type="pct"/>
            <w:tcBorders>
              <w:tl2br w:val="nil"/>
              <w:tr2bl w:val="nil"/>
            </w:tcBorders>
            <w:shd w:val="clear" w:color="auto" w:fill="auto"/>
            <w:tcMar>
              <w:left w:w="28" w:type="dxa"/>
              <w:right w:w="28" w:type="dxa"/>
            </w:tcMar>
            <w:vAlign w:val="center"/>
          </w:tcPr>
          <w:p w14:paraId="14E28432">
            <w:pPr>
              <w:pStyle w:val="34"/>
              <w:jc w:val="center"/>
              <w:rPr>
                <w:rFonts w:hint="eastAsia" w:eastAsia="宋体"/>
                <w:color w:val="auto"/>
                <w:lang w:val="en-US" w:eastAsia="zh-CN"/>
              </w:rPr>
            </w:pPr>
            <w:r>
              <w:rPr>
                <w:rFonts w:hint="eastAsia"/>
                <w:color w:val="auto"/>
                <w:lang w:val="en-US" w:eastAsia="zh-CN"/>
              </w:rPr>
              <w:t>1</w:t>
            </w:r>
          </w:p>
        </w:tc>
        <w:tc>
          <w:tcPr>
            <w:tcW w:w="558" w:type="pct"/>
            <w:tcBorders>
              <w:tl2br w:val="nil"/>
              <w:tr2bl w:val="nil"/>
            </w:tcBorders>
            <w:vAlign w:val="center"/>
          </w:tcPr>
          <w:p w14:paraId="3B4D6213">
            <w:pPr>
              <w:pStyle w:val="34"/>
              <w:jc w:val="center"/>
              <w:rPr>
                <w:color w:val="auto"/>
              </w:rPr>
            </w:pPr>
            <w:r>
              <w:rPr>
                <w:rFonts w:hint="eastAsia"/>
                <w:color w:val="auto"/>
                <w:lang w:eastAsia="zh-CN"/>
              </w:rPr>
              <w:t>台</w:t>
            </w:r>
          </w:p>
        </w:tc>
        <w:tc>
          <w:tcPr>
            <w:tcW w:w="757" w:type="pct"/>
            <w:vMerge w:val="restart"/>
            <w:tcBorders>
              <w:tl2br w:val="nil"/>
              <w:tr2bl w:val="nil"/>
            </w:tcBorders>
            <w:vAlign w:val="center"/>
          </w:tcPr>
          <w:p w14:paraId="58488A25">
            <w:pPr>
              <w:pStyle w:val="34"/>
              <w:ind w:firstLine="0" w:firstLineChars="0"/>
              <w:jc w:val="center"/>
              <w:rPr>
                <w:color w:val="auto"/>
              </w:rPr>
            </w:pPr>
            <w:r>
              <w:rPr>
                <w:rFonts w:hint="eastAsia"/>
                <w:color w:val="auto"/>
              </w:rPr>
              <w:t>化验室</w:t>
            </w:r>
          </w:p>
        </w:tc>
        <w:tc>
          <w:tcPr>
            <w:tcW w:w="424" w:type="pct"/>
            <w:vMerge w:val="restart"/>
            <w:tcBorders>
              <w:tl2br w:val="nil"/>
              <w:tr2bl w:val="nil"/>
            </w:tcBorders>
            <w:vAlign w:val="center"/>
          </w:tcPr>
          <w:p w14:paraId="76A73DB4">
            <w:pPr>
              <w:pStyle w:val="34"/>
              <w:ind w:firstLine="0" w:firstLineChars="0"/>
              <w:jc w:val="center"/>
              <w:rPr>
                <w:rFonts w:hint="default" w:eastAsia="宋体"/>
                <w:color w:val="auto"/>
                <w:lang w:val="en-US" w:eastAsia="zh-CN"/>
              </w:rPr>
            </w:pPr>
            <w:r>
              <w:rPr>
                <w:rFonts w:hint="eastAsia"/>
                <w:color w:val="auto"/>
                <w:lang w:val="en-US" w:eastAsia="zh-CN"/>
              </w:rPr>
              <w:t>李龙鹏辉</w:t>
            </w:r>
          </w:p>
        </w:tc>
        <w:tc>
          <w:tcPr>
            <w:tcW w:w="724" w:type="pct"/>
            <w:vMerge w:val="restart"/>
            <w:tcBorders>
              <w:tl2br w:val="nil"/>
              <w:tr2bl w:val="nil"/>
            </w:tcBorders>
            <w:vAlign w:val="center"/>
          </w:tcPr>
          <w:p w14:paraId="53E4DB79">
            <w:pPr>
              <w:pStyle w:val="34"/>
              <w:ind w:firstLine="0" w:firstLineChars="0"/>
              <w:jc w:val="center"/>
              <w:rPr>
                <w:color w:val="auto"/>
              </w:rPr>
            </w:pPr>
            <w:r>
              <w:rPr>
                <w:rFonts w:hint="eastAsia" w:ascii="宋体" w:hAnsi="宋体" w:eastAsia="宋体" w:cs="宋体"/>
                <w:color w:val="auto"/>
                <w:lang w:val="en-US" w:eastAsia="zh-CN"/>
              </w:rPr>
              <w:t>18979475946</w:t>
            </w:r>
          </w:p>
        </w:tc>
      </w:tr>
      <w:tr w14:paraId="5DE2FD2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28" w:type="pct"/>
            <w:tcBorders>
              <w:tl2br w:val="nil"/>
              <w:tr2bl w:val="nil"/>
            </w:tcBorders>
            <w:tcMar>
              <w:left w:w="28" w:type="dxa"/>
              <w:right w:w="28" w:type="dxa"/>
            </w:tcMar>
            <w:vAlign w:val="center"/>
          </w:tcPr>
          <w:p w14:paraId="29350FBB">
            <w:pPr>
              <w:pStyle w:val="34"/>
              <w:jc w:val="center"/>
              <w:rPr>
                <w:rFonts w:hint="default" w:eastAsia="宋体"/>
                <w:color w:val="auto"/>
                <w:lang w:val="en-US" w:eastAsia="zh-CN"/>
              </w:rPr>
            </w:pPr>
            <w:r>
              <w:rPr>
                <w:rFonts w:hint="eastAsia"/>
                <w:color w:val="auto"/>
                <w:lang w:val="en-US" w:eastAsia="zh-CN"/>
              </w:rPr>
              <w:t>24</w:t>
            </w:r>
          </w:p>
        </w:tc>
        <w:tc>
          <w:tcPr>
            <w:tcW w:w="528" w:type="pct"/>
            <w:vMerge w:val="continue"/>
            <w:tcBorders>
              <w:tl2br w:val="nil"/>
              <w:tr2bl w:val="nil"/>
            </w:tcBorders>
            <w:tcMar>
              <w:left w:w="28" w:type="dxa"/>
              <w:right w:w="28" w:type="dxa"/>
            </w:tcMar>
            <w:vAlign w:val="center"/>
          </w:tcPr>
          <w:p w14:paraId="485E5B25">
            <w:pPr>
              <w:pStyle w:val="34"/>
              <w:jc w:val="center"/>
              <w:rPr>
                <w:color w:val="auto"/>
              </w:rPr>
            </w:pPr>
          </w:p>
        </w:tc>
        <w:tc>
          <w:tcPr>
            <w:tcW w:w="1156" w:type="pct"/>
            <w:tcBorders>
              <w:tl2br w:val="nil"/>
              <w:tr2bl w:val="nil"/>
            </w:tcBorders>
            <w:tcMar>
              <w:left w:w="28" w:type="dxa"/>
              <w:right w:w="28" w:type="dxa"/>
            </w:tcMar>
            <w:vAlign w:val="center"/>
          </w:tcPr>
          <w:p w14:paraId="36781C7C">
            <w:pPr>
              <w:pStyle w:val="34"/>
              <w:jc w:val="center"/>
              <w:rPr>
                <w:color w:val="auto"/>
              </w:rPr>
            </w:pPr>
            <w:r>
              <w:rPr>
                <w:rFonts w:hint="eastAsia"/>
                <w:color w:val="auto"/>
              </w:rPr>
              <w:t>电热恒温干燥箱</w:t>
            </w:r>
          </w:p>
        </w:tc>
        <w:tc>
          <w:tcPr>
            <w:tcW w:w="521" w:type="pct"/>
            <w:tcBorders>
              <w:tl2br w:val="nil"/>
              <w:tr2bl w:val="nil"/>
            </w:tcBorders>
            <w:shd w:val="clear" w:color="auto" w:fill="auto"/>
            <w:tcMar>
              <w:left w:w="28" w:type="dxa"/>
              <w:right w:w="28" w:type="dxa"/>
            </w:tcMar>
            <w:vAlign w:val="center"/>
          </w:tcPr>
          <w:p w14:paraId="109E6F1C">
            <w:pPr>
              <w:pStyle w:val="34"/>
              <w:jc w:val="center"/>
              <w:rPr>
                <w:rFonts w:hint="eastAsia" w:eastAsia="宋体"/>
                <w:color w:val="auto"/>
                <w:lang w:val="en-US" w:eastAsia="zh-CN"/>
              </w:rPr>
            </w:pPr>
            <w:r>
              <w:rPr>
                <w:rFonts w:hint="eastAsia"/>
                <w:color w:val="auto"/>
                <w:lang w:val="en-US" w:eastAsia="zh-CN"/>
              </w:rPr>
              <w:t>1</w:t>
            </w:r>
          </w:p>
        </w:tc>
        <w:tc>
          <w:tcPr>
            <w:tcW w:w="558" w:type="pct"/>
            <w:tcBorders>
              <w:tl2br w:val="nil"/>
              <w:tr2bl w:val="nil"/>
            </w:tcBorders>
            <w:vAlign w:val="center"/>
          </w:tcPr>
          <w:p w14:paraId="0D05DAF5">
            <w:pPr>
              <w:pStyle w:val="34"/>
              <w:jc w:val="center"/>
              <w:rPr>
                <w:rFonts w:hint="eastAsia" w:eastAsia="宋体"/>
                <w:color w:val="auto"/>
                <w:lang w:eastAsia="zh-CN"/>
              </w:rPr>
            </w:pPr>
            <w:r>
              <w:rPr>
                <w:rFonts w:hint="eastAsia"/>
                <w:color w:val="auto"/>
                <w:lang w:eastAsia="zh-CN"/>
              </w:rPr>
              <w:t>台</w:t>
            </w:r>
          </w:p>
        </w:tc>
        <w:tc>
          <w:tcPr>
            <w:tcW w:w="757" w:type="pct"/>
            <w:vMerge w:val="continue"/>
            <w:tcBorders>
              <w:tl2br w:val="nil"/>
              <w:tr2bl w:val="nil"/>
            </w:tcBorders>
            <w:vAlign w:val="center"/>
          </w:tcPr>
          <w:p w14:paraId="6B876596">
            <w:pPr>
              <w:pStyle w:val="34"/>
              <w:ind w:firstLine="0" w:firstLineChars="0"/>
              <w:jc w:val="center"/>
              <w:rPr>
                <w:color w:val="auto"/>
              </w:rPr>
            </w:pPr>
          </w:p>
        </w:tc>
        <w:tc>
          <w:tcPr>
            <w:tcW w:w="424" w:type="pct"/>
            <w:vMerge w:val="continue"/>
            <w:tcBorders>
              <w:tl2br w:val="nil"/>
              <w:tr2bl w:val="nil"/>
            </w:tcBorders>
            <w:vAlign w:val="center"/>
          </w:tcPr>
          <w:p w14:paraId="1D915EC2">
            <w:pPr>
              <w:pStyle w:val="34"/>
              <w:ind w:firstLine="0" w:firstLineChars="0"/>
              <w:jc w:val="center"/>
              <w:rPr>
                <w:color w:val="auto"/>
              </w:rPr>
            </w:pPr>
          </w:p>
        </w:tc>
        <w:tc>
          <w:tcPr>
            <w:tcW w:w="724" w:type="pct"/>
            <w:vMerge w:val="continue"/>
            <w:tcBorders>
              <w:tl2br w:val="nil"/>
              <w:tr2bl w:val="nil"/>
            </w:tcBorders>
            <w:vAlign w:val="center"/>
          </w:tcPr>
          <w:p w14:paraId="267B3FFB">
            <w:pPr>
              <w:pStyle w:val="34"/>
              <w:ind w:firstLine="0" w:firstLineChars="0"/>
              <w:jc w:val="center"/>
              <w:rPr>
                <w:color w:val="auto"/>
              </w:rPr>
            </w:pPr>
          </w:p>
        </w:tc>
      </w:tr>
      <w:tr w14:paraId="0BAE773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28" w:type="pct"/>
            <w:tcBorders>
              <w:tl2br w:val="nil"/>
              <w:tr2bl w:val="nil"/>
            </w:tcBorders>
            <w:tcMar>
              <w:left w:w="28" w:type="dxa"/>
              <w:right w:w="28" w:type="dxa"/>
            </w:tcMar>
            <w:vAlign w:val="center"/>
          </w:tcPr>
          <w:p w14:paraId="6B946CB1">
            <w:pPr>
              <w:pStyle w:val="34"/>
              <w:jc w:val="center"/>
              <w:rPr>
                <w:rFonts w:hint="default" w:eastAsia="宋体"/>
                <w:color w:val="auto"/>
                <w:lang w:val="en-US" w:eastAsia="zh-CN"/>
              </w:rPr>
            </w:pPr>
            <w:r>
              <w:rPr>
                <w:rFonts w:hint="eastAsia"/>
                <w:color w:val="auto"/>
                <w:lang w:val="en-US" w:eastAsia="zh-CN"/>
              </w:rPr>
              <w:t>25</w:t>
            </w:r>
          </w:p>
        </w:tc>
        <w:tc>
          <w:tcPr>
            <w:tcW w:w="528" w:type="pct"/>
            <w:vMerge w:val="continue"/>
            <w:tcBorders>
              <w:tl2br w:val="nil"/>
              <w:tr2bl w:val="nil"/>
            </w:tcBorders>
            <w:tcMar>
              <w:left w:w="28" w:type="dxa"/>
              <w:right w:w="28" w:type="dxa"/>
            </w:tcMar>
            <w:vAlign w:val="center"/>
          </w:tcPr>
          <w:p w14:paraId="2FFC3396">
            <w:pPr>
              <w:pStyle w:val="34"/>
              <w:jc w:val="center"/>
              <w:rPr>
                <w:color w:val="auto"/>
              </w:rPr>
            </w:pPr>
          </w:p>
        </w:tc>
        <w:tc>
          <w:tcPr>
            <w:tcW w:w="1156" w:type="pct"/>
            <w:tcBorders>
              <w:tl2br w:val="nil"/>
              <w:tr2bl w:val="nil"/>
            </w:tcBorders>
            <w:tcMar>
              <w:left w:w="28" w:type="dxa"/>
              <w:right w:w="28" w:type="dxa"/>
            </w:tcMar>
            <w:vAlign w:val="center"/>
          </w:tcPr>
          <w:p w14:paraId="4E59C640">
            <w:pPr>
              <w:pStyle w:val="34"/>
              <w:jc w:val="center"/>
              <w:rPr>
                <w:color w:val="auto"/>
              </w:rPr>
            </w:pPr>
            <w:r>
              <w:rPr>
                <w:rFonts w:hint="eastAsia"/>
                <w:color w:val="auto"/>
              </w:rPr>
              <w:t>真空泵</w:t>
            </w:r>
          </w:p>
        </w:tc>
        <w:tc>
          <w:tcPr>
            <w:tcW w:w="521" w:type="pct"/>
            <w:tcBorders>
              <w:tl2br w:val="nil"/>
              <w:tr2bl w:val="nil"/>
            </w:tcBorders>
            <w:shd w:val="clear" w:color="auto" w:fill="auto"/>
            <w:tcMar>
              <w:left w:w="28" w:type="dxa"/>
              <w:right w:w="28" w:type="dxa"/>
            </w:tcMar>
            <w:vAlign w:val="center"/>
          </w:tcPr>
          <w:p w14:paraId="1FB5AF47">
            <w:pPr>
              <w:pStyle w:val="34"/>
              <w:jc w:val="center"/>
              <w:rPr>
                <w:rFonts w:hint="eastAsia" w:eastAsia="宋体"/>
                <w:color w:val="auto"/>
                <w:lang w:val="en-US" w:eastAsia="zh-CN"/>
              </w:rPr>
            </w:pPr>
            <w:r>
              <w:rPr>
                <w:rFonts w:hint="eastAsia"/>
                <w:color w:val="auto"/>
                <w:lang w:val="en-US" w:eastAsia="zh-CN"/>
              </w:rPr>
              <w:t>1</w:t>
            </w:r>
          </w:p>
        </w:tc>
        <w:tc>
          <w:tcPr>
            <w:tcW w:w="558" w:type="pct"/>
            <w:tcBorders>
              <w:tl2br w:val="nil"/>
              <w:tr2bl w:val="nil"/>
            </w:tcBorders>
            <w:vAlign w:val="center"/>
          </w:tcPr>
          <w:p w14:paraId="659D0B8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r>
              <w:rPr>
                <w:rFonts w:hint="eastAsia"/>
                <w:color w:val="auto"/>
                <w:sz w:val="21"/>
                <w:szCs w:val="21"/>
                <w:lang w:eastAsia="zh-CN"/>
              </w:rPr>
              <w:t>台</w:t>
            </w:r>
          </w:p>
        </w:tc>
        <w:tc>
          <w:tcPr>
            <w:tcW w:w="757" w:type="pct"/>
            <w:vMerge w:val="continue"/>
            <w:tcBorders>
              <w:tl2br w:val="nil"/>
              <w:tr2bl w:val="nil"/>
            </w:tcBorders>
            <w:vAlign w:val="center"/>
          </w:tcPr>
          <w:p w14:paraId="23912199">
            <w:pPr>
              <w:pStyle w:val="34"/>
              <w:jc w:val="center"/>
              <w:rPr>
                <w:color w:val="auto"/>
              </w:rPr>
            </w:pPr>
          </w:p>
        </w:tc>
        <w:tc>
          <w:tcPr>
            <w:tcW w:w="424" w:type="pct"/>
            <w:vMerge w:val="continue"/>
            <w:tcBorders>
              <w:tl2br w:val="nil"/>
              <w:tr2bl w:val="nil"/>
            </w:tcBorders>
            <w:vAlign w:val="center"/>
          </w:tcPr>
          <w:p w14:paraId="4B31A7E5">
            <w:pPr>
              <w:pStyle w:val="34"/>
              <w:jc w:val="center"/>
              <w:rPr>
                <w:color w:val="auto"/>
              </w:rPr>
            </w:pPr>
          </w:p>
        </w:tc>
        <w:tc>
          <w:tcPr>
            <w:tcW w:w="724" w:type="pct"/>
            <w:vMerge w:val="continue"/>
            <w:tcBorders>
              <w:tl2br w:val="nil"/>
              <w:tr2bl w:val="nil"/>
            </w:tcBorders>
            <w:vAlign w:val="center"/>
          </w:tcPr>
          <w:p w14:paraId="3EB39CB5">
            <w:pPr>
              <w:pStyle w:val="34"/>
              <w:jc w:val="center"/>
              <w:rPr>
                <w:color w:val="auto"/>
              </w:rPr>
            </w:pPr>
          </w:p>
        </w:tc>
      </w:tr>
      <w:tr w14:paraId="6DA9E13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28" w:type="pct"/>
            <w:tcBorders>
              <w:tl2br w:val="nil"/>
              <w:tr2bl w:val="nil"/>
            </w:tcBorders>
            <w:tcMar>
              <w:left w:w="28" w:type="dxa"/>
              <w:right w:w="28" w:type="dxa"/>
            </w:tcMar>
            <w:vAlign w:val="center"/>
          </w:tcPr>
          <w:p w14:paraId="2D93E68F">
            <w:pPr>
              <w:pStyle w:val="34"/>
              <w:jc w:val="center"/>
              <w:rPr>
                <w:rFonts w:hint="default" w:eastAsia="宋体"/>
                <w:color w:val="auto"/>
                <w:lang w:val="en-US" w:eastAsia="zh-CN"/>
              </w:rPr>
            </w:pPr>
            <w:r>
              <w:rPr>
                <w:rFonts w:hint="eastAsia"/>
                <w:color w:val="auto"/>
                <w:lang w:val="en-US" w:eastAsia="zh-CN"/>
              </w:rPr>
              <w:t>26</w:t>
            </w:r>
          </w:p>
        </w:tc>
        <w:tc>
          <w:tcPr>
            <w:tcW w:w="528" w:type="pct"/>
            <w:vMerge w:val="continue"/>
            <w:tcBorders>
              <w:tl2br w:val="nil"/>
              <w:tr2bl w:val="nil"/>
            </w:tcBorders>
            <w:tcMar>
              <w:left w:w="28" w:type="dxa"/>
              <w:right w:w="28" w:type="dxa"/>
            </w:tcMar>
            <w:vAlign w:val="center"/>
          </w:tcPr>
          <w:p w14:paraId="75AE0E29">
            <w:pPr>
              <w:pStyle w:val="34"/>
              <w:jc w:val="center"/>
              <w:rPr>
                <w:color w:val="auto"/>
              </w:rPr>
            </w:pPr>
          </w:p>
        </w:tc>
        <w:tc>
          <w:tcPr>
            <w:tcW w:w="1156" w:type="pct"/>
            <w:tcBorders>
              <w:tl2br w:val="nil"/>
              <w:tr2bl w:val="nil"/>
            </w:tcBorders>
            <w:tcMar>
              <w:left w:w="28" w:type="dxa"/>
              <w:right w:w="28" w:type="dxa"/>
            </w:tcMar>
            <w:vAlign w:val="center"/>
          </w:tcPr>
          <w:p w14:paraId="7C4FC70F">
            <w:pPr>
              <w:pStyle w:val="34"/>
              <w:jc w:val="center"/>
              <w:rPr>
                <w:color w:val="auto"/>
              </w:rPr>
            </w:pPr>
            <w:r>
              <w:rPr>
                <w:rFonts w:hint="eastAsia"/>
                <w:color w:val="auto"/>
              </w:rPr>
              <w:t>紫外可见分光光度计</w:t>
            </w:r>
          </w:p>
        </w:tc>
        <w:tc>
          <w:tcPr>
            <w:tcW w:w="521" w:type="pct"/>
            <w:tcBorders>
              <w:tl2br w:val="nil"/>
              <w:tr2bl w:val="nil"/>
            </w:tcBorders>
            <w:shd w:val="clear" w:color="auto" w:fill="auto"/>
            <w:tcMar>
              <w:left w:w="28" w:type="dxa"/>
              <w:right w:w="28" w:type="dxa"/>
            </w:tcMar>
            <w:vAlign w:val="center"/>
          </w:tcPr>
          <w:p w14:paraId="53D6F97C">
            <w:pPr>
              <w:pStyle w:val="34"/>
              <w:jc w:val="center"/>
              <w:rPr>
                <w:rFonts w:hint="eastAsia" w:eastAsia="宋体"/>
                <w:color w:val="auto"/>
                <w:lang w:val="en-US" w:eastAsia="zh-CN"/>
              </w:rPr>
            </w:pPr>
            <w:r>
              <w:rPr>
                <w:rFonts w:hint="eastAsia"/>
                <w:color w:val="auto"/>
                <w:lang w:val="en-US" w:eastAsia="zh-CN"/>
              </w:rPr>
              <w:t>2</w:t>
            </w:r>
          </w:p>
        </w:tc>
        <w:tc>
          <w:tcPr>
            <w:tcW w:w="558" w:type="pct"/>
            <w:tcBorders>
              <w:tl2br w:val="nil"/>
              <w:tr2bl w:val="nil"/>
            </w:tcBorders>
            <w:vAlign w:val="center"/>
          </w:tcPr>
          <w:p w14:paraId="09D894C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r>
              <w:rPr>
                <w:rFonts w:hint="eastAsia"/>
                <w:color w:val="auto"/>
                <w:sz w:val="21"/>
                <w:szCs w:val="21"/>
                <w:lang w:eastAsia="zh-CN"/>
              </w:rPr>
              <w:t>台</w:t>
            </w:r>
          </w:p>
        </w:tc>
        <w:tc>
          <w:tcPr>
            <w:tcW w:w="757" w:type="pct"/>
            <w:vMerge w:val="continue"/>
            <w:tcBorders>
              <w:tl2br w:val="nil"/>
              <w:tr2bl w:val="nil"/>
            </w:tcBorders>
            <w:vAlign w:val="center"/>
          </w:tcPr>
          <w:p w14:paraId="34D9758D">
            <w:pPr>
              <w:pStyle w:val="34"/>
              <w:jc w:val="center"/>
              <w:rPr>
                <w:color w:val="auto"/>
              </w:rPr>
            </w:pPr>
          </w:p>
        </w:tc>
        <w:tc>
          <w:tcPr>
            <w:tcW w:w="424" w:type="pct"/>
            <w:vMerge w:val="continue"/>
            <w:tcBorders>
              <w:tl2br w:val="nil"/>
              <w:tr2bl w:val="nil"/>
            </w:tcBorders>
            <w:vAlign w:val="center"/>
          </w:tcPr>
          <w:p w14:paraId="1C5C9AB8">
            <w:pPr>
              <w:pStyle w:val="34"/>
              <w:jc w:val="center"/>
              <w:rPr>
                <w:color w:val="auto"/>
              </w:rPr>
            </w:pPr>
          </w:p>
        </w:tc>
        <w:tc>
          <w:tcPr>
            <w:tcW w:w="724" w:type="pct"/>
            <w:vMerge w:val="continue"/>
            <w:tcBorders>
              <w:tl2br w:val="nil"/>
              <w:tr2bl w:val="nil"/>
            </w:tcBorders>
            <w:vAlign w:val="center"/>
          </w:tcPr>
          <w:p w14:paraId="061742CB">
            <w:pPr>
              <w:pStyle w:val="34"/>
              <w:jc w:val="center"/>
              <w:rPr>
                <w:color w:val="auto"/>
              </w:rPr>
            </w:pPr>
          </w:p>
        </w:tc>
      </w:tr>
      <w:tr w14:paraId="2F74F5F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28" w:type="pct"/>
            <w:tcBorders>
              <w:tl2br w:val="nil"/>
              <w:tr2bl w:val="nil"/>
            </w:tcBorders>
            <w:tcMar>
              <w:left w:w="28" w:type="dxa"/>
              <w:right w:w="28" w:type="dxa"/>
            </w:tcMar>
            <w:vAlign w:val="center"/>
          </w:tcPr>
          <w:p w14:paraId="4D16F41F">
            <w:pPr>
              <w:pStyle w:val="34"/>
              <w:jc w:val="center"/>
              <w:rPr>
                <w:rFonts w:hint="default" w:eastAsia="宋体"/>
                <w:color w:val="auto"/>
                <w:lang w:val="en-US" w:eastAsia="zh-CN"/>
              </w:rPr>
            </w:pPr>
            <w:r>
              <w:rPr>
                <w:rFonts w:hint="eastAsia"/>
                <w:color w:val="auto"/>
                <w:lang w:val="en-US" w:eastAsia="zh-CN"/>
              </w:rPr>
              <w:t>27</w:t>
            </w:r>
          </w:p>
        </w:tc>
        <w:tc>
          <w:tcPr>
            <w:tcW w:w="528" w:type="pct"/>
            <w:vMerge w:val="continue"/>
            <w:tcBorders>
              <w:tl2br w:val="nil"/>
              <w:tr2bl w:val="nil"/>
            </w:tcBorders>
            <w:tcMar>
              <w:left w:w="28" w:type="dxa"/>
              <w:right w:w="28" w:type="dxa"/>
            </w:tcMar>
            <w:vAlign w:val="center"/>
          </w:tcPr>
          <w:p w14:paraId="12DE7024">
            <w:pPr>
              <w:pStyle w:val="34"/>
              <w:jc w:val="center"/>
              <w:rPr>
                <w:color w:val="auto"/>
              </w:rPr>
            </w:pPr>
          </w:p>
        </w:tc>
        <w:tc>
          <w:tcPr>
            <w:tcW w:w="1156" w:type="pct"/>
            <w:tcBorders>
              <w:tl2br w:val="nil"/>
              <w:tr2bl w:val="nil"/>
            </w:tcBorders>
            <w:tcMar>
              <w:left w:w="28" w:type="dxa"/>
              <w:right w:w="28" w:type="dxa"/>
            </w:tcMar>
            <w:vAlign w:val="center"/>
          </w:tcPr>
          <w:p w14:paraId="42907821">
            <w:pPr>
              <w:pStyle w:val="34"/>
              <w:jc w:val="center"/>
              <w:rPr>
                <w:color w:val="auto"/>
              </w:rPr>
            </w:pPr>
            <w:r>
              <w:rPr>
                <w:rFonts w:hint="eastAsia"/>
                <w:color w:val="auto"/>
              </w:rPr>
              <w:t>电子分析天平</w:t>
            </w:r>
          </w:p>
        </w:tc>
        <w:tc>
          <w:tcPr>
            <w:tcW w:w="521" w:type="pct"/>
            <w:tcBorders>
              <w:tl2br w:val="nil"/>
              <w:tr2bl w:val="nil"/>
            </w:tcBorders>
            <w:shd w:val="clear" w:color="auto" w:fill="auto"/>
            <w:tcMar>
              <w:left w:w="28" w:type="dxa"/>
              <w:right w:w="28" w:type="dxa"/>
            </w:tcMar>
            <w:vAlign w:val="center"/>
          </w:tcPr>
          <w:p w14:paraId="71617DF4">
            <w:pPr>
              <w:pStyle w:val="34"/>
              <w:jc w:val="center"/>
              <w:rPr>
                <w:rFonts w:hint="eastAsia" w:eastAsia="宋体"/>
                <w:color w:val="auto"/>
                <w:lang w:val="en-US" w:eastAsia="zh-CN"/>
              </w:rPr>
            </w:pPr>
            <w:r>
              <w:rPr>
                <w:rFonts w:hint="eastAsia"/>
                <w:color w:val="auto"/>
                <w:lang w:val="en-US" w:eastAsia="zh-CN"/>
              </w:rPr>
              <w:t>2</w:t>
            </w:r>
          </w:p>
        </w:tc>
        <w:tc>
          <w:tcPr>
            <w:tcW w:w="558" w:type="pct"/>
            <w:tcBorders>
              <w:tl2br w:val="nil"/>
              <w:tr2bl w:val="nil"/>
            </w:tcBorders>
            <w:vAlign w:val="center"/>
          </w:tcPr>
          <w:p w14:paraId="5853229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r>
              <w:rPr>
                <w:rFonts w:hint="eastAsia"/>
                <w:color w:val="auto"/>
                <w:sz w:val="21"/>
                <w:szCs w:val="21"/>
                <w:lang w:eastAsia="zh-CN"/>
              </w:rPr>
              <w:t>台</w:t>
            </w:r>
          </w:p>
        </w:tc>
        <w:tc>
          <w:tcPr>
            <w:tcW w:w="757" w:type="pct"/>
            <w:vMerge w:val="continue"/>
            <w:tcBorders>
              <w:tl2br w:val="nil"/>
              <w:tr2bl w:val="nil"/>
            </w:tcBorders>
            <w:vAlign w:val="center"/>
          </w:tcPr>
          <w:p w14:paraId="221AA0D1">
            <w:pPr>
              <w:pStyle w:val="34"/>
              <w:jc w:val="center"/>
              <w:rPr>
                <w:color w:val="auto"/>
              </w:rPr>
            </w:pPr>
          </w:p>
        </w:tc>
        <w:tc>
          <w:tcPr>
            <w:tcW w:w="424" w:type="pct"/>
            <w:vMerge w:val="continue"/>
            <w:tcBorders>
              <w:tl2br w:val="nil"/>
              <w:tr2bl w:val="nil"/>
            </w:tcBorders>
            <w:vAlign w:val="center"/>
          </w:tcPr>
          <w:p w14:paraId="1D42A65D">
            <w:pPr>
              <w:pStyle w:val="34"/>
              <w:jc w:val="center"/>
              <w:rPr>
                <w:color w:val="auto"/>
              </w:rPr>
            </w:pPr>
          </w:p>
        </w:tc>
        <w:tc>
          <w:tcPr>
            <w:tcW w:w="724" w:type="pct"/>
            <w:vMerge w:val="continue"/>
            <w:tcBorders>
              <w:tl2br w:val="nil"/>
              <w:tr2bl w:val="nil"/>
            </w:tcBorders>
            <w:vAlign w:val="center"/>
          </w:tcPr>
          <w:p w14:paraId="6A1EFC07">
            <w:pPr>
              <w:pStyle w:val="34"/>
              <w:jc w:val="center"/>
              <w:rPr>
                <w:color w:val="auto"/>
              </w:rPr>
            </w:pPr>
          </w:p>
        </w:tc>
      </w:tr>
      <w:tr w14:paraId="5ABCF02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28" w:type="pct"/>
            <w:tcBorders>
              <w:tl2br w:val="nil"/>
              <w:tr2bl w:val="nil"/>
            </w:tcBorders>
            <w:tcMar>
              <w:left w:w="28" w:type="dxa"/>
              <w:right w:w="28" w:type="dxa"/>
            </w:tcMar>
            <w:vAlign w:val="center"/>
          </w:tcPr>
          <w:p w14:paraId="209C8831">
            <w:pPr>
              <w:pStyle w:val="34"/>
              <w:jc w:val="center"/>
              <w:rPr>
                <w:rFonts w:hint="default" w:eastAsia="宋体"/>
                <w:color w:val="auto"/>
                <w:lang w:val="en-US" w:eastAsia="zh-CN"/>
              </w:rPr>
            </w:pPr>
            <w:r>
              <w:rPr>
                <w:rFonts w:hint="eastAsia"/>
                <w:color w:val="auto"/>
                <w:lang w:val="en-US" w:eastAsia="zh-CN"/>
              </w:rPr>
              <w:t>28</w:t>
            </w:r>
          </w:p>
        </w:tc>
        <w:tc>
          <w:tcPr>
            <w:tcW w:w="528" w:type="pct"/>
            <w:vMerge w:val="continue"/>
            <w:tcBorders>
              <w:tl2br w:val="nil"/>
              <w:tr2bl w:val="nil"/>
            </w:tcBorders>
            <w:tcMar>
              <w:left w:w="28" w:type="dxa"/>
              <w:right w:w="28" w:type="dxa"/>
            </w:tcMar>
            <w:vAlign w:val="center"/>
          </w:tcPr>
          <w:p w14:paraId="2586171C">
            <w:pPr>
              <w:pStyle w:val="34"/>
              <w:jc w:val="center"/>
              <w:rPr>
                <w:color w:val="auto"/>
              </w:rPr>
            </w:pPr>
          </w:p>
        </w:tc>
        <w:tc>
          <w:tcPr>
            <w:tcW w:w="1156" w:type="pct"/>
            <w:tcBorders>
              <w:tl2br w:val="nil"/>
              <w:tr2bl w:val="nil"/>
            </w:tcBorders>
            <w:tcMar>
              <w:left w:w="28" w:type="dxa"/>
              <w:right w:w="28" w:type="dxa"/>
            </w:tcMar>
            <w:vAlign w:val="center"/>
          </w:tcPr>
          <w:p w14:paraId="305BB106">
            <w:pPr>
              <w:pStyle w:val="34"/>
              <w:jc w:val="center"/>
              <w:rPr>
                <w:color w:val="auto"/>
              </w:rPr>
            </w:pPr>
            <w:r>
              <w:rPr>
                <w:rFonts w:hint="eastAsia"/>
                <w:color w:val="auto"/>
              </w:rPr>
              <w:t>pH计</w:t>
            </w:r>
          </w:p>
        </w:tc>
        <w:tc>
          <w:tcPr>
            <w:tcW w:w="521" w:type="pct"/>
            <w:tcBorders>
              <w:tl2br w:val="nil"/>
              <w:tr2bl w:val="nil"/>
            </w:tcBorders>
            <w:shd w:val="clear" w:color="auto" w:fill="auto"/>
            <w:tcMar>
              <w:left w:w="28" w:type="dxa"/>
              <w:right w:w="28" w:type="dxa"/>
            </w:tcMar>
            <w:vAlign w:val="center"/>
          </w:tcPr>
          <w:p w14:paraId="2F9457E6">
            <w:pPr>
              <w:pStyle w:val="34"/>
              <w:jc w:val="center"/>
              <w:rPr>
                <w:rFonts w:hint="eastAsia" w:eastAsia="宋体"/>
                <w:color w:val="auto"/>
                <w:lang w:val="en-US" w:eastAsia="zh-CN"/>
              </w:rPr>
            </w:pPr>
            <w:r>
              <w:rPr>
                <w:rFonts w:hint="eastAsia"/>
                <w:color w:val="auto"/>
                <w:lang w:val="en-US" w:eastAsia="zh-CN"/>
              </w:rPr>
              <w:t>1</w:t>
            </w:r>
          </w:p>
        </w:tc>
        <w:tc>
          <w:tcPr>
            <w:tcW w:w="558" w:type="pct"/>
            <w:tcBorders>
              <w:tl2br w:val="nil"/>
              <w:tr2bl w:val="nil"/>
            </w:tcBorders>
            <w:vAlign w:val="center"/>
          </w:tcPr>
          <w:p w14:paraId="2C8980D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r>
              <w:rPr>
                <w:rFonts w:hint="eastAsia"/>
                <w:color w:val="auto"/>
                <w:sz w:val="21"/>
                <w:szCs w:val="21"/>
                <w:lang w:eastAsia="zh-CN"/>
              </w:rPr>
              <w:t>台</w:t>
            </w:r>
          </w:p>
        </w:tc>
        <w:tc>
          <w:tcPr>
            <w:tcW w:w="757" w:type="pct"/>
            <w:vMerge w:val="continue"/>
            <w:tcBorders>
              <w:tl2br w:val="nil"/>
              <w:tr2bl w:val="nil"/>
            </w:tcBorders>
            <w:vAlign w:val="center"/>
          </w:tcPr>
          <w:p w14:paraId="5277C387">
            <w:pPr>
              <w:pStyle w:val="34"/>
              <w:jc w:val="center"/>
              <w:rPr>
                <w:color w:val="auto"/>
              </w:rPr>
            </w:pPr>
          </w:p>
        </w:tc>
        <w:tc>
          <w:tcPr>
            <w:tcW w:w="424" w:type="pct"/>
            <w:vMerge w:val="continue"/>
            <w:tcBorders>
              <w:tl2br w:val="nil"/>
              <w:tr2bl w:val="nil"/>
            </w:tcBorders>
            <w:vAlign w:val="center"/>
          </w:tcPr>
          <w:p w14:paraId="6A623A7B">
            <w:pPr>
              <w:pStyle w:val="34"/>
              <w:jc w:val="center"/>
              <w:rPr>
                <w:color w:val="auto"/>
              </w:rPr>
            </w:pPr>
          </w:p>
        </w:tc>
        <w:tc>
          <w:tcPr>
            <w:tcW w:w="724" w:type="pct"/>
            <w:vMerge w:val="continue"/>
            <w:tcBorders>
              <w:tl2br w:val="nil"/>
              <w:tr2bl w:val="nil"/>
            </w:tcBorders>
            <w:vAlign w:val="center"/>
          </w:tcPr>
          <w:p w14:paraId="61ABE739">
            <w:pPr>
              <w:pStyle w:val="34"/>
              <w:jc w:val="center"/>
              <w:rPr>
                <w:color w:val="auto"/>
              </w:rPr>
            </w:pPr>
          </w:p>
        </w:tc>
      </w:tr>
      <w:tr w14:paraId="06FFD91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28" w:type="pct"/>
            <w:tcBorders>
              <w:tl2br w:val="nil"/>
              <w:tr2bl w:val="nil"/>
            </w:tcBorders>
            <w:tcMar>
              <w:left w:w="28" w:type="dxa"/>
              <w:right w:w="28" w:type="dxa"/>
            </w:tcMar>
            <w:vAlign w:val="center"/>
          </w:tcPr>
          <w:p w14:paraId="1975E628">
            <w:pPr>
              <w:pStyle w:val="34"/>
              <w:jc w:val="center"/>
              <w:rPr>
                <w:rFonts w:hint="default" w:eastAsia="宋体"/>
                <w:color w:val="auto"/>
                <w:lang w:val="en-US" w:eastAsia="zh-CN"/>
              </w:rPr>
            </w:pPr>
            <w:r>
              <w:rPr>
                <w:rFonts w:hint="eastAsia"/>
                <w:color w:val="auto"/>
                <w:lang w:val="en-US" w:eastAsia="zh-CN"/>
              </w:rPr>
              <w:t>29</w:t>
            </w:r>
          </w:p>
        </w:tc>
        <w:tc>
          <w:tcPr>
            <w:tcW w:w="528" w:type="pct"/>
            <w:vMerge w:val="continue"/>
            <w:tcBorders>
              <w:tl2br w:val="nil"/>
              <w:tr2bl w:val="nil"/>
            </w:tcBorders>
            <w:tcMar>
              <w:left w:w="28" w:type="dxa"/>
              <w:right w:w="28" w:type="dxa"/>
            </w:tcMar>
            <w:vAlign w:val="center"/>
          </w:tcPr>
          <w:p w14:paraId="485D403F">
            <w:pPr>
              <w:pStyle w:val="34"/>
              <w:jc w:val="center"/>
              <w:rPr>
                <w:color w:val="auto"/>
              </w:rPr>
            </w:pPr>
          </w:p>
        </w:tc>
        <w:tc>
          <w:tcPr>
            <w:tcW w:w="1156" w:type="pct"/>
            <w:tcBorders>
              <w:tl2br w:val="nil"/>
              <w:tr2bl w:val="nil"/>
            </w:tcBorders>
            <w:tcMar>
              <w:left w:w="28" w:type="dxa"/>
              <w:right w:w="28" w:type="dxa"/>
            </w:tcMar>
            <w:vAlign w:val="center"/>
          </w:tcPr>
          <w:p w14:paraId="49A711EF">
            <w:pPr>
              <w:pStyle w:val="34"/>
              <w:jc w:val="center"/>
              <w:rPr>
                <w:color w:val="auto"/>
              </w:rPr>
            </w:pPr>
            <w:r>
              <w:rPr>
                <w:rFonts w:hint="eastAsia"/>
                <w:color w:val="auto"/>
              </w:rPr>
              <w:t>生物显微镜</w:t>
            </w:r>
          </w:p>
        </w:tc>
        <w:tc>
          <w:tcPr>
            <w:tcW w:w="521" w:type="pct"/>
            <w:tcBorders>
              <w:tl2br w:val="nil"/>
              <w:tr2bl w:val="nil"/>
            </w:tcBorders>
            <w:shd w:val="clear" w:color="auto" w:fill="auto"/>
            <w:tcMar>
              <w:left w:w="28" w:type="dxa"/>
              <w:right w:w="28" w:type="dxa"/>
            </w:tcMar>
            <w:vAlign w:val="center"/>
          </w:tcPr>
          <w:p w14:paraId="4FBBCDC9">
            <w:pPr>
              <w:pStyle w:val="34"/>
              <w:jc w:val="center"/>
              <w:rPr>
                <w:rFonts w:hint="eastAsia" w:eastAsia="宋体"/>
                <w:color w:val="auto"/>
                <w:lang w:val="en-US" w:eastAsia="zh-CN"/>
              </w:rPr>
            </w:pPr>
            <w:r>
              <w:rPr>
                <w:rFonts w:hint="eastAsia"/>
                <w:color w:val="auto"/>
                <w:lang w:val="en-US" w:eastAsia="zh-CN"/>
              </w:rPr>
              <w:t>1</w:t>
            </w:r>
          </w:p>
        </w:tc>
        <w:tc>
          <w:tcPr>
            <w:tcW w:w="558" w:type="pct"/>
            <w:tcBorders>
              <w:tl2br w:val="nil"/>
              <w:tr2bl w:val="nil"/>
            </w:tcBorders>
            <w:vAlign w:val="center"/>
          </w:tcPr>
          <w:p w14:paraId="1244F2D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sz w:val="21"/>
                <w:szCs w:val="21"/>
              </w:rPr>
            </w:pPr>
            <w:r>
              <w:rPr>
                <w:rFonts w:hint="eastAsia"/>
                <w:color w:val="auto"/>
                <w:sz w:val="21"/>
                <w:szCs w:val="21"/>
                <w:lang w:eastAsia="zh-CN"/>
              </w:rPr>
              <w:t>台</w:t>
            </w:r>
          </w:p>
        </w:tc>
        <w:tc>
          <w:tcPr>
            <w:tcW w:w="757" w:type="pct"/>
            <w:vMerge w:val="continue"/>
            <w:tcBorders>
              <w:tl2br w:val="nil"/>
              <w:tr2bl w:val="nil"/>
            </w:tcBorders>
            <w:vAlign w:val="center"/>
          </w:tcPr>
          <w:p w14:paraId="7D73DD42">
            <w:pPr>
              <w:pStyle w:val="34"/>
              <w:jc w:val="center"/>
              <w:rPr>
                <w:color w:val="auto"/>
              </w:rPr>
            </w:pPr>
          </w:p>
        </w:tc>
        <w:tc>
          <w:tcPr>
            <w:tcW w:w="424" w:type="pct"/>
            <w:vMerge w:val="continue"/>
            <w:tcBorders>
              <w:tl2br w:val="nil"/>
              <w:tr2bl w:val="nil"/>
            </w:tcBorders>
            <w:vAlign w:val="center"/>
          </w:tcPr>
          <w:p w14:paraId="4CDA8DC0">
            <w:pPr>
              <w:pStyle w:val="34"/>
              <w:jc w:val="center"/>
              <w:rPr>
                <w:color w:val="auto"/>
              </w:rPr>
            </w:pPr>
          </w:p>
        </w:tc>
        <w:tc>
          <w:tcPr>
            <w:tcW w:w="724" w:type="pct"/>
            <w:vMerge w:val="continue"/>
            <w:tcBorders>
              <w:tl2br w:val="nil"/>
              <w:tr2bl w:val="nil"/>
            </w:tcBorders>
            <w:vAlign w:val="center"/>
          </w:tcPr>
          <w:p w14:paraId="3EE68A54">
            <w:pPr>
              <w:pStyle w:val="34"/>
              <w:jc w:val="center"/>
              <w:rPr>
                <w:color w:val="auto"/>
              </w:rPr>
            </w:pPr>
          </w:p>
        </w:tc>
      </w:tr>
    </w:tbl>
    <w:p w14:paraId="03CFEDAF">
      <w:pPr>
        <w:pStyle w:val="31"/>
        <w:ind w:left="0" w:leftChars="0" w:firstLine="0" w:firstLineChars="0"/>
        <w:rPr>
          <w:color w:val="auto"/>
        </w:rPr>
      </w:pPr>
    </w:p>
    <w:p w14:paraId="4398CC72">
      <w:pPr>
        <w:pStyle w:val="31"/>
        <w:rPr>
          <w:color w:val="auto"/>
        </w:rPr>
      </w:pPr>
    </w:p>
    <w:p w14:paraId="51548A15">
      <w:pPr>
        <w:pStyle w:val="31"/>
        <w:rPr>
          <w:color w:val="auto"/>
        </w:rPr>
        <w:sectPr>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3063B62D">
      <w:pPr>
        <w:pStyle w:val="4"/>
        <w:spacing w:before="156" w:after="156"/>
        <w:rPr>
          <w:color w:val="auto"/>
        </w:rPr>
      </w:pPr>
      <w:bookmarkStart w:id="85" w:name="_Toc25170"/>
      <w:bookmarkStart w:id="86" w:name="_Toc476314975"/>
      <w:r>
        <w:rPr>
          <w:rFonts w:hint="eastAsia"/>
          <w:color w:val="auto"/>
          <w:lang w:val="en-US" w:eastAsia="zh-CN"/>
        </w:rPr>
        <w:t>5</w:t>
      </w:r>
      <w:r>
        <w:rPr>
          <w:rFonts w:hint="eastAsia"/>
          <w:color w:val="auto"/>
        </w:rPr>
        <w:t>预警与信息报送</w:t>
      </w:r>
      <w:bookmarkEnd w:id="85"/>
      <w:bookmarkEnd w:id="86"/>
    </w:p>
    <w:p w14:paraId="6B13EF68">
      <w:pPr>
        <w:pStyle w:val="5"/>
        <w:spacing w:before="156" w:after="156"/>
        <w:rPr>
          <w:color w:val="auto"/>
        </w:rPr>
      </w:pPr>
      <w:bookmarkStart w:id="87" w:name="_Toc21865"/>
      <w:bookmarkStart w:id="88" w:name="_Toc476314976"/>
      <w:r>
        <w:rPr>
          <w:rFonts w:hint="eastAsia"/>
          <w:color w:val="auto"/>
          <w:lang w:eastAsia="zh-CN"/>
        </w:rPr>
        <w:t>5.</w:t>
      </w:r>
      <w:r>
        <w:rPr>
          <w:rFonts w:hint="eastAsia"/>
          <w:color w:val="auto"/>
        </w:rPr>
        <w:t>1报警、通讯联络方式</w:t>
      </w:r>
      <w:bookmarkEnd w:id="87"/>
      <w:bookmarkEnd w:id="88"/>
    </w:p>
    <w:p w14:paraId="7AE46F6A">
      <w:pPr>
        <w:pStyle w:val="31"/>
        <w:rPr>
          <w:color w:val="auto"/>
        </w:rPr>
      </w:pPr>
      <w:r>
        <w:rPr>
          <w:rFonts w:hint="eastAsia"/>
          <w:color w:val="auto"/>
        </w:rPr>
        <w:t>(1)</w:t>
      </w:r>
      <w:r>
        <w:rPr>
          <w:rFonts w:hint="eastAsia"/>
          <w:color w:val="auto"/>
          <w:lang w:eastAsia="zh-CN"/>
        </w:rPr>
        <w:t>江西洪城水业环保有限公司资溪县分公司</w:t>
      </w:r>
      <w:r>
        <w:rPr>
          <w:rFonts w:hint="eastAsia"/>
          <w:color w:val="auto"/>
        </w:rPr>
        <w:t>环境应急工作日常办事机构设在中控室，实行24小时值班制度。24小时负责人为</w:t>
      </w:r>
      <w:r>
        <w:rPr>
          <w:rFonts w:hint="eastAsia"/>
          <w:color w:val="auto"/>
          <w:lang w:eastAsia="zh-CN"/>
        </w:rPr>
        <w:t>生产部长</w:t>
      </w:r>
      <w:r>
        <w:rPr>
          <w:rFonts w:hint="eastAsia"/>
          <w:color w:val="auto"/>
        </w:rPr>
        <w:t>，值班电话为</w:t>
      </w:r>
      <w:r>
        <w:rPr>
          <w:rFonts w:hint="eastAsia"/>
          <w:color w:val="auto"/>
          <w:lang w:val="en-US" w:eastAsia="zh-CN"/>
        </w:rPr>
        <w:t>15216257357</w:t>
      </w:r>
      <w:r>
        <w:rPr>
          <w:rFonts w:hint="eastAsia"/>
          <w:color w:val="auto"/>
        </w:rPr>
        <w:t>。</w:t>
      </w:r>
    </w:p>
    <w:p w14:paraId="0E843CD1">
      <w:pPr>
        <w:pStyle w:val="31"/>
        <w:rPr>
          <w:color w:val="auto"/>
        </w:rPr>
      </w:pPr>
      <w:r>
        <w:rPr>
          <w:rFonts w:hint="eastAsia"/>
          <w:color w:val="auto"/>
        </w:rPr>
        <w:t>(2)污水厂应急指挥中心成员手机24小时开机，发生紧急情况时可通过手机联系、传递有关应急信息和命令。</w:t>
      </w:r>
    </w:p>
    <w:p w14:paraId="66E14385">
      <w:pPr>
        <w:pStyle w:val="31"/>
        <w:rPr>
          <w:color w:val="auto"/>
        </w:rPr>
      </w:pPr>
      <w:r>
        <w:rPr>
          <w:rFonts w:hint="eastAsia"/>
          <w:color w:val="auto"/>
        </w:rPr>
        <w:t>(3)厂区污水进、出水口设置了自动在线监测系统，可实时监控进出水水质情况。</w:t>
      </w:r>
    </w:p>
    <w:p w14:paraId="1A59B467">
      <w:pPr>
        <w:pStyle w:val="5"/>
        <w:spacing w:before="156" w:after="156"/>
        <w:rPr>
          <w:color w:val="auto"/>
        </w:rPr>
      </w:pPr>
      <w:bookmarkStart w:id="89" w:name="_Toc29950"/>
      <w:bookmarkStart w:id="90" w:name="_Toc476314977"/>
      <w:r>
        <w:rPr>
          <w:rFonts w:hint="eastAsia"/>
          <w:color w:val="auto"/>
          <w:lang w:eastAsia="zh-CN"/>
        </w:rPr>
        <w:t>5.</w:t>
      </w:r>
      <w:r>
        <w:rPr>
          <w:rFonts w:hint="eastAsia"/>
          <w:color w:val="auto"/>
        </w:rPr>
        <w:t>2信息报告与处置</w:t>
      </w:r>
      <w:bookmarkEnd w:id="89"/>
      <w:bookmarkEnd w:id="90"/>
    </w:p>
    <w:p w14:paraId="44E25675">
      <w:pPr>
        <w:pStyle w:val="31"/>
        <w:rPr>
          <w:color w:val="auto"/>
        </w:rPr>
      </w:pPr>
      <w:r>
        <w:rPr>
          <w:rFonts w:hint="eastAsia"/>
          <w:color w:val="auto"/>
          <w:lang w:eastAsia="zh-CN"/>
        </w:rPr>
        <w:t>江西洪城水业环保有限公司资溪县分公司</w:t>
      </w:r>
      <w:r>
        <w:rPr>
          <w:rFonts w:hint="eastAsia"/>
          <w:color w:val="auto"/>
        </w:rPr>
        <w:t>突发环境事件责任人或负有监管责任的人员发现突发环境事件后，立即采取应对措施，并立即向污水厂应急指挥中心报告，同时组织现场调查。</w:t>
      </w:r>
    </w:p>
    <w:p w14:paraId="63D463C5">
      <w:pPr>
        <w:pStyle w:val="31"/>
        <w:rPr>
          <w:color w:val="auto"/>
        </w:rPr>
      </w:pPr>
      <w:r>
        <w:rPr>
          <w:rFonts w:hint="eastAsia"/>
          <w:color w:val="auto"/>
        </w:rPr>
        <w:t>污水厂应急指挥中心接到突发环境事件报告后，立即组织开展应急救援，同时根据现场事态发展情况，决定是否向周边企业请求支援，若超出企业应急救援能力时，立即向</w:t>
      </w:r>
      <w:r>
        <w:rPr>
          <w:rFonts w:hint="eastAsia"/>
          <w:color w:val="auto"/>
          <w:lang w:eastAsia="zh-CN"/>
        </w:rPr>
        <w:t>资溪县</w:t>
      </w:r>
      <w:r>
        <w:rPr>
          <w:rFonts w:hint="eastAsia"/>
          <w:color w:val="auto"/>
        </w:rPr>
        <w:t>人民政府、</w:t>
      </w:r>
      <w:r>
        <w:rPr>
          <w:rFonts w:hint="eastAsia"/>
          <w:color w:val="auto"/>
          <w:lang w:eastAsia="zh-CN"/>
        </w:rPr>
        <w:t>抚州市资溪生态环境局</w:t>
      </w:r>
      <w:r>
        <w:rPr>
          <w:rFonts w:hint="eastAsia"/>
          <w:color w:val="auto"/>
        </w:rPr>
        <w:t>报告。</w:t>
      </w:r>
    </w:p>
    <w:p w14:paraId="04803BFE">
      <w:pPr>
        <w:pStyle w:val="6"/>
        <w:spacing w:before="156" w:after="156"/>
        <w:rPr>
          <w:color w:val="auto"/>
        </w:rPr>
      </w:pPr>
      <w:r>
        <w:rPr>
          <w:rFonts w:hint="eastAsia"/>
          <w:color w:val="auto"/>
          <w:lang w:eastAsia="zh-CN"/>
        </w:rPr>
        <w:t>5.</w:t>
      </w:r>
      <w:r>
        <w:rPr>
          <w:rFonts w:hint="eastAsia"/>
          <w:color w:val="auto"/>
        </w:rPr>
        <w:t>2.1信息上报</w:t>
      </w:r>
    </w:p>
    <w:p w14:paraId="7F0F42E6">
      <w:pPr>
        <w:pStyle w:val="31"/>
        <w:rPr>
          <w:color w:val="auto"/>
        </w:rPr>
      </w:pPr>
      <w:r>
        <w:rPr>
          <w:rFonts w:hint="eastAsia"/>
          <w:color w:val="auto"/>
          <w:lang w:eastAsia="zh-CN"/>
        </w:rPr>
        <w:t>江西洪城水业环保有限公司资溪县分公司</w:t>
      </w:r>
      <w:r>
        <w:rPr>
          <w:rFonts w:hint="eastAsia"/>
          <w:color w:val="auto"/>
        </w:rPr>
        <w:t>发生突发环境事件后，启动Ⅰ级应急响应级别的，污水厂应急指挥中心及时向</w:t>
      </w:r>
      <w:r>
        <w:rPr>
          <w:rFonts w:hint="eastAsia"/>
          <w:color w:val="auto"/>
          <w:lang w:eastAsia="zh-CN"/>
        </w:rPr>
        <w:t>资溪县</w:t>
      </w:r>
      <w:r>
        <w:rPr>
          <w:rFonts w:hint="eastAsia"/>
          <w:color w:val="auto"/>
        </w:rPr>
        <w:t>人民政府、</w:t>
      </w:r>
      <w:r>
        <w:rPr>
          <w:rFonts w:hint="eastAsia"/>
          <w:color w:val="auto"/>
          <w:lang w:eastAsia="zh-CN"/>
        </w:rPr>
        <w:t>抚州市资溪生态环境局</w:t>
      </w:r>
      <w:r>
        <w:rPr>
          <w:rFonts w:hint="eastAsia"/>
          <w:color w:val="auto"/>
        </w:rPr>
        <w:t>报告，若涉及安全生产事故导致的突发环境事件，及时上报</w:t>
      </w:r>
      <w:r>
        <w:rPr>
          <w:rFonts w:hint="eastAsia"/>
          <w:color w:val="auto"/>
          <w:lang w:eastAsia="zh-CN"/>
        </w:rPr>
        <w:t>资溪县</w:t>
      </w:r>
      <w:r>
        <w:rPr>
          <w:rFonts w:hint="eastAsia"/>
          <w:color w:val="auto"/>
        </w:rPr>
        <w:t>安监局。</w:t>
      </w:r>
    </w:p>
    <w:p w14:paraId="009EB8DA">
      <w:pPr>
        <w:pStyle w:val="31"/>
        <w:rPr>
          <w:color w:val="auto"/>
        </w:rPr>
      </w:pPr>
      <w:r>
        <w:rPr>
          <w:rFonts w:hint="eastAsia"/>
          <w:color w:val="auto"/>
        </w:rPr>
        <w:t>突发环境事件的信息报告分为初报、续报和处理结果报告三类。</w:t>
      </w:r>
    </w:p>
    <w:p w14:paraId="664B2FEC">
      <w:pPr>
        <w:pStyle w:val="31"/>
        <w:rPr>
          <w:color w:val="auto"/>
        </w:rPr>
      </w:pPr>
      <w:r>
        <w:rPr>
          <w:rFonts w:hint="eastAsia"/>
          <w:color w:val="auto"/>
        </w:rPr>
        <w:t>(1)初报</w:t>
      </w:r>
    </w:p>
    <w:p w14:paraId="4C7116A4">
      <w:pPr>
        <w:pStyle w:val="31"/>
        <w:rPr>
          <w:color w:val="auto"/>
        </w:rPr>
      </w:pPr>
      <w:r>
        <w:rPr>
          <w:rFonts w:hint="eastAsia"/>
          <w:color w:val="auto"/>
        </w:rPr>
        <w:t>初报是</w:t>
      </w:r>
      <w:r>
        <w:rPr>
          <w:color w:val="auto"/>
        </w:rPr>
        <w:t>发现或者得知突发环境事件后首次上报</w:t>
      </w:r>
      <w:r>
        <w:rPr>
          <w:rFonts w:hint="eastAsia"/>
          <w:color w:val="auto"/>
        </w:rPr>
        <w:t>。</w:t>
      </w:r>
      <w:r>
        <w:rPr>
          <w:rFonts w:hint="eastAsia"/>
          <w:color w:val="auto"/>
          <w:lang w:eastAsia="zh-CN"/>
        </w:rPr>
        <w:t>江西洪城水业环保有限公司资溪县分公司应急指挥中心</w:t>
      </w:r>
      <w:r>
        <w:rPr>
          <w:color w:val="auto"/>
        </w:rPr>
        <w:t>在发现或者得知突发环境事件信息后，立即进行核实，对突发环境事件的性质和类别做出初步认定。</w:t>
      </w:r>
    </w:p>
    <w:p w14:paraId="02F05FCD">
      <w:pPr>
        <w:pStyle w:val="31"/>
        <w:rPr>
          <w:color w:val="auto"/>
        </w:rPr>
      </w:pPr>
      <w:r>
        <w:rPr>
          <w:rFonts w:hint="eastAsia"/>
          <w:color w:val="auto"/>
        </w:rPr>
        <w:t>初报可采用电话直接报告，主要内容包括：</w:t>
      </w:r>
      <w:r>
        <w:rPr>
          <w:color w:val="auto"/>
        </w:rPr>
        <w:t>突发环境事件的发生时间、地点、信息来源、事件起因和性质、基本过程、主要污染物和数量、监测数据、人员受害情况等环境敏感点受影响情况、事件发展趋势、处置情况、拟采取的措施以及下一步工作建议等初步情况，并提供可能受到突发环境事件影响的环境敏感点的分布示意图</w:t>
      </w:r>
      <w:r>
        <w:rPr>
          <w:rFonts w:hint="eastAsia"/>
          <w:color w:val="auto"/>
        </w:rPr>
        <w:t>。</w:t>
      </w:r>
    </w:p>
    <w:p w14:paraId="180AACEC">
      <w:pPr>
        <w:pStyle w:val="31"/>
        <w:rPr>
          <w:color w:val="auto"/>
        </w:rPr>
      </w:pPr>
      <w:r>
        <w:rPr>
          <w:rFonts w:hint="eastAsia"/>
          <w:color w:val="auto"/>
        </w:rPr>
        <w:t>(2)续报</w:t>
      </w:r>
    </w:p>
    <w:p w14:paraId="5031B1E9">
      <w:pPr>
        <w:pStyle w:val="31"/>
        <w:rPr>
          <w:color w:val="auto"/>
        </w:rPr>
      </w:pPr>
      <w:r>
        <w:rPr>
          <w:rFonts w:hint="eastAsia"/>
          <w:color w:val="auto"/>
        </w:rPr>
        <w:t>续报在查清突发环境事件有关基本情况后随时上报。续报可通过网络或书面报告，视突发环境事件进展情况可一次或多次报告。在初报的基础上报告突发环境事件有关确切数据、发生的原因、过程、进展情况、危害程度及采取的应急措施、措施效果等基本情况。</w:t>
      </w:r>
    </w:p>
    <w:p w14:paraId="4B3C0DB7">
      <w:pPr>
        <w:pStyle w:val="31"/>
        <w:rPr>
          <w:color w:val="auto"/>
        </w:rPr>
      </w:pPr>
      <w:r>
        <w:rPr>
          <w:color w:val="auto"/>
        </w:rPr>
        <w:t>突发环境事件处置过程中事件级别发生变化的，当按照变化后的级别报告信息。</w:t>
      </w:r>
    </w:p>
    <w:p w14:paraId="2F27A4B7">
      <w:pPr>
        <w:pStyle w:val="31"/>
        <w:rPr>
          <w:color w:val="auto"/>
        </w:rPr>
      </w:pPr>
      <w:r>
        <w:rPr>
          <w:rFonts w:hint="eastAsia"/>
          <w:color w:val="auto"/>
        </w:rPr>
        <w:t>(3)处理结果报告</w:t>
      </w:r>
    </w:p>
    <w:p w14:paraId="05AAE797">
      <w:pPr>
        <w:pStyle w:val="31"/>
        <w:rPr>
          <w:color w:val="auto"/>
        </w:rPr>
      </w:pPr>
      <w:r>
        <w:rPr>
          <w:rFonts w:hint="eastAsia"/>
          <w:color w:val="auto"/>
        </w:rPr>
        <w:t>处理结果报告在突发环境事件处理完毕后上报。处理结果报告采用书面报告，处理结果报告在初报和续报的基础上，报告处理突发环境事件的措施、过程和结果，事件潜在或间接的危害及损失、社会影响、处理后的遗留问题、参加处理工作的有关部门和工作内容，出具有关危害与损失的证明文件、责任追究等详细情况。处理结果报告在突发环境事件处理完毕后立即报送。</w:t>
      </w:r>
    </w:p>
    <w:p w14:paraId="26E7BD88">
      <w:pPr>
        <w:pStyle w:val="6"/>
        <w:spacing w:before="156" w:after="156"/>
        <w:rPr>
          <w:color w:val="auto"/>
        </w:rPr>
      </w:pPr>
      <w:r>
        <w:rPr>
          <w:rFonts w:hint="eastAsia"/>
          <w:color w:val="auto"/>
          <w:lang w:eastAsia="zh-CN"/>
        </w:rPr>
        <w:t>5.</w:t>
      </w:r>
      <w:r>
        <w:rPr>
          <w:rFonts w:hint="eastAsia"/>
          <w:color w:val="auto"/>
        </w:rPr>
        <w:t>2.2信息搜集与发布</w:t>
      </w:r>
    </w:p>
    <w:p w14:paraId="2815C36C">
      <w:pPr>
        <w:pStyle w:val="31"/>
        <w:rPr>
          <w:color w:val="auto"/>
        </w:rPr>
      </w:pPr>
      <w:r>
        <w:rPr>
          <w:rFonts w:hint="eastAsia"/>
          <w:color w:val="auto"/>
        </w:rPr>
        <w:t>突发环境事件发生后，为了让社会了解客观事实真相，防止不利于</w:t>
      </w:r>
      <w:r>
        <w:rPr>
          <w:rFonts w:hint="eastAsia"/>
          <w:color w:val="auto"/>
          <w:lang w:eastAsia="zh-CN"/>
        </w:rPr>
        <w:t>江西洪城水业环保有限公司资溪县分公司</w:t>
      </w:r>
      <w:r>
        <w:rPr>
          <w:rFonts w:hint="eastAsia"/>
          <w:color w:val="auto"/>
        </w:rPr>
        <w:t>和社会安定的谣言和信息产生、流传，</w:t>
      </w:r>
      <w:r>
        <w:rPr>
          <w:rFonts w:hint="eastAsia"/>
          <w:color w:val="auto"/>
          <w:lang w:eastAsia="zh-CN"/>
        </w:rPr>
        <w:t>江西洪城水业环保有限公司资溪县分公司</w:t>
      </w:r>
      <w:r>
        <w:rPr>
          <w:rFonts w:hint="eastAsia"/>
          <w:color w:val="auto"/>
        </w:rPr>
        <w:t>立即开展信息搜集工作，并及时向</w:t>
      </w:r>
      <w:r>
        <w:rPr>
          <w:rFonts w:hint="eastAsia"/>
          <w:color w:val="auto"/>
          <w:lang w:eastAsia="zh-CN"/>
        </w:rPr>
        <w:t>资溪县</w:t>
      </w:r>
      <w:r>
        <w:rPr>
          <w:rFonts w:hint="eastAsia"/>
          <w:color w:val="auto"/>
        </w:rPr>
        <w:t>人民政府、</w:t>
      </w:r>
      <w:r>
        <w:rPr>
          <w:rFonts w:hint="eastAsia"/>
          <w:color w:val="auto"/>
          <w:lang w:eastAsia="zh-CN"/>
        </w:rPr>
        <w:t>抚州市资溪生态环境局</w:t>
      </w:r>
      <w:r>
        <w:rPr>
          <w:rFonts w:hint="eastAsia"/>
          <w:color w:val="auto"/>
        </w:rPr>
        <w:t>报告，由政府有关部门发布准确信息</w:t>
      </w:r>
      <w:r>
        <w:rPr>
          <w:color w:val="auto"/>
        </w:rPr>
        <w:t>。</w:t>
      </w:r>
    </w:p>
    <w:p w14:paraId="3DDCB0F7">
      <w:pPr>
        <w:pStyle w:val="31"/>
        <w:rPr>
          <w:color w:val="auto"/>
        </w:rPr>
      </w:pPr>
    </w:p>
    <w:p w14:paraId="65414BB6">
      <w:pPr>
        <w:pStyle w:val="31"/>
        <w:rPr>
          <w:color w:val="auto"/>
        </w:rPr>
      </w:pPr>
    </w:p>
    <w:p w14:paraId="03821CD2">
      <w:pPr>
        <w:pStyle w:val="31"/>
        <w:rPr>
          <w:color w:val="auto"/>
        </w:rPr>
      </w:pPr>
    </w:p>
    <w:p w14:paraId="1980216C">
      <w:pPr>
        <w:pStyle w:val="31"/>
        <w:rPr>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063197B4">
      <w:pPr>
        <w:pStyle w:val="4"/>
        <w:spacing w:before="156" w:after="156"/>
        <w:rPr>
          <w:color w:val="auto"/>
        </w:rPr>
      </w:pPr>
      <w:bookmarkStart w:id="91" w:name="_Toc476314978"/>
      <w:bookmarkStart w:id="92" w:name="_Toc10399"/>
      <w:r>
        <w:rPr>
          <w:rFonts w:hint="eastAsia"/>
          <w:color w:val="auto"/>
          <w:lang w:val="en-US" w:eastAsia="zh-CN"/>
        </w:rPr>
        <w:t>6</w:t>
      </w:r>
      <w:r>
        <w:rPr>
          <w:rFonts w:hint="eastAsia"/>
          <w:color w:val="auto"/>
        </w:rPr>
        <w:t>应急响应和措施</w:t>
      </w:r>
      <w:bookmarkEnd w:id="91"/>
      <w:bookmarkEnd w:id="92"/>
    </w:p>
    <w:p w14:paraId="1DB79859">
      <w:pPr>
        <w:pStyle w:val="5"/>
        <w:spacing w:before="156" w:after="156"/>
        <w:rPr>
          <w:color w:val="auto"/>
        </w:rPr>
      </w:pPr>
      <w:bookmarkStart w:id="93" w:name="_Toc8138"/>
      <w:bookmarkStart w:id="94" w:name="_Toc476314979"/>
      <w:r>
        <w:rPr>
          <w:rFonts w:hint="eastAsia"/>
          <w:color w:val="auto"/>
          <w:lang w:eastAsia="zh-CN"/>
        </w:rPr>
        <w:t>6.</w:t>
      </w:r>
      <w:r>
        <w:rPr>
          <w:rFonts w:hint="eastAsia"/>
          <w:color w:val="auto"/>
        </w:rPr>
        <w:t>1分级响应机制</w:t>
      </w:r>
      <w:bookmarkEnd w:id="93"/>
      <w:bookmarkEnd w:id="94"/>
    </w:p>
    <w:p w14:paraId="356F986A">
      <w:pPr>
        <w:pStyle w:val="31"/>
        <w:rPr>
          <w:color w:val="auto"/>
        </w:rPr>
      </w:pPr>
      <w:r>
        <w:rPr>
          <w:rFonts w:hint="eastAsia"/>
          <w:color w:val="auto"/>
        </w:rPr>
        <w:t>根据国家突发环境事件应急预案，突发环境事件分级标准按照突发事件严重性和紧急程度，可分为特别重大环境事件(Ⅰ级）、重大环境事件（Ⅱ级）、较大环境事件（Ⅲ级）、</w:t>
      </w:r>
      <w:bookmarkStart w:id="95" w:name="OLE_LINK9"/>
      <w:r>
        <w:rPr>
          <w:rFonts w:hint="eastAsia"/>
          <w:color w:val="auto"/>
        </w:rPr>
        <w:t>一般环境事件（Ⅳ级）</w:t>
      </w:r>
      <w:bookmarkEnd w:id="95"/>
      <w:bookmarkStart w:id="96" w:name="3_1"/>
      <w:bookmarkEnd w:id="96"/>
      <w:r>
        <w:rPr>
          <w:rFonts w:hint="eastAsia"/>
          <w:color w:val="auto"/>
        </w:rPr>
        <w:t>，具体分级标准见表</w:t>
      </w:r>
      <w:r>
        <w:rPr>
          <w:rFonts w:hint="eastAsia"/>
          <w:color w:val="auto"/>
          <w:lang w:eastAsia="zh-CN"/>
        </w:rPr>
        <w:t>6.</w:t>
      </w:r>
      <w:r>
        <w:rPr>
          <w:rFonts w:hint="eastAsia"/>
          <w:color w:val="auto"/>
        </w:rPr>
        <w:t>1-1。</w:t>
      </w:r>
    </w:p>
    <w:p w14:paraId="629E8D35">
      <w:pPr>
        <w:pStyle w:val="32"/>
        <w:spacing w:before="156"/>
        <w:rPr>
          <w:color w:val="auto"/>
        </w:rPr>
      </w:pPr>
      <w:r>
        <w:rPr>
          <w:rFonts w:hint="eastAsia"/>
          <w:color w:val="auto"/>
        </w:rPr>
        <w:t>表</w:t>
      </w:r>
      <w:r>
        <w:rPr>
          <w:rFonts w:hint="eastAsia"/>
          <w:color w:val="auto"/>
          <w:lang w:eastAsia="zh-CN"/>
        </w:rPr>
        <w:t>6.</w:t>
      </w:r>
      <w:r>
        <w:rPr>
          <w:rFonts w:hint="eastAsia"/>
          <w:color w:val="auto"/>
        </w:rPr>
        <w:t>1-1   突发环境事件分级标准</w:t>
      </w:r>
    </w:p>
    <w:tbl>
      <w:tblPr>
        <w:tblStyle w:val="23"/>
        <w:tblW w:w="83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14"/>
        <w:gridCol w:w="7348"/>
      </w:tblGrid>
      <w:tr w14:paraId="6D3781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1014" w:type="dxa"/>
            <w:tcBorders>
              <w:bottom w:val="double" w:color="auto" w:sz="4" w:space="0"/>
            </w:tcBorders>
            <w:tcMar>
              <w:left w:w="28" w:type="dxa"/>
              <w:right w:w="28" w:type="dxa"/>
            </w:tcMar>
            <w:vAlign w:val="center"/>
          </w:tcPr>
          <w:p w14:paraId="04740D0D">
            <w:pPr>
              <w:pStyle w:val="34"/>
              <w:rPr>
                <w:color w:val="auto"/>
              </w:rPr>
            </w:pPr>
            <w:r>
              <w:rPr>
                <w:rFonts w:hint="eastAsia"/>
                <w:color w:val="auto"/>
              </w:rPr>
              <w:t>事件级别</w:t>
            </w:r>
          </w:p>
        </w:tc>
        <w:tc>
          <w:tcPr>
            <w:tcW w:w="7348" w:type="dxa"/>
            <w:tcBorders>
              <w:bottom w:val="double" w:color="auto" w:sz="4" w:space="0"/>
            </w:tcBorders>
            <w:vAlign w:val="center"/>
          </w:tcPr>
          <w:p w14:paraId="34D372DF">
            <w:pPr>
              <w:pStyle w:val="34"/>
              <w:rPr>
                <w:color w:val="auto"/>
              </w:rPr>
            </w:pPr>
            <w:r>
              <w:rPr>
                <w:rFonts w:hint="eastAsia"/>
                <w:color w:val="auto"/>
              </w:rPr>
              <w:t>判定标准</w:t>
            </w:r>
          </w:p>
        </w:tc>
      </w:tr>
      <w:tr w14:paraId="0EE89A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40" w:hRule="atLeast"/>
          <w:jc w:val="center"/>
        </w:trPr>
        <w:tc>
          <w:tcPr>
            <w:tcW w:w="1014" w:type="dxa"/>
            <w:tcBorders>
              <w:top w:val="double" w:color="auto" w:sz="4" w:space="0"/>
              <w:tl2br w:val="nil"/>
              <w:tr2bl w:val="nil"/>
            </w:tcBorders>
            <w:tcMar>
              <w:left w:w="28" w:type="dxa"/>
              <w:right w:w="28" w:type="dxa"/>
            </w:tcMar>
            <w:vAlign w:val="center"/>
          </w:tcPr>
          <w:p w14:paraId="132D5EED">
            <w:pPr>
              <w:pStyle w:val="34"/>
              <w:rPr>
                <w:color w:val="auto"/>
              </w:rPr>
            </w:pPr>
            <w:r>
              <w:rPr>
                <w:rFonts w:hint="eastAsia"/>
                <w:color w:val="auto"/>
              </w:rPr>
              <w:t>特别重大环境事件(Ⅰ级）</w:t>
            </w:r>
          </w:p>
        </w:tc>
        <w:tc>
          <w:tcPr>
            <w:tcW w:w="7348" w:type="dxa"/>
            <w:tcBorders>
              <w:top w:val="double" w:color="auto" w:sz="4" w:space="0"/>
              <w:tl2br w:val="nil"/>
              <w:tr2bl w:val="nil"/>
            </w:tcBorders>
          </w:tcPr>
          <w:p w14:paraId="3FE16739">
            <w:pPr>
              <w:pStyle w:val="34"/>
              <w:jc w:val="both"/>
              <w:rPr>
                <w:color w:val="auto"/>
              </w:rPr>
            </w:pPr>
            <w:r>
              <w:rPr>
                <w:rFonts w:hint="eastAsia"/>
                <w:color w:val="auto"/>
              </w:rPr>
              <w:t>1.因环境污染直接导致30人以上死亡或100人以上中毒或重伤的;</w:t>
            </w:r>
          </w:p>
          <w:p w14:paraId="2F902890">
            <w:pPr>
              <w:pStyle w:val="34"/>
              <w:jc w:val="both"/>
              <w:rPr>
                <w:color w:val="auto"/>
              </w:rPr>
            </w:pPr>
            <w:r>
              <w:rPr>
                <w:rFonts w:hint="eastAsia"/>
                <w:color w:val="auto"/>
              </w:rPr>
              <w:t>2.因环境污染疏散、转移人员5万人以上的;</w:t>
            </w:r>
          </w:p>
          <w:p w14:paraId="11A350A5">
            <w:pPr>
              <w:pStyle w:val="34"/>
              <w:jc w:val="both"/>
              <w:rPr>
                <w:color w:val="auto"/>
              </w:rPr>
            </w:pPr>
            <w:r>
              <w:rPr>
                <w:rFonts w:hint="eastAsia"/>
                <w:color w:val="auto"/>
              </w:rPr>
              <w:t>3.因环境污染造成直接经济损失1亿元以上的;</w:t>
            </w:r>
          </w:p>
          <w:p w14:paraId="5885D0DF">
            <w:pPr>
              <w:pStyle w:val="34"/>
              <w:jc w:val="both"/>
              <w:rPr>
                <w:color w:val="auto"/>
              </w:rPr>
            </w:pPr>
            <w:r>
              <w:rPr>
                <w:rFonts w:hint="eastAsia"/>
                <w:color w:val="auto"/>
              </w:rPr>
              <w:t>4.因环境污染造成区域生态功能丧失或该区域国家重点保护物种灭绝的;</w:t>
            </w:r>
          </w:p>
          <w:p w14:paraId="479DC317">
            <w:pPr>
              <w:pStyle w:val="34"/>
              <w:jc w:val="both"/>
              <w:rPr>
                <w:color w:val="auto"/>
              </w:rPr>
            </w:pPr>
            <w:r>
              <w:rPr>
                <w:rFonts w:hint="eastAsia"/>
                <w:color w:val="auto"/>
              </w:rPr>
              <w:t>5.因环境污染造成设区的市级以上城市集中式饮用水水源地取水中断的;</w:t>
            </w:r>
          </w:p>
          <w:p w14:paraId="437B7831">
            <w:pPr>
              <w:pStyle w:val="34"/>
              <w:jc w:val="both"/>
              <w:rPr>
                <w:color w:val="auto"/>
              </w:rPr>
            </w:pPr>
            <w:r>
              <w:rPr>
                <w:rFonts w:hint="eastAsia"/>
                <w:color w:val="auto"/>
              </w:rPr>
              <w:t>6.Ⅰ、Ⅱ类放射源丢失、被盗、失控并造成大范围严重辐射污染后果的;放射性同位素和射线装置失控导致3人以上急性死亡的;放射性物质泄漏，造成大范围辐射污染后果的;</w:t>
            </w:r>
          </w:p>
          <w:p w14:paraId="5EF9B753">
            <w:pPr>
              <w:pStyle w:val="34"/>
              <w:jc w:val="both"/>
              <w:rPr>
                <w:color w:val="auto"/>
              </w:rPr>
            </w:pPr>
            <w:r>
              <w:rPr>
                <w:rFonts w:hint="eastAsia"/>
                <w:color w:val="auto"/>
              </w:rPr>
              <w:t>7.造成重大跨国境影响的境内突发环境事件。</w:t>
            </w:r>
          </w:p>
        </w:tc>
      </w:tr>
      <w:tr w14:paraId="049E2C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63" w:hRule="atLeast"/>
          <w:jc w:val="center"/>
        </w:trPr>
        <w:tc>
          <w:tcPr>
            <w:tcW w:w="1014" w:type="dxa"/>
            <w:tcBorders>
              <w:tl2br w:val="nil"/>
              <w:tr2bl w:val="nil"/>
            </w:tcBorders>
            <w:tcMar>
              <w:left w:w="28" w:type="dxa"/>
              <w:right w:w="28" w:type="dxa"/>
            </w:tcMar>
            <w:vAlign w:val="center"/>
          </w:tcPr>
          <w:p w14:paraId="51F1DEFC">
            <w:pPr>
              <w:pStyle w:val="34"/>
              <w:rPr>
                <w:color w:val="auto"/>
              </w:rPr>
            </w:pPr>
            <w:r>
              <w:rPr>
                <w:rFonts w:hint="eastAsia"/>
                <w:color w:val="auto"/>
              </w:rPr>
              <w:t>重大环境事件</w:t>
            </w:r>
          </w:p>
          <w:p w14:paraId="52FD90B2">
            <w:pPr>
              <w:pStyle w:val="34"/>
              <w:rPr>
                <w:color w:val="auto"/>
              </w:rPr>
            </w:pPr>
            <w:r>
              <w:rPr>
                <w:rFonts w:hint="eastAsia"/>
                <w:color w:val="auto"/>
              </w:rPr>
              <w:t>（Ⅱ级）</w:t>
            </w:r>
          </w:p>
        </w:tc>
        <w:tc>
          <w:tcPr>
            <w:tcW w:w="7348" w:type="dxa"/>
            <w:tcBorders>
              <w:tl2br w:val="nil"/>
              <w:tr2bl w:val="nil"/>
            </w:tcBorders>
          </w:tcPr>
          <w:p w14:paraId="17B92AC5">
            <w:pPr>
              <w:pStyle w:val="34"/>
              <w:jc w:val="both"/>
              <w:rPr>
                <w:color w:val="auto"/>
              </w:rPr>
            </w:pPr>
            <w:r>
              <w:rPr>
                <w:rFonts w:hint="eastAsia"/>
                <w:color w:val="auto"/>
              </w:rPr>
              <w:t>1.因环境污染直接导致10人以上30人以下死亡或50人以上100人以下中毒或重伤的;</w:t>
            </w:r>
          </w:p>
          <w:p w14:paraId="70B26276">
            <w:pPr>
              <w:pStyle w:val="34"/>
              <w:jc w:val="both"/>
              <w:rPr>
                <w:color w:val="auto"/>
              </w:rPr>
            </w:pPr>
            <w:r>
              <w:rPr>
                <w:rFonts w:hint="eastAsia"/>
                <w:color w:val="auto"/>
              </w:rPr>
              <w:t>2.因环境污染疏散、转移人员1万人以上5万人以下的;</w:t>
            </w:r>
          </w:p>
          <w:p w14:paraId="201BF09B">
            <w:pPr>
              <w:pStyle w:val="34"/>
              <w:jc w:val="both"/>
              <w:rPr>
                <w:color w:val="auto"/>
              </w:rPr>
            </w:pPr>
            <w:r>
              <w:rPr>
                <w:rFonts w:hint="eastAsia"/>
                <w:color w:val="auto"/>
              </w:rPr>
              <w:t>3.因环境污染造成直接经济损失2000万元以上1亿元以下的;</w:t>
            </w:r>
          </w:p>
          <w:p w14:paraId="6FFA90C6">
            <w:pPr>
              <w:pStyle w:val="34"/>
              <w:jc w:val="both"/>
              <w:rPr>
                <w:color w:val="auto"/>
              </w:rPr>
            </w:pPr>
            <w:r>
              <w:rPr>
                <w:rFonts w:hint="eastAsia"/>
                <w:color w:val="auto"/>
              </w:rPr>
              <w:t>4.因环境污染造成区域生态功能部分丧失或该区域国家重点保护野生动植物种群大批死亡的;</w:t>
            </w:r>
          </w:p>
          <w:p w14:paraId="1E233075">
            <w:pPr>
              <w:pStyle w:val="34"/>
              <w:jc w:val="both"/>
              <w:rPr>
                <w:color w:val="auto"/>
              </w:rPr>
            </w:pPr>
            <w:r>
              <w:rPr>
                <w:rFonts w:hint="eastAsia"/>
                <w:color w:val="auto"/>
              </w:rPr>
              <w:t>5.因环境污染造成县级城市集中式饮用水水源地取水中断的;</w:t>
            </w:r>
          </w:p>
          <w:p w14:paraId="14825314">
            <w:pPr>
              <w:pStyle w:val="34"/>
              <w:jc w:val="both"/>
              <w:rPr>
                <w:color w:val="auto"/>
              </w:rPr>
            </w:pPr>
            <w:r>
              <w:rPr>
                <w:rFonts w:hint="eastAsia"/>
                <w:color w:val="auto"/>
              </w:rPr>
              <w:t>6.Ⅰ、Ⅱ类放射源丢失、被盗的;放射性同位素和射线装置失控导致3人以下急性死亡或者10人以上急性重度放射病、局部器官残疾的;放射性物质泄漏，造成较大范围辐射污染后果的;</w:t>
            </w:r>
          </w:p>
          <w:p w14:paraId="1144D734">
            <w:pPr>
              <w:pStyle w:val="34"/>
              <w:jc w:val="both"/>
              <w:rPr>
                <w:color w:val="auto"/>
              </w:rPr>
            </w:pPr>
            <w:r>
              <w:rPr>
                <w:rFonts w:hint="eastAsia"/>
                <w:color w:val="auto"/>
              </w:rPr>
              <w:t>7.造成跨省级行政区域影响的突发环境事件。</w:t>
            </w:r>
          </w:p>
        </w:tc>
      </w:tr>
      <w:tr w14:paraId="20ACAA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55" w:hRule="atLeast"/>
          <w:jc w:val="center"/>
        </w:trPr>
        <w:tc>
          <w:tcPr>
            <w:tcW w:w="1014" w:type="dxa"/>
            <w:tcBorders>
              <w:tl2br w:val="nil"/>
              <w:tr2bl w:val="nil"/>
            </w:tcBorders>
            <w:tcMar>
              <w:left w:w="28" w:type="dxa"/>
              <w:right w:w="28" w:type="dxa"/>
            </w:tcMar>
            <w:vAlign w:val="center"/>
          </w:tcPr>
          <w:p w14:paraId="2D126802">
            <w:pPr>
              <w:pStyle w:val="34"/>
              <w:rPr>
                <w:color w:val="auto"/>
              </w:rPr>
            </w:pPr>
            <w:r>
              <w:rPr>
                <w:rFonts w:hint="eastAsia"/>
                <w:color w:val="auto"/>
              </w:rPr>
              <w:t>较大环境事件</w:t>
            </w:r>
          </w:p>
          <w:p w14:paraId="02AAD094">
            <w:pPr>
              <w:pStyle w:val="34"/>
              <w:rPr>
                <w:color w:val="auto"/>
              </w:rPr>
            </w:pPr>
            <w:r>
              <w:rPr>
                <w:rFonts w:hint="eastAsia"/>
                <w:color w:val="auto"/>
              </w:rPr>
              <w:t>（Ⅲ级）</w:t>
            </w:r>
          </w:p>
        </w:tc>
        <w:tc>
          <w:tcPr>
            <w:tcW w:w="7348" w:type="dxa"/>
            <w:tcBorders>
              <w:tl2br w:val="nil"/>
              <w:tr2bl w:val="nil"/>
            </w:tcBorders>
          </w:tcPr>
          <w:p w14:paraId="24C70555">
            <w:pPr>
              <w:pStyle w:val="34"/>
              <w:jc w:val="both"/>
              <w:rPr>
                <w:color w:val="auto"/>
              </w:rPr>
            </w:pPr>
            <w:r>
              <w:rPr>
                <w:rFonts w:hint="eastAsia"/>
                <w:color w:val="auto"/>
              </w:rPr>
              <w:t>1.因环境污染直接导致3人以上10人以下死亡或10人以上50人以下中毒或重伤的;</w:t>
            </w:r>
          </w:p>
          <w:p w14:paraId="7042B6C9">
            <w:pPr>
              <w:pStyle w:val="34"/>
              <w:jc w:val="both"/>
              <w:rPr>
                <w:color w:val="auto"/>
              </w:rPr>
            </w:pPr>
            <w:r>
              <w:rPr>
                <w:rFonts w:hint="eastAsia"/>
                <w:color w:val="auto"/>
              </w:rPr>
              <w:t>2.因环境污染疏散、转移人员5000人以上1万人以下的;</w:t>
            </w:r>
          </w:p>
          <w:p w14:paraId="747D8482">
            <w:pPr>
              <w:pStyle w:val="34"/>
              <w:jc w:val="both"/>
              <w:rPr>
                <w:color w:val="auto"/>
              </w:rPr>
            </w:pPr>
            <w:r>
              <w:rPr>
                <w:rFonts w:hint="eastAsia"/>
                <w:color w:val="auto"/>
              </w:rPr>
              <w:t>3.因环境污染造成直接经济损失500万元以上2000万元以下的;</w:t>
            </w:r>
          </w:p>
          <w:p w14:paraId="49D9604B">
            <w:pPr>
              <w:pStyle w:val="34"/>
              <w:jc w:val="both"/>
              <w:rPr>
                <w:color w:val="auto"/>
              </w:rPr>
            </w:pPr>
            <w:r>
              <w:rPr>
                <w:rFonts w:hint="eastAsia"/>
                <w:color w:val="auto"/>
              </w:rPr>
              <w:t>4.因环境污染造成国家重点保护的动植物物种受到破坏的;</w:t>
            </w:r>
          </w:p>
          <w:p w14:paraId="14A5EA3F">
            <w:pPr>
              <w:pStyle w:val="34"/>
              <w:jc w:val="both"/>
              <w:rPr>
                <w:color w:val="auto"/>
              </w:rPr>
            </w:pPr>
            <w:r>
              <w:rPr>
                <w:rFonts w:hint="eastAsia"/>
                <w:color w:val="auto"/>
              </w:rPr>
              <w:t>5.因环境污染造成乡镇集中式饮用水水源地取水中断的;</w:t>
            </w:r>
          </w:p>
          <w:p w14:paraId="5FF2391A">
            <w:pPr>
              <w:pStyle w:val="34"/>
              <w:jc w:val="both"/>
              <w:rPr>
                <w:color w:val="auto"/>
              </w:rPr>
            </w:pPr>
            <w:r>
              <w:rPr>
                <w:rFonts w:hint="eastAsia"/>
                <w:color w:val="auto"/>
              </w:rPr>
              <w:t>6.Ⅲ类放射源丢失、被盗的;放射性同位素和射线装置失控导致10人以下急性重度放射病、局部器官残疾的;放射性物质泄漏，造成小范围辐射污染后果的;</w:t>
            </w:r>
          </w:p>
          <w:p w14:paraId="6F27FAB0">
            <w:pPr>
              <w:pStyle w:val="34"/>
              <w:jc w:val="both"/>
              <w:rPr>
                <w:color w:val="auto"/>
              </w:rPr>
            </w:pPr>
            <w:r>
              <w:rPr>
                <w:rFonts w:hint="eastAsia"/>
                <w:color w:val="auto"/>
              </w:rPr>
              <w:t>7.造成跨设区的市级行政区域影响的突发环境事件。</w:t>
            </w:r>
          </w:p>
        </w:tc>
      </w:tr>
      <w:tr w14:paraId="731069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62" w:hRule="atLeast"/>
          <w:jc w:val="center"/>
        </w:trPr>
        <w:tc>
          <w:tcPr>
            <w:tcW w:w="1014" w:type="dxa"/>
            <w:tcBorders>
              <w:tl2br w:val="nil"/>
              <w:tr2bl w:val="nil"/>
            </w:tcBorders>
            <w:tcMar>
              <w:left w:w="28" w:type="dxa"/>
              <w:right w:w="28" w:type="dxa"/>
            </w:tcMar>
            <w:vAlign w:val="center"/>
          </w:tcPr>
          <w:p w14:paraId="22167D89">
            <w:pPr>
              <w:pStyle w:val="34"/>
              <w:rPr>
                <w:color w:val="auto"/>
              </w:rPr>
            </w:pPr>
            <w:r>
              <w:rPr>
                <w:rFonts w:hint="eastAsia"/>
                <w:color w:val="auto"/>
              </w:rPr>
              <w:t>一般环境事件</w:t>
            </w:r>
          </w:p>
          <w:p w14:paraId="3A1B30D5">
            <w:pPr>
              <w:pStyle w:val="34"/>
              <w:rPr>
                <w:color w:val="auto"/>
              </w:rPr>
            </w:pPr>
            <w:r>
              <w:rPr>
                <w:rFonts w:hint="eastAsia"/>
                <w:color w:val="auto"/>
              </w:rPr>
              <w:t>（Ⅳ级）</w:t>
            </w:r>
          </w:p>
        </w:tc>
        <w:tc>
          <w:tcPr>
            <w:tcW w:w="7348" w:type="dxa"/>
            <w:tcBorders>
              <w:tl2br w:val="nil"/>
              <w:tr2bl w:val="nil"/>
            </w:tcBorders>
          </w:tcPr>
          <w:p w14:paraId="27EF2D14">
            <w:pPr>
              <w:pStyle w:val="34"/>
              <w:jc w:val="both"/>
              <w:rPr>
                <w:color w:val="auto"/>
              </w:rPr>
            </w:pPr>
            <w:r>
              <w:rPr>
                <w:rFonts w:hint="eastAsia"/>
                <w:color w:val="auto"/>
              </w:rPr>
              <w:t>1.因环境污染直接导致3人以下死亡或10人以下中毒或重伤的;</w:t>
            </w:r>
          </w:p>
          <w:p w14:paraId="058132A9">
            <w:pPr>
              <w:pStyle w:val="34"/>
              <w:jc w:val="both"/>
              <w:rPr>
                <w:color w:val="auto"/>
              </w:rPr>
            </w:pPr>
            <w:r>
              <w:rPr>
                <w:rFonts w:hint="eastAsia"/>
                <w:color w:val="auto"/>
              </w:rPr>
              <w:t>2.因环境污染疏散、转移人员5000人以下的;</w:t>
            </w:r>
          </w:p>
          <w:p w14:paraId="0BC0FBC9">
            <w:pPr>
              <w:pStyle w:val="34"/>
              <w:jc w:val="both"/>
              <w:rPr>
                <w:color w:val="auto"/>
              </w:rPr>
            </w:pPr>
            <w:r>
              <w:rPr>
                <w:rFonts w:hint="eastAsia"/>
                <w:color w:val="auto"/>
              </w:rPr>
              <w:t>3.因环境污染造成直接经济损失500万元以下的;</w:t>
            </w:r>
          </w:p>
          <w:p w14:paraId="089B06AB">
            <w:pPr>
              <w:pStyle w:val="34"/>
              <w:jc w:val="both"/>
              <w:rPr>
                <w:color w:val="auto"/>
              </w:rPr>
            </w:pPr>
            <w:r>
              <w:rPr>
                <w:rFonts w:hint="eastAsia"/>
                <w:color w:val="auto"/>
              </w:rPr>
              <w:t>4.因环境污染造成跨县级行政区域纠纷，引起一般性群体影响的;</w:t>
            </w:r>
          </w:p>
          <w:p w14:paraId="3ACA9F0D">
            <w:pPr>
              <w:pStyle w:val="34"/>
              <w:jc w:val="both"/>
              <w:rPr>
                <w:color w:val="auto"/>
              </w:rPr>
            </w:pPr>
            <w:r>
              <w:rPr>
                <w:rFonts w:hint="eastAsia"/>
                <w:color w:val="auto"/>
              </w:rPr>
              <w:t>5.Ⅳ、Ⅴ类放射源丢失、被盗的;放射性同位素和射线装置失控导致人员受到超过年剂量限值的照射的;放射性物质泄漏，造成厂区内或设施内局部辐射污染后果的;铀矿冶、伴生矿超标排放，造成环境辐射污染后果的;</w:t>
            </w:r>
          </w:p>
          <w:p w14:paraId="6B5E7EB3">
            <w:pPr>
              <w:pStyle w:val="34"/>
              <w:jc w:val="both"/>
              <w:rPr>
                <w:color w:val="auto"/>
              </w:rPr>
            </w:pPr>
            <w:r>
              <w:rPr>
                <w:rFonts w:hint="eastAsia"/>
                <w:color w:val="auto"/>
              </w:rPr>
              <w:t>6.对环境造成一定影响，尚未达到较大突发环境事件级别的。</w:t>
            </w:r>
          </w:p>
        </w:tc>
      </w:tr>
    </w:tbl>
    <w:p w14:paraId="71CB2AF9">
      <w:pPr>
        <w:pStyle w:val="31"/>
        <w:spacing w:beforeLines="50"/>
        <w:rPr>
          <w:color w:val="auto"/>
        </w:rPr>
      </w:pPr>
      <w:r>
        <w:rPr>
          <w:rFonts w:hint="eastAsia"/>
          <w:color w:val="auto"/>
        </w:rPr>
        <w:t>根据国家突发环境事件应急预案突发环境事件风机原则，</w:t>
      </w:r>
      <w:r>
        <w:rPr>
          <w:rFonts w:hint="eastAsia"/>
          <w:color w:val="auto"/>
          <w:lang w:eastAsia="zh-CN"/>
        </w:rPr>
        <w:t>江西洪城水业环保有限公司资溪县分公司</w:t>
      </w:r>
      <w:r>
        <w:rPr>
          <w:rFonts w:hint="eastAsia"/>
          <w:color w:val="auto"/>
        </w:rPr>
        <w:t>可能发生的突发环境事件为一般环境事件。</w:t>
      </w:r>
    </w:p>
    <w:p w14:paraId="46524959">
      <w:pPr>
        <w:pStyle w:val="31"/>
        <w:rPr>
          <w:color w:val="auto"/>
        </w:rPr>
      </w:pPr>
      <w:r>
        <w:rPr>
          <w:rFonts w:hint="eastAsia"/>
          <w:color w:val="auto"/>
        </w:rPr>
        <w:t>同时，</w:t>
      </w:r>
      <w:r>
        <w:rPr>
          <w:rFonts w:hint="eastAsia"/>
          <w:color w:val="auto"/>
          <w:lang w:eastAsia="zh-CN"/>
        </w:rPr>
        <w:t>江西洪城水业环保有限公司资溪县分公司</w:t>
      </w:r>
      <w:r>
        <w:rPr>
          <w:rFonts w:hint="eastAsia"/>
          <w:color w:val="auto"/>
        </w:rPr>
        <w:t>按照厂区可能发生的突发环境事件的严重性、紧急程度、危害程度、影响范围及可控性，将自身突发环境事件分为三级：①Ⅰ级响应级别——超出公司的范围，可能造成厂区及周边范围影响的突发环境事件；②Ⅱ级响应级别——超出班组的范围，可能造成厂区范围影响的突发环境事件；③Ⅲ级响应级别——事故班组影响范围内的突发环境事件。</w:t>
      </w:r>
    </w:p>
    <w:p w14:paraId="7FE6B623">
      <w:pPr>
        <w:pStyle w:val="31"/>
        <w:rPr>
          <w:rFonts w:ascii="仿宋_GB2312" w:hAnsi="宋体" w:eastAsia="仿宋_GB2312"/>
          <w:color w:val="auto"/>
          <w:szCs w:val="28"/>
        </w:rPr>
      </w:pPr>
      <w:r>
        <w:rPr>
          <w:rFonts w:hint="eastAsia"/>
          <w:color w:val="auto"/>
        </w:rPr>
        <w:t>突发环境事件应急等级启动条件见表</w:t>
      </w:r>
      <w:r>
        <w:rPr>
          <w:rFonts w:hint="eastAsia"/>
          <w:color w:val="auto"/>
          <w:lang w:eastAsia="zh-CN"/>
        </w:rPr>
        <w:t>6.</w:t>
      </w:r>
      <w:r>
        <w:rPr>
          <w:rFonts w:hint="eastAsia"/>
          <w:color w:val="auto"/>
        </w:rPr>
        <w:t>1-2。</w:t>
      </w:r>
    </w:p>
    <w:p w14:paraId="43AF5E54">
      <w:pPr>
        <w:pStyle w:val="32"/>
        <w:spacing w:before="156"/>
        <w:rPr>
          <w:color w:val="auto"/>
        </w:rPr>
      </w:pPr>
      <w:r>
        <w:rPr>
          <w:rFonts w:hint="eastAsia"/>
          <w:color w:val="auto"/>
        </w:rPr>
        <w:t>表</w:t>
      </w:r>
      <w:r>
        <w:rPr>
          <w:rFonts w:hint="eastAsia"/>
          <w:color w:val="auto"/>
          <w:lang w:eastAsia="zh-CN"/>
        </w:rPr>
        <w:t>6.</w:t>
      </w:r>
      <w:r>
        <w:rPr>
          <w:rFonts w:hint="eastAsia"/>
          <w:color w:val="auto"/>
        </w:rPr>
        <w:t>1-2   突发环境事件应急等级启动条件一览表</w:t>
      </w:r>
    </w:p>
    <w:tbl>
      <w:tblPr>
        <w:tblStyle w:val="23"/>
        <w:tblW w:w="83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97"/>
        <w:gridCol w:w="1546"/>
        <w:gridCol w:w="6219"/>
      </w:tblGrid>
      <w:tr w14:paraId="70A0B6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7" w:type="dxa"/>
            <w:tcBorders>
              <w:bottom w:val="double" w:color="auto" w:sz="4" w:space="0"/>
            </w:tcBorders>
            <w:tcMar>
              <w:left w:w="28" w:type="dxa"/>
              <w:right w:w="28" w:type="dxa"/>
            </w:tcMar>
            <w:vAlign w:val="center"/>
          </w:tcPr>
          <w:p w14:paraId="22CEEB80">
            <w:pPr>
              <w:pStyle w:val="34"/>
              <w:rPr>
                <w:color w:val="auto"/>
                <w:sz w:val="21"/>
                <w:szCs w:val="21"/>
              </w:rPr>
            </w:pPr>
            <w:r>
              <w:rPr>
                <w:rFonts w:hint="eastAsia"/>
                <w:color w:val="auto"/>
                <w:sz w:val="21"/>
                <w:szCs w:val="21"/>
              </w:rPr>
              <w:t>响应</w:t>
            </w:r>
          </w:p>
          <w:p w14:paraId="25208E18">
            <w:pPr>
              <w:pStyle w:val="34"/>
              <w:rPr>
                <w:color w:val="auto"/>
                <w:sz w:val="21"/>
                <w:szCs w:val="21"/>
              </w:rPr>
            </w:pPr>
            <w:r>
              <w:rPr>
                <w:rFonts w:hint="eastAsia"/>
                <w:color w:val="auto"/>
                <w:sz w:val="21"/>
                <w:szCs w:val="21"/>
              </w:rPr>
              <w:t>级别</w:t>
            </w:r>
          </w:p>
        </w:tc>
        <w:tc>
          <w:tcPr>
            <w:tcW w:w="1546" w:type="dxa"/>
            <w:tcBorders>
              <w:bottom w:val="double" w:color="auto" w:sz="4" w:space="0"/>
            </w:tcBorders>
            <w:vAlign w:val="center"/>
          </w:tcPr>
          <w:p w14:paraId="01F5580C">
            <w:pPr>
              <w:pStyle w:val="34"/>
              <w:rPr>
                <w:color w:val="auto"/>
                <w:sz w:val="21"/>
                <w:szCs w:val="21"/>
              </w:rPr>
            </w:pPr>
            <w:r>
              <w:rPr>
                <w:rFonts w:hint="eastAsia"/>
                <w:color w:val="auto"/>
                <w:sz w:val="21"/>
                <w:szCs w:val="21"/>
              </w:rPr>
              <w:t>响应主体</w:t>
            </w:r>
          </w:p>
        </w:tc>
        <w:tc>
          <w:tcPr>
            <w:tcW w:w="6219" w:type="dxa"/>
            <w:tcBorders>
              <w:bottom w:val="double" w:color="auto" w:sz="4" w:space="0"/>
            </w:tcBorders>
            <w:vAlign w:val="center"/>
          </w:tcPr>
          <w:p w14:paraId="4A53B5BB">
            <w:pPr>
              <w:pStyle w:val="34"/>
              <w:rPr>
                <w:color w:val="auto"/>
                <w:sz w:val="21"/>
                <w:szCs w:val="21"/>
              </w:rPr>
            </w:pPr>
            <w:r>
              <w:rPr>
                <w:rFonts w:hint="eastAsia"/>
                <w:color w:val="auto"/>
                <w:sz w:val="21"/>
                <w:szCs w:val="21"/>
              </w:rPr>
              <w:t>启动条件</w:t>
            </w:r>
          </w:p>
        </w:tc>
      </w:tr>
      <w:tr w14:paraId="020F65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7" w:type="dxa"/>
            <w:tcBorders>
              <w:top w:val="double" w:color="auto" w:sz="4" w:space="0"/>
              <w:tl2br w:val="nil"/>
              <w:tr2bl w:val="nil"/>
            </w:tcBorders>
            <w:tcMar>
              <w:left w:w="28" w:type="dxa"/>
              <w:right w:w="28" w:type="dxa"/>
            </w:tcMar>
            <w:vAlign w:val="center"/>
          </w:tcPr>
          <w:p w14:paraId="1C205F02">
            <w:pPr>
              <w:pStyle w:val="34"/>
              <w:rPr>
                <w:color w:val="auto"/>
                <w:sz w:val="21"/>
                <w:szCs w:val="21"/>
              </w:rPr>
            </w:pPr>
            <w:r>
              <w:rPr>
                <w:rFonts w:hint="eastAsia"/>
                <w:color w:val="auto"/>
                <w:sz w:val="21"/>
                <w:szCs w:val="21"/>
              </w:rPr>
              <w:t>Ⅰ级</w:t>
            </w:r>
          </w:p>
        </w:tc>
        <w:tc>
          <w:tcPr>
            <w:tcW w:w="1546" w:type="dxa"/>
            <w:tcBorders>
              <w:top w:val="double" w:color="auto" w:sz="4" w:space="0"/>
              <w:tl2br w:val="nil"/>
              <w:tr2bl w:val="nil"/>
            </w:tcBorders>
            <w:vAlign w:val="center"/>
          </w:tcPr>
          <w:p w14:paraId="4E063AC1">
            <w:pPr>
              <w:pStyle w:val="34"/>
              <w:rPr>
                <w:color w:val="auto"/>
                <w:sz w:val="21"/>
                <w:szCs w:val="21"/>
              </w:rPr>
            </w:pPr>
            <w:r>
              <w:rPr>
                <w:rFonts w:hint="eastAsia"/>
                <w:color w:val="auto"/>
                <w:sz w:val="21"/>
                <w:szCs w:val="21"/>
                <w:lang w:eastAsia="zh-CN"/>
              </w:rPr>
              <w:t>资溪县</w:t>
            </w:r>
            <w:r>
              <w:rPr>
                <w:rFonts w:hint="eastAsia"/>
                <w:color w:val="auto"/>
                <w:sz w:val="21"/>
                <w:szCs w:val="21"/>
              </w:rPr>
              <w:t>人民政府、</w:t>
            </w:r>
            <w:r>
              <w:rPr>
                <w:rFonts w:hint="eastAsia"/>
                <w:color w:val="auto"/>
                <w:sz w:val="21"/>
                <w:szCs w:val="21"/>
                <w:lang w:eastAsia="zh-CN"/>
              </w:rPr>
              <w:t>抚州市资溪生态环境局</w:t>
            </w:r>
          </w:p>
        </w:tc>
        <w:tc>
          <w:tcPr>
            <w:tcW w:w="6219" w:type="dxa"/>
            <w:tcBorders>
              <w:top w:val="double" w:color="auto" w:sz="4" w:space="0"/>
              <w:tl2br w:val="nil"/>
              <w:tr2bl w:val="nil"/>
            </w:tcBorders>
          </w:tcPr>
          <w:p w14:paraId="43559105">
            <w:pPr>
              <w:pStyle w:val="34"/>
              <w:jc w:val="both"/>
              <w:rPr>
                <w:color w:val="auto"/>
                <w:sz w:val="21"/>
                <w:szCs w:val="21"/>
              </w:rPr>
            </w:pPr>
            <w:r>
              <w:rPr>
                <w:rFonts w:hint="eastAsia"/>
                <w:color w:val="auto"/>
                <w:sz w:val="21"/>
                <w:szCs w:val="21"/>
              </w:rPr>
              <w:t>污水处理装置故障、停电、自然灾害等引起超标污水较长时间排放，</w:t>
            </w:r>
            <w:r>
              <w:rPr>
                <w:rFonts w:hint="eastAsia"/>
                <w:color w:val="auto"/>
                <w:sz w:val="21"/>
                <w:szCs w:val="21"/>
                <w:lang w:val="en-US" w:eastAsia="zh-CN"/>
              </w:rPr>
              <w:t>汇入</w:t>
            </w:r>
            <w:r>
              <w:rPr>
                <w:rFonts w:hint="eastAsia"/>
                <w:color w:val="auto"/>
                <w:sz w:val="21"/>
                <w:szCs w:val="21"/>
                <w:lang w:eastAsia="zh-CN"/>
              </w:rPr>
              <w:t>泸溪河</w:t>
            </w:r>
            <w:r>
              <w:rPr>
                <w:rFonts w:hint="eastAsia"/>
                <w:color w:val="auto"/>
                <w:sz w:val="21"/>
                <w:szCs w:val="21"/>
              </w:rPr>
              <w:t>；</w:t>
            </w:r>
          </w:p>
          <w:p w14:paraId="2BBD94A1">
            <w:pPr>
              <w:pStyle w:val="34"/>
              <w:jc w:val="both"/>
              <w:rPr>
                <w:color w:val="auto"/>
                <w:sz w:val="21"/>
                <w:szCs w:val="21"/>
              </w:rPr>
            </w:pPr>
            <w:r>
              <w:rPr>
                <w:rFonts w:hint="eastAsia"/>
                <w:color w:val="auto"/>
                <w:sz w:val="21"/>
                <w:szCs w:val="21"/>
              </w:rPr>
              <w:t>该事件发生后经研判厂区不可控，可能危及周边环境安全</w:t>
            </w:r>
          </w:p>
        </w:tc>
      </w:tr>
      <w:tr w14:paraId="29DD2A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7" w:type="dxa"/>
            <w:tcBorders>
              <w:tl2br w:val="nil"/>
              <w:tr2bl w:val="nil"/>
            </w:tcBorders>
            <w:tcMar>
              <w:left w:w="28" w:type="dxa"/>
              <w:right w:w="28" w:type="dxa"/>
            </w:tcMar>
            <w:vAlign w:val="center"/>
          </w:tcPr>
          <w:p w14:paraId="1134BA38">
            <w:pPr>
              <w:pStyle w:val="34"/>
              <w:rPr>
                <w:color w:val="auto"/>
                <w:sz w:val="21"/>
                <w:szCs w:val="21"/>
              </w:rPr>
            </w:pPr>
            <w:r>
              <w:rPr>
                <w:rFonts w:hint="eastAsia"/>
                <w:color w:val="auto"/>
                <w:sz w:val="21"/>
                <w:szCs w:val="21"/>
              </w:rPr>
              <w:t>Ⅱ级</w:t>
            </w:r>
          </w:p>
        </w:tc>
        <w:tc>
          <w:tcPr>
            <w:tcW w:w="1546" w:type="dxa"/>
            <w:tcBorders>
              <w:tl2br w:val="nil"/>
              <w:tr2bl w:val="nil"/>
            </w:tcBorders>
            <w:vAlign w:val="center"/>
          </w:tcPr>
          <w:p w14:paraId="5B4B1F85">
            <w:pPr>
              <w:pStyle w:val="34"/>
              <w:rPr>
                <w:rFonts w:hint="eastAsia" w:eastAsia="宋体"/>
                <w:color w:val="auto"/>
                <w:sz w:val="21"/>
                <w:szCs w:val="21"/>
                <w:lang w:eastAsia="zh-CN"/>
              </w:rPr>
            </w:pPr>
            <w:r>
              <w:rPr>
                <w:rFonts w:hint="eastAsia"/>
                <w:color w:val="auto"/>
                <w:sz w:val="21"/>
                <w:szCs w:val="21"/>
                <w:lang w:eastAsia="zh-CN"/>
              </w:rPr>
              <w:t>江西洪城水业环保有限公司资溪县分公司</w:t>
            </w:r>
          </w:p>
        </w:tc>
        <w:tc>
          <w:tcPr>
            <w:tcW w:w="6219" w:type="dxa"/>
            <w:tcBorders>
              <w:tl2br w:val="nil"/>
              <w:tr2bl w:val="nil"/>
            </w:tcBorders>
          </w:tcPr>
          <w:p w14:paraId="5BBC943E">
            <w:pPr>
              <w:pStyle w:val="34"/>
              <w:jc w:val="both"/>
              <w:rPr>
                <w:color w:val="auto"/>
                <w:sz w:val="21"/>
                <w:szCs w:val="21"/>
              </w:rPr>
            </w:pPr>
            <w:r>
              <w:rPr>
                <w:rFonts w:hint="eastAsia"/>
                <w:color w:val="auto"/>
                <w:sz w:val="21"/>
                <w:szCs w:val="21"/>
              </w:rPr>
              <w:t>①单个处理系统污水输送管道破裂、污水处理效率降低等引起污水超标排放，但未污染到</w:t>
            </w:r>
            <w:r>
              <w:rPr>
                <w:rFonts w:hint="eastAsia"/>
                <w:color w:val="auto"/>
                <w:sz w:val="21"/>
                <w:szCs w:val="21"/>
                <w:lang w:eastAsia="zh-CN"/>
              </w:rPr>
              <w:t>泸溪河</w:t>
            </w:r>
            <w:r>
              <w:rPr>
                <w:rFonts w:hint="eastAsia"/>
                <w:color w:val="auto"/>
                <w:sz w:val="21"/>
                <w:szCs w:val="21"/>
              </w:rPr>
              <w:t>，公司可控；</w:t>
            </w:r>
          </w:p>
          <w:p w14:paraId="6C7BE472">
            <w:pPr>
              <w:pStyle w:val="34"/>
              <w:jc w:val="both"/>
              <w:rPr>
                <w:color w:val="auto"/>
                <w:sz w:val="21"/>
                <w:szCs w:val="21"/>
              </w:rPr>
            </w:pPr>
            <w:r>
              <w:rPr>
                <w:rFonts w:hint="eastAsia"/>
                <w:color w:val="auto"/>
                <w:sz w:val="21"/>
                <w:szCs w:val="21"/>
              </w:rPr>
              <w:t>②</w:t>
            </w:r>
            <w:r>
              <w:rPr>
                <w:rFonts w:hint="eastAsia"/>
                <w:color w:val="auto"/>
                <w:sz w:val="21"/>
                <w:szCs w:val="21"/>
                <w:lang w:eastAsia="zh-CN"/>
              </w:rPr>
              <w:t>次氯酸钠</w:t>
            </w:r>
            <w:r>
              <w:rPr>
                <w:rFonts w:hint="eastAsia"/>
                <w:color w:val="auto"/>
                <w:sz w:val="21"/>
                <w:szCs w:val="21"/>
              </w:rPr>
              <w:t>因人误操作导致泄漏，可能造成泄漏区域内环境危害或人员损伤；</w:t>
            </w:r>
          </w:p>
          <w:p w14:paraId="0243C5AB">
            <w:pPr>
              <w:pStyle w:val="34"/>
              <w:jc w:val="both"/>
              <w:rPr>
                <w:color w:val="auto"/>
                <w:sz w:val="21"/>
                <w:szCs w:val="21"/>
              </w:rPr>
            </w:pPr>
            <w:r>
              <w:rPr>
                <w:rFonts w:hint="eastAsia"/>
                <w:color w:val="auto"/>
                <w:sz w:val="21"/>
                <w:szCs w:val="21"/>
              </w:rPr>
              <w:t>以上事件发生后经研判厂区可控，可能危及厂区范围内环境安全或公众安全</w:t>
            </w:r>
          </w:p>
        </w:tc>
      </w:tr>
      <w:tr w14:paraId="3E50DD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7" w:type="dxa"/>
            <w:tcBorders>
              <w:tl2br w:val="nil"/>
              <w:tr2bl w:val="nil"/>
            </w:tcBorders>
            <w:tcMar>
              <w:left w:w="28" w:type="dxa"/>
              <w:right w:w="28" w:type="dxa"/>
            </w:tcMar>
            <w:vAlign w:val="center"/>
          </w:tcPr>
          <w:p w14:paraId="7A4408B7">
            <w:pPr>
              <w:pStyle w:val="34"/>
              <w:rPr>
                <w:color w:val="auto"/>
                <w:sz w:val="21"/>
                <w:szCs w:val="21"/>
              </w:rPr>
            </w:pPr>
            <w:r>
              <w:rPr>
                <w:rFonts w:hint="eastAsia"/>
                <w:color w:val="auto"/>
                <w:sz w:val="21"/>
                <w:szCs w:val="21"/>
              </w:rPr>
              <w:t>Ⅲ级</w:t>
            </w:r>
          </w:p>
        </w:tc>
        <w:tc>
          <w:tcPr>
            <w:tcW w:w="1546" w:type="dxa"/>
            <w:tcBorders>
              <w:tl2br w:val="nil"/>
              <w:tr2bl w:val="nil"/>
            </w:tcBorders>
            <w:vAlign w:val="center"/>
          </w:tcPr>
          <w:p w14:paraId="534A4C88">
            <w:pPr>
              <w:pStyle w:val="34"/>
              <w:rPr>
                <w:color w:val="auto"/>
                <w:sz w:val="21"/>
                <w:szCs w:val="21"/>
              </w:rPr>
            </w:pPr>
            <w:r>
              <w:rPr>
                <w:rFonts w:hint="eastAsia"/>
                <w:color w:val="auto"/>
                <w:sz w:val="21"/>
                <w:szCs w:val="21"/>
              </w:rPr>
              <w:t>事故班组</w:t>
            </w:r>
          </w:p>
        </w:tc>
        <w:tc>
          <w:tcPr>
            <w:tcW w:w="6219" w:type="dxa"/>
            <w:tcBorders>
              <w:tl2br w:val="nil"/>
              <w:tr2bl w:val="nil"/>
            </w:tcBorders>
          </w:tcPr>
          <w:p w14:paraId="4BF3FC20">
            <w:pPr>
              <w:pStyle w:val="34"/>
              <w:jc w:val="both"/>
              <w:rPr>
                <w:color w:val="auto"/>
                <w:sz w:val="21"/>
                <w:szCs w:val="21"/>
              </w:rPr>
            </w:pPr>
            <w:r>
              <w:rPr>
                <w:rFonts w:hint="eastAsia"/>
                <w:color w:val="auto"/>
                <w:sz w:val="21"/>
                <w:szCs w:val="21"/>
              </w:rPr>
              <w:t>①污水处理装置故障，事故班组人员及时修复，未对出水水质产生影响；</w:t>
            </w:r>
          </w:p>
          <w:p w14:paraId="28C9D797">
            <w:pPr>
              <w:pStyle w:val="34"/>
              <w:jc w:val="both"/>
              <w:rPr>
                <w:color w:val="auto"/>
                <w:sz w:val="21"/>
                <w:szCs w:val="21"/>
              </w:rPr>
            </w:pPr>
            <w:r>
              <w:rPr>
                <w:rFonts w:hint="eastAsia"/>
                <w:color w:val="auto"/>
                <w:sz w:val="21"/>
                <w:szCs w:val="21"/>
              </w:rPr>
              <w:t>②</w:t>
            </w:r>
            <w:r>
              <w:rPr>
                <w:rFonts w:hint="eastAsia"/>
                <w:color w:val="auto"/>
                <w:sz w:val="21"/>
                <w:szCs w:val="21"/>
                <w:lang w:eastAsia="zh-CN"/>
              </w:rPr>
              <w:t>次氯酸钠</w:t>
            </w:r>
            <w:r>
              <w:rPr>
                <w:rFonts w:hint="eastAsia"/>
                <w:color w:val="auto"/>
                <w:sz w:val="21"/>
                <w:szCs w:val="21"/>
              </w:rPr>
              <w:t>罐小剂量泄漏，未造成泄漏区域环境危害或人员损伤；</w:t>
            </w:r>
          </w:p>
          <w:p w14:paraId="39BF0693">
            <w:pPr>
              <w:pStyle w:val="34"/>
              <w:jc w:val="both"/>
              <w:rPr>
                <w:color w:val="auto"/>
                <w:sz w:val="21"/>
                <w:szCs w:val="21"/>
              </w:rPr>
            </w:pPr>
            <w:r>
              <w:rPr>
                <w:rFonts w:hint="eastAsia"/>
                <w:color w:val="auto"/>
                <w:sz w:val="21"/>
                <w:szCs w:val="21"/>
              </w:rPr>
              <w:t>以上事件发生后班组可控，可能危及事故工段内环境安全或公众安全。</w:t>
            </w:r>
          </w:p>
        </w:tc>
      </w:tr>
    </w:tbl>
    <w:p w14:paraId="27FC0E90">
      <w:pPr>
        <w:pStyle w:val="31"/>
        <w:spacing w:beforeLines="50"/>
        <w:rPr>
          <w:color w:val="auto"/>
        </w:rPr>
      </w:pPr>
      <w:r>
        <w:rPr>
          <w:rFonts w:hint="eastAsia"/>
          <w:color w:val="auto"/>
        </w:rPr>
        <w:t>当启动Ⅰ级响应时，</w:t>
      </w:r>
      <w:r>
        <w:rPr>
          <w:rFonts w:hint="eastAsia"/>
          <w:color w:val="auto"/>
          <w:lang w:eastAsia="zh-CN"/>
        </w:rPr>
        <w:t>江西洪城水业环保有限公司资溪县分公司应急指挥中心</w:t>
      </w:r>
      <w:r>
        <w:rPr>
          <w:rFonts w:hint="eastAsia"/>
          <w:color w:val="auto"/>
        </w:rPr>
        <w:t>在1小时内向</w:t>
      </w:r>
      <w:r>
        <w:rPr>
          <w:rFonts w:hint="eastAsia"/>
          <w:color w:val="auto"/>
          <w:lang w:eastAsia="zh-CN"/>
        </w:rPr>
        <w:t>资溪县</w:t>
      </w:r>
      <w:r>
        <w:rPr>
          <w:rFonts w:hint="eastAsia"/>
          <w:color w:val="auto"/>
        </w:rPr>
        <w:t>人民政府和</w:t>
      </w:r>
      <w:r>
        <w:rPr>
          <w:rFonts w:hint="eastAsia"/>
          <w:color w:val="auto"/>
          <w:lang w:eastAsia="zh-CN"/>
        </w:rPr>
        <w:t>抚州市资溪生态环境局</w:t>
      </w:r>
      <w:r>
        <w:rPr>
          <w:rFonts w:hint="eastAsia"/>
          <w:color w:val="auto"/>
        </w:rPr>
        <w:t>报告。</w:t>
      </w:r>
    </w:p>
    <w:p w14:paraId="0F6F687B">
      <w:pPr>
        <w:pStyle w:val="31"/>
        <w:rPr>
          <w:color w:val="auto"/>
        </w:rPr>
      </w:pPr>
      <w:r>
        <w:rPr>
          <w:rFonts w:hint="eastAsia"/>
          <w:color w:val="auto"/>
        </w:rPr>
        <w:t>污水厂应急响应分级流程见图</w:t>
      </w:r>
      <w:r>
        <w:rPr>
          <w:rFonts w:hint="eastAsia"/>
          <w:color w:val="auto"/>
          <w:lang w:eastAsia="zh-CN"/>
        </w:rPr>
        <w:t>6.</w:t>
      </w:r>
      <w:r>
        <w:rPr>
          <w:rFonts w:hint="eastAsia"/>
          <w:color w:val="auto"/>
        </w:rPr>
        <w:t>1-1。</w:t>
      </w:r>
    </w:p>
    <w:p w14:paraId="06C2CD5B">
      <w:pPr>
        <w:pStyle w:val="31"/>
        <w:rPr>
          <w:color w:val="auto"/>
        </w:rPr>
      </w:pPr>
      <w:r>
        <w:rPr>
          <w:color w:val="auto"/>
          <w:highlight w:val="none"/>
        </w:rPr>
        <w:drawing>
          <wp:inline distT="0" distB="0" distL="114300" distR="114300">
            <wp:extent cx="5273040" cy="5498465"/>
            <wp:effectExtent l="0" t="0" r="0" b="317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1"/>
                    <a:stretch>
                      <a:fillRect/>
                    </a:stretch>
                  </pic:blipFill>
                  <pic:spPr>
                    <a:xfrm>
                      <a:off x="0" y="0"/>
                      <a:ext cx="5273040" cy="5498465"/>
                    </a:xfrm>
                    <a:prstGeom prst="rect">
                      <a:avLst/>
                    </a:prstGeom>
                    <a:noFill/>
                    <a:ln>
                      <a:noFill/>
                    </a:ln>
                  </pic:spPr>
                </pic:pic>
              </a:graphicData>
            </a:graphic>
          </wp:inline>
        </w:drawing>
      </w:r>
    </w:p>
    <w:p w14:paraId="0645D1AA">
      <w:pPr>
        <w:pStyle w:val="31"/>
        <w:spacing w:beforeLines="50" w:afterLines="50"/>
        <w:ind w:firstLine="0" w:firstLineChars="0"/>
        <w:jc w:val="center"/>
        <w:rPr>
          <w:b/>
          <w:bCs/>
          <w:color w:val="auto"/>
        </w:rPr>
      </w:pPr>
      <w:r>
        <w:rPr>
          <w:rFonts w:hint="eastAsia"/>
          <w:b/>
          <w:bCs/>
          <w:color w:val="auto"/>
        </w:rPr>
        <w:t>图</w:t>
      </w:r>
      <w:r>
        <w:rPr>
          <w:rFonts w:hint="eastAsia"/>
          <w:b/>
          <w:bCs/>
          <w:color w:val="auto"/>
          <w:lang w:eastAsia="zh-CN"/>
        </w:rPr>
        <w:t>6.</w:t>
      </w:r>
      <w:r>
        <w:rPr>
          <w:rFonts w:hint="eastAsia"/>
          <w:b/>
          <w:bCs/>
          <w:color w:val="auto"/>
        </w:rPr>
        <w:t>1-1   应急响应分级流程图</w:t>
      </w:r>
    </w:p>
    <w:p w14:paraId="55F36FC0">
      <w:pPr>
        <w:pStyle w:val="5"/>
        <w:spacing w:before="156" w:after="156"/>
        <w:rPr>
          <w:color w:val="auto"/>
        </w:rPr>
      </w:pPr>
      <w:bookmarkStart w:id="97" w:name="_Toc476314980"/>
      <w:bookmarkStart w:id="98" w:name="_Toc26766"/>
      <w:r>
        <w:rPr>
          <w:rFonts w:hint="eastAsia"/>
          <w:color w:val="auto"/>
          <w:lang w:eastAsia="zh-CN"/>
        </w:rPr>
        <w:t>6.</w:t>
      </w:r>
      <w:r>
        <w:rPr>
          <w:rFonts w:hint="eastAsia"/>
          <w:color w:val="auto"/>
        </w:rPr>
        <w:t>2现场应急措施</w:t>
      </w:r>
      <w:bookmarkEnd w:id="97"/>
      <w:bookmarkEnd w:id="98"/>
    </w:p>
    <w:p w14:paraId="623CF219">
      <w:pPr>
        <w:pStyle w:val="6"/>
        <w:spacing w:before="156" w:after="156"/>
        <w:rPr>
          <w:color w:val="auto"/>
        </w:rPr>
      </w:pPr>
      <w:r>
        <w:rPr>
          <w:rFonts w:hint="eastAsia"/>
          <w:color w:val="auto"/>
          <w:lang w:eastAsia="zh-CN"/>
        </w:rPr>
        <w:t>6.</w:t>
      </w:r>
      <w:r>
        <w:rPr>
          <w:rFonts w:hint="eastAsia"/>
          <w:color w:val="auto"/>
        </w:rPr>
        <w:t>2.1</w:t>
      </w:r>
      <w:r>
        <w:rPr>
          <w:rFonts w:hint="eastAsia"/>
          <w:color w:val="auto"/>
          <w:lang w:eastAsia="zh-CN"/>
        </w:rPr>
        <w:t>次氯酸钠</w:t>
      </w:r>
      <w:r>
        <w:rPr>
          <w:rFonts w:hint="eastAsia"/>
          <w:color w:val="auto"/>
        </w:rPr>
        <w:t>泄漏环境风险处置措施</w:t>
      </w:r>
    </w:p>
    <w:p w14:paraId="64479148">
      <w:pPr>
        <w:pStyle w:val="31"/>
        <w:rPr>
          <w:color w:val="auto"/>
        </w:rPr>
      </w:pPr>
      <w:r>
        <w:rPr>
          <w:rFonts w:hint="eastAsia"/>
          <w:color w:val="auto"/>
        </w:rPr>
        <w:t>(1)</w:t>
      </w:r>
      <w:r>
        <w:rPr>
          <w:rFonts w:hint="eastAsia"/>
          <w:color w:val="auto"/>
          <w:lang w:eastAsia="zh-CN"/>
        </w:rPr>
        <w:t>次氯酸钠</w:t>
      </w:r>
      <w:r>
        <w:rPr>
          <w:rFonts w:hint="eastAsia"/>
          <w:color w:val="auto"/>
        </w:rPr>
        <w:t>泄漏源的控制</w:t>
      </w:r>
    </w:p>
    <w:p w14:paraId="6ABB09CF">
      <w:pPr>
        <w:pStyle w:val="31"/>
        <w:rPr>
          <w:color w:val="auto"/>
        </w:rPr>
      </w:pPr>
      <w:r>
        <w:rPr>
          <w:rFonts w:hint="eastAsia"/>
          <w:color w:val="auto"/>
        </w:rPr>
        <w:t>最早发现者应立即通知现场其他人员，在确保自身防护安全的基础上，采取积极、科学、力所能及的措施对泄漏源进行消除或控制，同时立即向管理负责人汇报。应迅速撤离泄漏污染区人员至安全区域，并进行隔离严格限制出入。</w:t>
      </w:r>
    </w:p>
    <w:p w14:paraId="67475649">
      <w:pPr>
        <w:pStyle w:val="31"/>
        <w:spacing w:beforeLines="50"/>
        <w:rPr>
          <w:color w:val="auto"/>
        </w:rPr>
      </w:pPr>
      <w:r>
        <w:rPr>
          <w:rFonts w:hint="eastAsia"/>
          <w:color w:val="auto"/>
        </w:rPr>
        <w:t>(2)现场处置方法</w:t>
      </w:r>
    </w:p>
    <w:p w14:paraId="31CEB2D6">
      <w:pPr>
        <w:pStyle w:val="31"/>
        <w:rPr>
          <w:color w:val="auto"/>
        </w:rPr>
      </w:pPr>
      <w:r>
        <w:rPr>
          <w:rFonts w:hint="eastAsia"/>
          <w:color w:val="auto"/>
        </w:rPr>
        <w:t>小剂量泄漏时，救援人员佩戴个人防护用品，采</w:t>
      </w:r>
      <w:r>
        <w:rPr>
          <w:rFonts w:hint="eastAsia" w:ascii="Times New Roman" w:hAnsi="Times New Roman" w:eastAsia="宋体"/>
          <w:color w:val="auto"/>
        </w:rPr>
        <w:t>用砂土等</w:t>
      </w:r>
      <w:r>
        <w:rPr>
          <w:rFonts w:hint="eastAsia"/>
          <w:color w:val="auto"/>
        </w:rPr>
        <w:t>进行吸附。</w:t>
      </w:r>
    </w:p>
    <w:p w14:paraId="1C79C7FB">
      <w:pPr>
        <w:pStyle w:val="31"/>
        <w:rPr>
          <w:color w:val="auto"/>
        </w:rPr>
      </w:pPr>
      <w:r>
        <w:rPr>
          <w:rFonts w:hint="eastAsia"/>
          <w:color w:val="auto"/>
        </w:rPr>
        <w:t>大量泄漏时，立即向指挥中心报告，并及时设立警戒线。然后救援人员佩戴个人防护用品，将泄漏</w:t>
      </w:r>
      <w:r>
        <w:rPr>
          <w:rFonts w:hint="eastAsia"/>
          <w:color w:val="auto"/>
          <w:lang w:val="en-US" w:eastAsia="zh-CN"/>
        </w:rPr>
        <w:t>次氯酸钠</w:t>
      </w:r>
      <w:r>
        <w:rPr>
          <w:rFonts w:hint="eastAsia"/>
          <w:color w:val="auto"/>
        </w:rPr>
        <w:t>通过耐</w:t>
      </w:r>
      <w:r>
        <w:rPr>
          <w:rFonts w:hint="eastAsia"/>
          <w:color w:val="auto"/>
          <w:lang w:val="en-US" w:eastAsia="zh-CN"/>
        </w:rPr>
        <w:t>碱</w:t>
      </w:r>
      <w:r>
        <w:rPr>
          <w:rFonts w:hint="eastAsia"/>
          <w:color w:val="auto"/>
        </w:rPr>
        <w:t>输转泵收集至收容桶内，待</w:t>
      </w:r>
      <w:r>
        <w:rPr>
          <w:rFonts w:hint="eastAsia"/>
          <w:color w:val="auto"/>
          <w:lang w:val="en-US" w:eastAsia="zh-CN"/>
        </w:rPr>
        <w:t>储</w:t>
      </w:r>
      <w:r>
        <w:rPr>
          <w:rFonts w:hint="eastAsia"/>
          <w:color w:val="auto"/>
        </w:rPr>
        <w:t>罐修好后返回罐内，对无法收集的</w:t>
      </w:r>
      <w:r>
        <w:rPr>
          <w:rFonts w:hint="eastAsia"/>
          <w:color w:val="auto"/>
          <w:lang w:val="en-US" w:eastAsia="zh-CN"/>
        </w:rPr>
        <w:t>废液</w:t>
      </w:r>
      <w:r>
        <w:rPr>
          <w:rFonts w:hint="eastAsia"/>
          <w:color w:val="auto"/>
        </w:rPr>
        <w:t>，采用砂土进行吸附，并将收集的废物送至具有专业危险废物处理机构进行处理。</w:t>
      </w:r>
    </w:p>
    <w:p w14:paraId="5E60D5B2">
      <w:pPr>
        <w:pStyle w:val="6"/>
        <w:spacing w:before="156" w:after="156"/>
        <w:rPr>
          <w:rFonts w:hint="eastAsia" w:ascii="Times New Roman" w:hAnsi="Times New Roman" w:eastAsia="宋体"/>
          <w:color w:val="auto"/>
        </w:rPr>
      </w:pPr>
      <w:r>
        <w:rPr>
          <w:rFonts w:hint="eastAsia" w:ascii="Times New Roman" w:hAnsi="Times New Roman" w:eastAsia="宋体"/>
          <w:color w:val="auto"/>
          <w:lang w:val="en-US" w:eastAsia="zh-CN"/>
        </w:rPr>
        <w:t>6.2.2</w:t>
      </w:r>
      <w:r>
        <w:rPr>
          <w:rFonts w:hint="eastAsia" w:ascii="Times New Roman" w:hAnsi="Times New Roman" w:eastAsia="宋体"/>
          <w:color w:val="auto"/>
        </w:rPr>
        <w:t>危险废物泄漏现场处置应急方案</w:t>
      </w:r>
    </w:p>
    <w:p w14:paraId="627998F4">
      <w:pPr>
        <w:keepNext w:val="0"/>
        <w:keepLines w:val="0"/>
        <w:pageBreakBefore w:val="0"/>
        <w:kinsoku/>
        <w:wordWrap/>
        <w:overflowPunct/>
        <w:topLinePunct w:val="0"/>
        <w:autoSpaceDE/>
        <w:autoSpaceDN/>
        <w:bidi w:val="0"/>
        <w:adjustRightInd/>
        <w:snapToGrid w:val="0"/>
        <w:ind w:firstLine="480"/>
        <w:jc w:val="both"/>
        <w:textAlignment w:val="auto"/>
        <w:rPr>
          <w:color w:val="auto"/>
        </w:rPr>
      </w:pPr>
      <w:r>
        <w:rPr>
          <w:color w:val="auto"/>
        </w:rPr>
        <w:t>公司内存在的液态危险废物主要有</w:t>
      </w:r>
      <w:r>
        <w:rPr>
          <w:rFonts w:hint="eastAsia"/>
          <w:color w:val="auto"/>
          <w:sz w:val="24"/>
          <w:szCs w:val="24"/>
          <w:lang w:val="en-US" w:eastAsia="zh-CN"/>
        </w:rPr>
        <w:t>在线废液、废试剂、废机油、实验室废液</w:t>
      </w:r>
      <w:r>
        <w:rPr>
          <w:color w:val="auto"/>
        </w:rPr>
        <w:t>等。</w:t>
      </w:r>
    </w:p>
    <w:p w14:paraId="1663A55A">
      <w:pPr>
        <w:keepNext w:val="0"/>
        <w:keepLines w:val="0"/>
        <w:pageBreakBefore w:val="0"/>
        <w:kinsoku/>
        <w:wordWrap/>
        <w:overflowPunct/>
        <w:topLinePunct w:val="0"/>
        <w:autoSpaceDE/>
        <w:autoSpaceDN/>
        <w:bidi w:val="0"/>
        <w:adjustRightInd/>
        <w:snapToGrid w:val="0"/>
        <w:ind w:firstLine="480"/>
        <w:jc w:val="both"/>
        <w:textAlignment w:val="auto"/>
        <w:rPr>
          <w:color w:val="auto"/>
        </w:rPr>
      </w:pPr>
      <w:r>
        <w:rPr>
          <w:color w:val="auto"/>
        </w:rPr>
        <w:t>若发生液态风险物质泄漏事故，应严格按本预案中的现场处置方法进行处置，发生风险物质大量泄漏时应迅速撤离泄漏污染区人员至安全区，并进行隔离，严格限制出入，切断火源，利用围堰或堵漏沙袋等进行截流。</w:t>
      </w:r>
    </w:p>
    <w:p w14:paraId="33FF6621">
      <w:pPr>
        <w:pStyle w:val="20"/>
        <w:keepNext w:val="0"/>
        <w:keepLines w:val="0"/>
        <w:pageBreakBefore w:val="0"/>
        <w:kinsoku/>
        <w:wordWrap/>
        <w:overflowPunct/>
        <w:topLinePunct w:val="0"/>
        <w:autoSpaceDE/>
        <w:autoSpaceDN/>
        <w:bidi w:val="0"/>
        <w:adjustRightInd/>
        <w:snapToGrid w:val="0"/>
        <w:spacing w:beforeAutospacing="0" w:afterAutospacing="0"/>
        <w:ind w:firstLine="480"/>
        <w:jc w:val="both"/>
        <w:textAlignment w:val="auto"/>
        <w:rPr>
          <w:color w:val="auto"/>
          <w:kern w:val="2"/>
        </w:rPr>
      </w:pPr>
      <w:r>
        <w:rPr>
          <w:color w:val="auto"/>
          <w:kern w:val="2"/>
        </w:rPr>
        <w:t>根据液体流动和蒸气扩散的影响区域划定警戒区，无关人员从侧风、上风向撤离至安全区。作业时使用的所有设备应接地。禁止接触或跨越泄漏物。尽可能切断泄漏源。防止泄漏物进入水体、下水道、地下室或密闭性空间。</w:t>
      </w:r>
    </w:p>
    <w:p w14:paraId="44A61FA7">
      <w:pPr>
        <w:keepNext w:val="0"/>
        <w:keepLines w:val="0"/>
        <w:pageBreakBefore w:val="0"/>
        <w:kinsoku/>
        <w:wordWrap/>
        <w:overflowPunct/>
        <w:topLinePunct w:val="0"/>
        <w:autoSpaceDE/>
        <w:autoSpaceDN/>
        <w:bidi w:val="0"/>
        <w:adjustRightInd/>
        <w:snapToGrid w:val="0"/>
        <w:ind w:firstLine="480"/>
        <w:jc w:val="both"/>
        <w:textAlignment w:val="auto"/>
        <w:rPr>
          <w:color w:val="auto"/>
        </w:rPr>
      </w:pPr>
      <w:r>
        <w:rPr>
          <w:color w:val="auto"/>
        </w:rPr>
        <w:t>泄漏被控制后，要及时将现场泄漏物进行覆盖、收容、稀释、处理使泄漏物得到安全可靠的处置，防止二次事故的发生。</w:t>
      </w:r>
    </w:p>
    <w:p w14:paraId="548C4E95">
      <w:pPr>
        <w:keepNext w:val="0"/>
        <w:keepLines w:val="0"/>
        <w:pageBreakBefore w:val="0"/>
        <w:kinsoku/>
        <w:wordWrap/>
        <w:overflowPunct/>
        <w:topLinePunct w:val="0"/>
        <w:autoSpaceDE/>
        <w:autoSpaceDN/>
        <w:bidi w:val="0"/>
        <w:adjustRightInd/>
        <w:snapToGrid w:val="0"/>
        <w:ind w:firstLine="482"/>
        <w:jc w:val="both"/>
        <w:textAlignment w:val="auto"/>
        <w:rPr>
          <w:color w:val="auto"/>
        </w:rPr>
      </w:pPr>
      <w:r>
        <w:rPr>
          <w:b/>
          <w:bCs/>
          <w:color w:val="auto"/>
        </w:rPr>
        <w:t>泄漏处理方法：</w:t>
      </w:r>
      <w:r>
        <w:rPr>
          <w:color w:val="auto"/>
        </w:rPr>
        <w:t xml:space="preserve"> </w:t>
      </w:r>
    </w:p>
    <w:p w14:paraId="7A6310C3">
      <w:pPr>
        <w:keepNext w:val="0"/>
        <w:keepLines w:val="0"/>
        <w:pageBreakBefore w:val="0"/>
        <w:kinsoku/>
        <w:wordWrap/>
        <w:overflowPunct/>
        <w:topLinePunct w:val="0"/>
        <w:autoSpaceDE/>
        <w:autoSpaceDN/>
        <w:bidi w:val="0"/>
        <w:adjustRightInd/>
        <w:snapToGrid w:val="0"/>
        <w:ind w:firstLine="480"/>
        <w:jc w:val="both"/>
        <w:textAlignment w:val="auto"/>
        <w:rPr>
          <w:color w:val="auto"/>
        </w:rPr>
      </w:pPr>
      <w:r>
        <w:rPr>
          <w:rFonts w:hint="eastAsia" w:ascii="宋体" w:hAnsi="宋体" w:cs="宋体"/>
          <w:color w:val="auto"/>
        </w:rPr>
        <w:t>①</w:t>
      </w:r>
      <w:r>
        <w:rPr>
          <w:color w:val="auto"/>
        </w:rPr>
        <w:t xml:space="preserve">围堤堵截： </w:t>
      </w:r>
    </w:p>
    <w:p w14:paraId="2EE912F9">
      <w:pPr>
        <w:keepNext w:val="0"/>
        <w:keepLines w:val="0"/>
        <w:pageBreakBefore w:val="0"/>
        <w:kinsoku/>
        <w:wordWrap/>
        <w:overflowPunct/>
        <w:topLinePunct w:val="0"/>
        <w:autoSpaceDE/>
        <w:autoSpaceDN/>
        <w:bidi w:val="0"/>
        <w:adjustRightInd/>
        <w:snapToGrid w:val="0"/>
        <w:ind w:firstLine="480"/>
        <w:jc w:val="both"/>
        <w:textAlignment w:val="auto"/>
        <w:rPr>
          <w:color w:val="auto"/>
        </w:rPr>
      </w:pPr>
      <w:r>
        <w:rPr>
          <w:color w:val="auto"/>
        </w:rPr>
        <w:t>由于现场泄漏</w:t>
      </w:r>
      <w:r>
        <w:rPr>
          <w:rFonts w:hint="eastAsia"/>
          <w:color w:val="auto"/>
          <w:lang w:val="en-US" w:eastAsia="zh-CN"/>
        </w:rPr>
        <w:t>物</w:t>
      </w:r>
      <w:r>
        <w:rPr>
          <w:color w:val="auto"/>
        </w:rPr>
        <w:t xml:space="preserve">为液体，泄漏量大时，泄漏到地面上时会四处蔓延扩散，难以收集处理，为此需要筑堤堵截，比如可使用消防砂、吸油绳。 </w:t>
      </w:r>
    </w:p>
    <w:p w14:paraId="2CD88F88">
      <w:pPr>
        <w:keepNext w:val="0"/>
        <w:keepLines w:val="0"/>
        <w:pageBreakBefore w:val="0"/>
        <w:kinsoku/>
        <w:wordWrap/>
        <w:overflowPunct/>
        <w:topLinePunct w:val="0"/>
        <w:autoSpaceDE/>
        <w:autoSpaceDN/>
        <w:bidi w:val="0"/>
        <w:adjustRightInd/>
        <w:snapToGrid w:val="0"/>
        <w:ind w:firstLine="480"/>
        <w:jc w:val="both"/>
        <w:textAlignment w:val="auto"/>
        <w:rPr>
          <w:color w:val="auto"/>
        </w:rPr>
      </w:pPr>
      <w:r>
        <w:rPr>
          <w:rFonts w:hint="eastAsia" w:ascii="宋体" w:hAnsi="宋体" w:cs="宋体"/>
          <w:color w:val="auto"/>
        </w:rPr>
        <w:t>②</w:t>
      </w:r>
      <w:r>
        <w:rPr>
          <w:color w:val="auto"/>
        </w:rPr>
        <w:t xml:space="preserve">收容： </w:t>
      </w:r>
    </w:p>
    <w:p w14:paraId="584BB5C8">
      <w:pPr>
        <w:keepNext w:val="0"/>
        <w:keepLines w:val="0"/>
        <w:pageBreakBefore w:val="0"/>
        <w:kinsoku/>
        <w:wordWrap/>
        <w:overflowPunct/>
        <w:topLinePunct w:val="0"/>
        <w:autoSpaceDE/>
        <w:autoSpaceDN/>
        <w:bidi w:val="0"/>
        <w:adjustRightInd/>
        <w:snapToGrid w:val="0"/>
        <w:ind w:firstLine="480"/>
        <w:jc w:val="both"/>
        <w:textAlignment w:val="auto"/>
        <w:rPr>
          <w:color w:val="auto"/>
        </w:rPr>
      </w:pPr>
      <w:r>
        <w:rPr>
          <w:color w:val="auto"/>
        </w:rPr>
        <w:t xml:space="preserve">当泄漏量小时，可用沙子、吸附材料、中和材料等吸收中和。或者用固化法处理泄漏物。 </w:t>
      </w:r>
    </w:p>
    <w:p w14:paraId="6AD501D1">
      <w:pPr>
        <w:keepNext w:val="0"/>
        <w:keepLines w:val="0"/>
        <w:pageBreakBefore w:val="0"/>
        <w:kinsoku/>
        <w:wordWrap/>
        <w:overflowPunct/>
        <w:topLinePunct w:val="0"/>
        <w:autoSpaceDE/>
        <w:autoSpaceDN/>
        <w:bidi w:val="0"/>
        <w:adjustRightInd/>
        <w:snapToGrid w:val="0"/>
        <w:ind w:firstLine="480"/>
        <w:jc w:val="both"/>
        <w:textAlignment w:val="auto"/>
        <w:rPr>
          <w:color w:val="auto"/>
        </w:rPr>
      </w:pPr>
      <w:r>
        <w:rPr>
          <w:rFonts w:hint="eastAsia"/>
          <w:color w:val="auto"/>
          <w:lang w:val="en-US" w:eastAsia="zh-CN"/>
        </w:rPr>
        <w:fldChar w:fldCharType="begin"/>
      </w:r>
      <w:r>
        <w:rPr>
          <w:rFonts w:hint="eastAsia"/>
          <w:color w:val="auto"/>
          <w:lang w:val="en-US" w:eastAsia="zh-CN"/>
        </w:rPr>
        <w:instrText xml:space="preserve"> = 3 \* GB3 \* MERGEFORMAT </w:instrText>
      </w:r>
      <w:r>
        <w:rPr>
          <w:rFonts w:hint="eastAsia"/>
          <w:color w:val="auto"/>
          <w:lang w:val="en-US" w:eastAsia="zh-CN"/>
        </w:rPr>
        <w:fldChar w:fldCharType="separate"/>
      </w:r>
      <w:r>
        <w:rPr>
          <w:color w:val="auto"/>
        </w:rPr>
        <w:t>③</w:t>
      </w:r>
      <w:r>
        <w:rPr>
          <w:rFonts w:hint="eastAsia"/>
          <w:color w:val="auto"/>
          <w:lang w:val="en-US" w:eastAsia="zh-CN"/>
        </w:rPr>
        <w:fldChar w:fldCharType="end"/>
      </w:r>
      <w:r>
        <w:rPr>
          <w:color w:val="auto"/>
        </w:rPr>
        <w:t xml:space="preserve">废弃： </w:t>
      </w:r>
    </w:p>
    <w:p w14:paraId="7660B3C5">
      <w:pPr>
        <w:keepNext w:val="0"/>
        <w:keepLines w:val="0"/>
        <w:pageBreakBefore w:val="0"/>
        <w:kinsoku/>
        <w:wordWrap/>
        <w:overflowPunct/>
        <w:topLinePunct w:val="0"/>
        <w:autoSpaceDE/>
        <w:autoSpaceDN/>
        <w:bidi w:val="0"/>
        <w:adjustRightInd/>
        <w:snapToGrid w:val="0"/>
        <w:ind w:firstLine="480"/>
        <w:jc w:val="both"/>
        <w:textAlignment w:val="auto"/>
        <w:rPr>
          <w:color w:val="auto"/>
        </w:rPr>
      </w:pPr>
      <w:r>
        <w:rPr>
          <w:color w:val="auto"/>
        </w:rPr>
        <w:t xml:space="preserve">将收集的泄漏物交由有资质的危废处理单位进行处置。用消防水冲洗剩下的少量物料，冲洗水进入应急池。 </w:t>
      </w:r>
    </w:p>
    <w:p w14:paraId="74B3B655">
      <w:pPr>
        <w:pStyle w:val="20"/>
        <w:keepNext w:val="0"/>
        <w:keepLines w:val="0"/>
        <w:pageBreakBefore w:val="0"/>
        <w:kinsoku/>
        <w:wordWrap/>
        <w:overflowPunct/>
        <w:topLinePunct w:val="0"/>
        <w:autoSpaceDE/>
        <w:autoSpaceDN/>
        <w:bidi w:val="0"/>
        <w:adjustRightInd/>
        <w:snapToGrid w:val="0"/>
        <w:spacing w:beforeAutospacing="0" w:afterAutospacing="0"/>
        <w:ind w:firstLine="480"/>
        <w:jc w:val="both"/>
        <w:textAlignment w:val="auto"/>
        <w:rPr>
          <w:color w:val="auto"/>
        </w:rPr>
      </w:pPr>
      <w:r>
        <w:rPr>
          <w:color w:val="auto"/>
        </w:rPr>
        <w:t>应急处置卡见表</w:t>
      </w:r>
      <w:r>
        <w:rPr>
          <w:rFonts w:hint="eastAsia"/>
          <w:color w:val="auto"/>
          <w:lang w:val="en-US" w:eastAsia="zh-CN"/>
        </w:rPr>
        <w:t>6.2-1</w:t>
      </w:r>
      <w:r>
        <w:rPr>
          <w:color w:val="auto"/>
        </w:rPr>
        <w:t>。</w:t>
      </w:r>
    </w:p>
    <w:p w14:paraId="41F17D38">
      <w:pPr>
        <w:spacing w:line="240" w:lineRule="auto"/>
        <w:ind w:firstLine="482"/>
        <w:jc w:val="center"/>
        <w:rPr>
          <w:b/>
          <w:color w:val="auto"/>
          <w:szCs w:val="21"/>
        </w:rPr>
      </w:pPr>
      <w:r>
        <w:rPr>
          <w:b/>
          <w:color w:val="auto"/>
          <w:szCs w:val="21"/>
        </w:rPr>
        <w:t>表</w:t>
      </w:r>
      <w:r>
        <w:rPr>
          <w:rFonts w:hint="eastAsia"/>
          <w:b/>
          <w:color w:val="auto"/>
          <w:szCs w:val="21"/>
          <w:lang w:val="en-US" w:eastAsia="zh-CN"/>
        </w:rPr>
        <w:t>6.2-1</w:t>
      </w:r>
      <w:r>
        <w:rPr>
          <w:b/>
          <w:color w:val="auto"/>
          <w:szCs w:val="21"/>
        </w:rPr>
        <w:t xml:space="preserve"> </w:t>
      </w:r>
      <w:r>
        <w:rPr>
          <w:rFonts w:hint="eastAsia"/>
          <w:b/>
          <w:color w:val="auto"/>
          <w:szCs w:val="21"/>
          <w:lang w:val="en-US" w:eastAsia="zh-CN"/>
        </w:rPr>
        <w:t xml:space="preserve"> </w:t>
      </w:r>
      <w:r>
        <w:rPr>
          <w:b/>
          <w:color w:val="auto"/>
          <w:szCs w:val="21"/>
        </w:rPr>
        <w:t>危废泄漏事故应急处置卡</w:t>
      </w:r>
    </w:p>
    <w:tbl>
      <w:tblPr>
        <w:tblStyle w:val="23"/>
        <w:tblW w:w="8608"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8"/>
        <w:gridCol w:w="7580"/>
      </w:tblGrid>
      <w:tr w14:paraId="3010C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1028" w:type="dxa"/>
            <w:vAlign w:val="center"/>
          </w:tcPr>
          <w:p w14:paraId="31E5195C">
            <w:pPr>
              <w:pStyle w:val="41"/>
              <w:spacing w:line="240" w:lineRule="auto"/>
              <w:ind w:left="0" w:firstLine="0" w:firstLineChars="0"/>
              <w:jc w:val="center"/>
              <w:rPr>
                <w:rFonts w:ascii="Times New Roman" w:hAnsi="Times New Roman" w:cs="Times New Roman"/>
                <w:b/>
                <w:color w:val="auto"/>
                <w:sz w:val="21"/>
              </w:rPr>
            </w:pPr>
            <w:r>
              <w:rPr>
                <w:rFonts w:ascii="Times New Roman" w:hAnsi="Times New Roman" w:cs="Times New Roman"/>
                <w:b/>
                <w:color w:val="auto"/>
                <w:sz w:val="21"/>
              </w:rPr>
              <w:t>事故特征</w:t>
            </w:r>
          </w:p>
        </w:tc>
        <w:tc>
          <w:tcPr>
            <w:tcW w:w="7580" w:type="dxa"/>
            <w:vAlign w:val="center"/>
          </w:tcPr>
          <w:p w14:paraId="4BE3DDEE">
            <w:pPr>
              <w:pStyle w:val="41"/>
              <w:tabs>
                <w:tab w:val="left" w:pos="649"/>
              </w:tabs>
              <w:spacing w:line="240" w:lineRule="auto"/>
              <w:ind w:left="0" w:firstLine="0" w:firstLineChars="0"/>
              <w:jc w:val="both"/>
              <w:rPr>
                <w:rFonts w:ascii="Times New Roman" w:hAnsi="Times New Roman" w:cs="Times New Roman"/>
                <w:color w:val="auto"/>
                <w:sz w:val="21"/>
              </w:rPr>
            </w:pPr>
            <w:r>
              <w:rPr>
                <w:rFonts w:ascii="Times New Roman" w:hAnsi="Times New Roman" w:cs="Times New Roman"/>
                <w:color w:val="auto"/>
                <w:sz w:val="21"/>
              </w:rPr>
              <w:t>由于意外或者管理原因，致使</w:t>
            </w:r>
            <w:r>
              <w:rPr>
                <w:rFonts w:ascii="Times New Roman" w:hAnsi="Times New Roman" w:cs="Times New Roman"/>
                <w:color w:val="auto"/>
                <w:sz w:val="21"/>
                <w:lang w:val="en-US"/>
              </w:rPr>
              <w:t>液态危废</w:t>
            </w:r>
            <w:r>
              <w:rPr>
                <w:rFonts w:ascii="Times New Roman" w:hAnsi="Times New Roman" w:cs="Times New Roman"/>
                <w:color w:val="auto"/>
                <w:sz w:val="21"/>
              </w:rPr>
              <w:t>在储存过程中发生泄漏或者其他泄漏而引发的事故</w:t>
            </w:r>
          </w:p>
        </w:tc>
      </w:tr>
      <w:tr w14:paraId="56AF8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6" w:hRule="atLeast"/>
        </w:trPr>
        <w:tc>
          <w:tcPr>
            <w:tcW w:w="1028" w:type="dxa"/>
            <w:vAlign w:val="center"/>
          </w:tcPr>
          <w:p w14:paraId="0E9863DE">
            <w:pPr>
              <w:pStyle w:val="41"/>
              <w:spacing w:line="240" w:lineRule="auto"/>
              <w:ind w:left="0" w:firstLine="0" w:firstLineChars="0"/>
              <w:jc w:val="center"/>
              <w:rPr>
                <w:rFonts w:ascii="Times New Roman" w:hAnsi="Times New Roman" w:cs="Times New Roman"/>
                <w:b/>
                <w:color w:val="auto"/>
                <w:sz w:val="21"/>
              </w:rPr>
            </w:pPr>
            <w:r>
              <w:rPr>
                <w:rFonts w:ascii="Times New Roman" w:hAnsi="Times New Roman" w:cs="Times New Roman"/>
                <w:b/>
                <w:color w:val="auto"/>
                <w:sz w:val="21"/>
              </w:rPr>
              <w:t>应急程序</w:t>
            </w:r>
          </w:p>
        </w:tc>
        <w:tc>
          <w:tcPr>
            <w:tcW w:w="7580" w:type="dxa"/>
            <w:vAlign w:val="center"/>
          </w:tcPr>
          <w:p w14:paraId="2AEC1A18">
            <w:pPr>
              <w:pStyle w:val="41"/>
              <w:tabs>
                <w:tab w:val="left" w:pos="649"/>
              </w:tabs>
              <w:spacing w:line="240" w:lineRule="auto"/>
              <w:ind w:left="0" w:right="75" w:firstLine="0" w:firstLineChars="0"/>
              <w:jc w:val="both"/>
              <w:rPr>
                <w:rFonts w:ascii="Times New Roman" w:hAnsi="Times New Roman" w:cs="Times New Roman"/>
                <w:color w:val="auto"/>
                <w:sz w:val="21"/>
              </w:rPr>
            </w:pPr>
            <w:r>
              <w:rPr>
                <w:rFonts w:ascii="Times New Roman" w:hAnsi="Times New Roman" w:cs="Times New Roman"/>
                <w:color w:val="auto"/>
                <w:spacing w:val="-3"/>
                <w:sz w:val="21"/>
              </w:rPr>
              <w:t>（1）</w:t>
            </w:r>
            <w:r>
              <w:rPr>
                <w:rFonts w:ascii="Times New Roman" w:hAnsi="Times New Roman" w:cs="Times New Roman"/>
                <w:color w:val="auto"/>
                <w:spacing w:val="-6"/>
                <w:sz w:val="21"/>
              </w:rPr>
              <w:t>发生事故后，事故现场人员应立即报告车间负责人，车间成立现场应急处置小组根</w:t>
            </w:r>
            <w:r>
              <w:rPr>
                <w:rFonts w:ascii="Times New Roman" w:hAnsi="Times New Roman" w:cs="Times New Roman"/>
                <w:color w:val="auto"/>
                <w:spacing w:val="-3"/>
                <w:sz w:val="21"/>
              </w:rPr>
              <w:t>据现场实际情况同时进行应急处置，并根据事故的大小及发展态势向</w:t>
            </w:r>
            <w:r>
              <w:rPr>
                <w:rFonts w:ascii="Times New Roman" w:hAnsi="Times New Roman" w:cs="Times New Roman"/>
                <w:color w:val="auto"/>
                <w:sz w:val="21"/>
              </w:rPr>
              <w:t>公司领导、应急办公室报告和扩大应急救援级别。</w:t>
            </w:r>
          </w:p>
        </w:tc>
      </w:tr>
      <w:tr w14:paraId="18BD8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28" w:type="dxa"/>
            <w:vAlign w:val="center"/>
          </w:tcPr>
          <w:p w14:paraId="03FAA9C0">
            <w:pPr>
              <w:pStyle w:val="41"/>
              <w:spacing w:line="240" w:lineRule="auto"/>
              <w:ind w:left="0" w:firstLine="0" w:firstLineChars="0"/>
              <w:jc w:val="center"/>
              <w:rPr>
                <w:rFonts w:ascii="Times New Roman" w:hAnsi="Times New Roman" w:cs="Times New Roman"/>
                <w:b/>
                <w:color w:val="auto"/>
                <w:sz w:val="21"/>
              </w:rPr>
            </w:pPr>
            <w:r>
              <w:rPr>
                <w:rFonts w:ascii="Times New Roman" w:hAnsi="Times New Roman" w:cs="Times New Roman"/>
                <w:b/>
                <w:color w:val="auto"/>
                <w:sz w:val="21"/>
              </w:rPr>
              <w:t>报告程序</w:t>
            </w:r>
          </w:p>
        </w:tc>
        <w:tc>
          <w:tcPr>
            <w:tcW w:w="7580" w:type="dxa"/>
            <w:vAlign w:val="center"/>
          </w:tcPr>
          <w:p w14:paraId="01F86EFC">
            <w:pPr>
              <w:pStyle w:val="41"/>
              <w:spacing w:line="240" w:lineRule="auto"/>
              <w:ind w:left="0" w:firstLine="0" w:firstLineChars="0"/>
              <w:jc w:val="both"/>
              <w:rPr>
                <w:rFonts w:ascii="Times New Roman" w:hAnsi="Times New Roman" w:cs="Times New Roman"/>
                <w:color w:val="auto"/>
                <w:sz w:val="21"/>
              </w:rPr>
            </w:pPr>
            <w:r>
              <w:rPr>
                <w:rFonts w:ascii="Times New Roman" w:hAnsi="Times New Roman" w:cs="Times New Roman"/>
                <w:color w:val="auto"/>
                <w:sz w:val="21"/>
              </w:rPr>
              <w:t>第一发现人立即向事故部门负责人报告，事故判断，确认事件等级，立即向相应的事故部门负责人、应急办公室、应急指挥部报告，启动应急预案</w:t>
            </w:r>
          </w:p>
        </w:tc>
      </w:tr>
      <w:tr w14:paraId="54DE90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028" w:type="dxa"/>
            <w:vAlign w:val="center"/>
          </w:tcPr>
          <w:p w14:paraId="6031E972">
            <w:pPr>
              <w:pStyle w:val="41"/>
              <w:spacing w:line="240" w:lineRule="auto"/>
              <w:ind w:left="0" w:firstLine="0" w:firstLineChars="0"/>
              <w:jc w:val="center"/>
              <w:rPr>
                <w:rFonts w:ascii="Times New Roman" w:hAnsi="Times New Roman" w:cs="Times New Roman"/>
                <w:b/>
                <w:color w:val="auto"/>
                <w:sz w:val="21"/>
              </w:rPr>
            </w:pPr>
            <w:r>
              <w:rPr>
                <w:rFonts w:ascii="Times New Roman" w:hAnsi="Times New Roman" w:cs="Times New Roman"/>
                <w:b/>
                <w:color w:val="auto"/>
                <w:sz w:val="21"/>
              </w:rPr>
              <w:t>上报内容</w:t>
            </w:r>
          </w:p>
        </w:tc>
        <w:tc>
          <w:tcPr>
            <w:tcW w:w="7580" w:type="dxa"/>
            <w:vAlign w:val="center"/>
          </w:tcPr>
          <w:p w14:paraId="7F81FA5F">
            <w:pPr>
              <w:pStyle w:val="41"/>
              <w:spacing w:line="240" w:lineRule="auto"/>
              <w:ind w:left="0" w:firstLine="0" w:firstLineChars="0"/>
              <w:jc w:val="both"/>
              <w:rPr>
                <w:rFonts w:ascii="Times New Roman" w:hAnsi="Times New Roman" w:cs="Times New Roman"/>
                <w:color w:val="auto"/>
                <w:sz w:val="21"/>
                <w:szCs w:val="21"/>
              </w:rPr>
            </w:pPr>
            <w:r>
              <w:rPr>
                <w:rFonts w:ascii="Times New Roman" w:hAnsi="Times New Roman" w:cs="Times New Roman"/>
                <w:color w:val="auto"/>
                <w:sz w:val="21"/>
                <w:szCs w:val="21"/>
              </w:rPr>
              <w:t>报告内容：事故发生时间、地点、性质、伤亡基本情况等。</w:t>
            </w:r>
          </w:p>
          <w:p w14:paraId="56ACFA74">
            <w:pPr>
              <w:widowControl/>
              <w:spacing w:line="240" w:lineRule="auto"/>
              <w:ind w:firstLine="0" w:firstLine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抢险救灾组组长：</w:t>
            </w:r>
            <w:r>
              <w:rPr>
                <w:rFonts w:hint="eastAsia" w:eastAsiaTheme="minorEastAsia"/>
                <w:color w:val="auto"/>
                <w:sz w:val="21"/>
                <w:szCs w:val="21"/>
                <w:lang w:val="en-US" w:eastAsia="zh-CN"/>
              </w:rPr>
              <w:t>王一夫</w:t>
            </w:r>
            <w:r>
              <w:rPr>
                <w:rFonts w:hint="eastAsia" w:ascii="Times New Roman" w:hAnsi="Times New Roman" w:eastAsia="宋体" w:cs="Times New Roman"/>
                <w:color w:val="auto"/>
                <w:sz w:val="21"/>
                <w:szCs w:val="21"/>
                <w:lang w:val="en-US" w:eastAsia="zh-CN"/>
              </w:rPr>
              <w:t xml:space="preserve">  </w:t>
            </w:r>
            <w:r>
              <w:rPr>
                <w:rFonts w:hint="eastAsia" w:cs="Times New Roman"/>
                <w:color w:val="auto"/>
                <w:sz w:val="21"/>
                <w:szCs w:val="21"/>
                <w:lang w:val="en-US" w:eastAsia="zh-CN"/>
              </w:rPr>
              <w:t>15279411941</w:t>
            </w:r>
          </w:p>
          <w:p w14:paraId="0DDC5A68">
            <w:pPr>
              <w:widowControl/>
              <w:spacing w:line="240" w:lineRule="auto"/>
              <w:ind w:firstLine="0" w:firstLineChars="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应急救援指挥部：</w:t>
            </w:r>
            <w:r>
              <w:rPr>
                <w:rFonts w:hint="eastAsia" w:cs="Times New Roman"/>
                <w:color w:val="auto"/>
                <w:sz w:val="21"/>
                <w:szCs w:val="21"/>
                <w:lang w:val="en-US" w:eastAsia="zh-CN"/>
              </w:rPr>
              <w:t>汪桂萍</w:t>
            </w:r>
            <w:r>
              <w:rPr>
                <w:rFonts w:hint="eastAsia" w:ascii="Times New Roman" w:hAnsi="Times New Roman" w:eastAsia="宋体" w:cs="Times New Roman"/>
                <w:color w:val="auto"/>
                <w:sz w:val="21"/>
                <w:szCs w:val="21"/>
                <w:lang w:eastAsia="zh-CN"/>
              </w:rPr>
              <w:t xml:space="preserve">  </w:t>
            </w:r>
            <w:r>
              <w:rPr>
                <w:rFonts w:hint="eastAsia" w:cs="Times New Roman"/>
                <w:color w:val="auto"/>
                <w:sz w:val="21"/>
                <w:szCs w:val="21"/>
                <w:lang w:val="en-US" w:eastAsia="zh-CN"/>
              </w:rPr>
              <w:t>13879466693</w:t>
            </w:r>
          </w:p>
          <w:p w14:paraId="4E9B7BD3">
            <w:pPr>
              <w:widowControl/>
              <w:spacing w:line="240" w:lineRule="auto"/>
              <w:ind w:firstLine="0" w:firstLineChars="0"/>
              <w:rPr>
                <w:rFonts w:hint="eastAsia" w:eastAsia="宋体"/>
                <w:color w:val="auto"/>
                <w:sz w:val="21"/>
                <w:szCs w:val="21"/>
                <w:lang w:eastAsia="zh-CN"/>
              </w:rPr>
            </w:pPr>
            <w:r>
              <w:rPr>
                <w:rFonts w:hint="eastAsia"/>
                <w:color w:val="auto"/>
                <w:kern w:val="0"/>
                <w:sz w:val="21"/>
                <w:szCs w:val="21"/>
                <w:lang w:val="en-US" w:eastAsia="zh-CN" w:bidi="ar"/>
              </w:rPr>
              <w:t>资溪县</w:t>
            </w:r>
            <w:r>
              <w:rPr>
                <w:rFonts w:hint="eastAsia"/>
                <w:color w:val="auto"/>
                <w:kern w:val="0"/>
                <w:sz w:val="21"/>
                <w:szCs w:val="21"/>
                <w:lang w:eastAsia="zh-CN" w:bidi="ar"/>
              </w:rPr>
              <w:t>应急管理局：</w:t>
            </w:r>
            <w:r>
              <w:rPr>
                <w:rFonts w:hint="eastAsia" w:cs="Times New Roman"/>
                <w:color w:val="auto"/>
                <w:sz w:val="21"/>
                <w:szCs w:val="21"/>
                <w:lang w:eastAsia="zh-CN"/>
              </w:rPr>
              <w:t>0794-5799922</w:t>
            </w:r>
          </w:p>
        </w:tc>
      </w:tr>
      <w:tr w14:paraId="4366A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028" w:type="dxa"/>
            <w:vAlign w:val="center"/>
          </w:tcPr>
          <w:p w14:paraId="3741AFBE">
            <w:pPr>
              <w:pStyle w:val="41"/>
              <w:spacing w:line="240" w:lineRule="auto"/>
              <w:ind w:left="0" w:firstLine="0" w:firstLineChars="0"/>
              <w:jc w:val="center"/>
              <w:rPr>
                <w:rFonts w:ascii="Times New Roman" w:hAnsi="Times New Roman" w:cs="Times New Roman"/>
                <w:b/>
                <w:color w:val="auto"/>
                <w:sz w:val="21"/>
              </w:rPr>
            </w:pPr>
            <w:r>
              <w:rPr>
                <w:rFonts w:ascii="Times New Roman" w:hAnsi="Times New Roman" w:cs="Times New Roman"/>
                <w:b/>
                <w:color w:val="auto"/>
                <w:sz w:val="21"/>
              </w:rPr>
              <w:t>预案启动</w:t>
            </w:r>
          </w:p>
        </w:tc>
        <w:tc>
          <w:tcPr>
            <w:tcW w:w="7580" w:type="dxa"/>
            <w:vAlign w:val="center"/>
          </w:tcPr>
          <w:p w14:paraId="56921067">
            <w:pPr>
              <w:pStyle w:val="41"/>
              <w:spacing w:line="240" w:lineRule="auto"/>
              <w:ind w:left="0" w:firstLine="0" w:firstLineChars="0"/>
              <w:jc w:val="both"/>
              <w:rPr>
                <w:rFonts w:ascii="Times New Roman" w:hAnsi="Times New Roman" w:cs="Times New Roman"/>
                <w:color w:val="auto"/>
                <w:sz w:val="21"/>
                <w:szCs w:val="21"/>
              </w:rPr>
            </w:pPr>
            <w:r>
              <w:rPr>
                <w:rFonts w:ascii="Times New Roman" w:hAnsi="Times New Roman" w:cs="Times New Roman"/>
                <w:color w:val="auto"/>
                <w:sz w:val="21"/>
                <w:szCs w:val="21"/>
              </w:rPr>
              <w:t>应急总指挥启动I、II级响应（III级由应急办公室响应依据1.4.2章节划分）</w:t>
            </w:r>
          </w:p>
        </w:tc>
      </w:tr>
      <w:tr w14:paraId="485375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8" w:hRule="atLeast"/>
        </w:trPr>
        <w:tc>
          <w:tcPr>
            <w:tcW w:w="1028" w:type="dxa"/>
            <w:vAlign w:val="center"/>
          </w:tcPr>
          <w:p w14:paraId="4067DB11">
            <w:pPr>
              <w:pStyle w:val="41"/>
              <w:spacing w:line="240" w:lineRule="auto"/>
              <w:ind w:left="0" w:firstLine="0" w:firstLineChars="0"/>
              <w:jc w:val="center"/>
              <w:rPr>
                <w:rFonts w:ascii="Times New Roman" w:hAnsi="Times New Roman" w:cs="Times New Roman"/>
                <w:b/>
                <w:color w:val="auto"/>
                <w:sz w:val="21"/>
              </w:rPr>
            </w:pPr>
            <w:r>
              <w:rPr>
                <w:rFonts w:ascii="Times New Roman" w:hAnsi="Times New Roman" w:cs="Times New Roman"/>
                <w:b/>
                <w:color w:val="auto"/>
                <w:sz w:val="21"/>
              </w:rPr>
              <w:t>应急处置措施</w:t>
            </w:r>
          </w:p>
        </w:tc>
        <w:tc>
          <w:tcPr>
            <w:tcW w:w="7580" w:type="dxa"/>
          </w:tcPr>
          <w:p w14:paraId="23B1412A">
            <w:pPr>
              <w:pStyle w:val="41"/>
              <w:spacing w:line="240" w:lineRule="auto"/>
              <w:ind w:left="0" w:firstLine="0" w:firstLineChars="0"/>
              <w:jc w:val="both"/>
              <w:rPr>
                <w:rFonts w:ascii="Times New Roman" w:hAnsi="Times New Roman" w:cs="Times New Roman"/>
                <w:color w:val="auto"/>
                <w:sz w:val="21"/>
                <w:szCs w:val="21"/>
              </w:rPr>
            </w:pPr>
            <w:r>
              <w:rPr>
                <w:rFonts w:hint="eastAsia" w:ascii="宋体" w:hAnsi="宋体" w:cs="宋体"/>
                <w:color w:val="auto"/>
                <w:sz w:val="21"/>
                <w:szCs w:val="21"/>
              </w:rPr>
              <w:t>①</w:t>
            </w:r>
            <w:r>
              <w:rPr>
                <w:rFonts w:ascii="Times New Roman" w:hAnsi="Times New Roman" w:cs="Times New Roman"/>
                <w:color w:val="auto"/>
                <w:sz w:val="21"/>
                <w:szCs w:val="21"/>
              </w:rPr>
              <w:t xml:space="preserve">围堤堵截： </w:t>
            </w:r>
          </w:p>
          <w:p w14:paraId="00ED7620">
            <w:pPr>
              <w:pStyle w:val="41"/>
              <w:spacing w:line="240" w:lineRule="auto"/>
              <w:ind w:left="0" w:firstLine="0" w:firstLineChars="0"/>
              <w:jc w:val="both"/>
              <w:rPr>
                <w:rFonts w:ascii="Times New Roman" w:hAnsi="Times New Roman" w:cs="Times New Roman"/>
                <w:color w:val="auto"/>
                <w:sz w:val="21"/>
                <w:szCs w:val="21"/>
              </w:rPr>
            </w:pPr>
            <w:r>
              <w:rPr>
                <w:rFonts w:ascii="Times New Roman" w:hAnsi="Times New Roman" w:cs="Times New Roman"/>
                <w:color w:val="auto"/>
                <w:sz w:val="21"/>
                <w:szCs w:val="21"/>
              </w:rPr>
              <w:t>由于现场泄漏</w:t>
            </w:r>
            <w:r>
              <w:rPr>
                <w:rFonts w:hint="eastAsia" w:ascii="Times New Roman" w:hAnsi="Times New Roman" w:cs="Times New Roman"/>
                <w:color w:val="auto"/>
                <w:sz w:val="21"/>
                <w:szCs w:val="21"/>
                <w:lang w:eastAsia="zh-CN"/>
              </w:rPr>
              <w:t>危险废物</w:t>
            </w:r>
            <w:r>
              <w:rPr>
                <w:rFonts w:ascii="Times New Roman" w:hAnsi="Times New Roman" w:cs="Times New Roman"/>
                <w:color w:val="auto"/>
                <w:sz w:val="21"/>
                <w:szCs w:val="21"/>
              </w:rPr>
              <w:t>为液体，</w:t>
            </w:r>
            <w:r>
              <w:rPr>
                <w:rFonts w:ascii="Times New Roman" w:hAnsi="Times New Roman" w:cs="Times New Roman"/>
                <w:color w:val="auto"/>
                <w:sz w:val="21"/>
                <w:szCs w:val="21"/>
                <w:lang w:val="en-US"/>
              </w:rPr>
              <w:t>泄漏量大时，</w:t>
            </w:r>
            <w:r>
              <w:rPr>
                <w:rFonts w:ascii="Times New Roman" w:hAnsi="Times New Roman" w:cs="Times New Roman"/>
                <w:color w:val="auto"/>
                <w:sz w:val="21"/>
                <w:szCs w:val="21"/>
              </w:rPr>
              <w:t>泄漏到地面上时会四处蔓延扩散，难以收集处理，为此需要筑堤堵截，</w:t>
            </w:r>
            <w:r>
              <w:rPr>
                <w:rFonts w:ascii="Times New Roman" w:hAnsi="Times New Roman" w:cs="Times New Roman"/>
                <w:color w:val="auto"/>
                <w:sz w:val="21"/>
                <w:szCs w:val="21"/>
                <w:lang w:val="en-US"/>
              </w:rPr>
              <w:t>比如可使用消防砂、吸油绳</w:t>
            </w:r>
            <w:r>
              <w:rPr>
                <w:rFonts w:ascii="Times New Roman" w:hAnsi="Times New Roman" w:cs="Times New Roman"/>
                <w:color w:val="auto"/>
                <w:sz w:val="21"/>
                <w:szCs w:val="21"/>
              </w:rPr>
              <w:t xml:space="preserve">。 </w:t>
            </w:r>
          </w:p>
          <w:p w14:paraId="2AC52F41">
            <w:pPr>
              <w:pStyle w:val="41"/>
              <w:spacing w:line="240" w:lineRule="auto"/>
              <w:ind w:left="0" w:firstLine="0" w:firstLineChars="0"/>
              <w:jc w:val="both"/>
              <w:rPr>
                <w:rFonts w:ascii="Times New Roman" w:hAnsi="Times New Roman" w:cs="Times New Roman"/>
                <w:color w:val="auto"/>
                <w:sz w:val="21"/>
                <w:szCs w:val="21"/>
              </w:rPr>
            </w:pPr>
            <w:r>
              <w:rPr>
                <w:rFonts w:hint="eastAsia" w:ascii="宋体" w:hAnsi="宋体" w:cs="宋体"/>
                <w:color w:val="auto"/>
                <w:sz w:val="21"/>
                <w:szCs w:val="21"/>
              </w:rPr>
              <w:t>②</w:t>
            </w:r>
            <w:r>
              <w:rPr>
                <w:rFonts w:ascii="Times New Roman" w:hAnsi="Times New Roman" w:cs="Times New Roman"/>
                <w:color w:val="auto"/>
                <w:sz w:val="21"/>
                <w:szCs w:val="21"/>
              </w:rPr>
              <w:t xml:space="preserve">收容： </w:t>
            </w:r>
          </w:p>
          <w:p w14:paraId="35C3996E">
            <w:pPr>
              <w:pStyle w:val="41"/>
              <w:spacing w:line="240" w:lineRule="auto"/>
              <w:ind w:left="0" w:firstLine="0" w:firstLineChars="0"/>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当泄漏量小时，可用沙子、吸附材料 、中和材料等吸收中和。或者用固化法处理泄漏物。 </w:t>
            </w:r>
          </w:p>
          <w:p w14:paraId="12CB7E68">
            <w:pPr>
              <w:pStyle w:val="41"/>
              <w:spacing w:line="240" w:lineRule="auto"/>
              <w:ind w:left="0" w:firstLine="0" w:firstLineChars="0"/>
              <w:jc w:val="both"/>
              <w:rPr>
                <w:rFonts w:ascii="Times New Roman" w:hAnsi="Times New Roman" w:cs="Times New Roman"/>
                <w:color w:val="auto"/>
                <w:sz w:val="21"/>
                <w:szCs w:val="21"/>
              </w:rPr>
            </w:pPr>
            <w:r>
              <w:rPr>
                <w:rFonts w:ascii="Times New Roman" w:hAnsi="Times New Roman" w:cs="Times New Roman"/>
                <w:color w:val="auto"/>
                <w:sz w:val="21"/>
                <w:szCs w:val="21"/>
              </w:rPr>
              <w:fldChar w:fldCharType="begin"/>
            </w:r>
            <w:r>
              <w:rPr>
                <w:rFonts w:ascii="Times New Roman" w:hAnsi="Times New Roman" w:cs="Times New Roman"/>
                <w:color w:val="auto"/>
                <w:sz w:val="21"/>
                <w:szCs w:val="21"/>
              </w:rPr>
              <w:instrText xml:space="preserve"> = 5 \* GB3 \* MERGEFORMAT </w:instrText>
            </w:r>
            <w:r>
              <w:rPr>
                <w:rFonts w:ascii="Times New Roman" w:hAnsi="Times New Roman" w:cs="Times New Roman"/>
                <w:color w:val="auto"/>
                <w:sz w:val="21"/>
                <w:szCs w:val="21"/>
              </w:rPr>
              <w:fldChar w:fldCharType="separate"/>
            </w:r>
            <w:r>
              <w:rPr>
                <w:rFonts w:hint="eastAsia" w:ascii="宋体" w:hAnsi="宋体" w:cs="宋体"/>
                <w:color w:val="auto"/>
                <w:sz w:val="21"/>
                <w:szCs w:val="21"/>
              </w:rPr>
              <w:t>⑤</w:t>
            </w:r>
            <w:r>
              <w:rPr>
                <w:rFonts w:ascii="Times New Roman" w:hAnsi="Times New Roman" w:cs="Times New Roman"/>
                <w:color w:val="auto"/>
                <w:sz w:val="21"/>
                <w:szCs w:val="21"/>
              </w:rPr>
              <w:fldChar w:fldCharType="end"/>
            </w:r>
            <w:r>
              <w:rPr>
                <w:rFonts w:ascii="Times New Roman" w:hAnsi="Times New Roman" w:cs="Times New Roman"/>
                <w:color w:val="auto"/>
                <w:sz w:val="21"/>
                <w:szCs w:val="21"/>
              </w:rPr>
              <w:t xml:space="preserve">废弃： </w:t>
            </w:r>
          </w:p>
          <w:p w14:paraId="1FF081E5">
            <w:pPr>
              <w:pStyle w:val="41"/>
              <w:spacing w:line="240" w:lineRule="auto"/>
              <w:ind w:left="0" w:firstLine="0" w:firstLineChars="0"/>
              <w:jc w:val="both"/>
              <w:rPr>
                <w:rFonts w:ascii="Times New Roman" w:hAnsi="Times New Roman" w:cs="Times New Roman"/>
                <w:color w:val="auto"/>
                <w:sz w:val="21"/>
                <w:szCs w:val="21"/>
              </w:rPr>
            </w:pPr>
            <w:r>
              <w:rPr>
                <w:rFonts w:ascii="Times New Roman" w:hAnsi="Times New Roman" w:cs="Times New Roman"/>
                <w:color w:val="auto"/>
                <w:sz w:val="21"/>
                <w:szCs w:val="21"/>
              </w:rPr>
              <w:t>将收集的泄漏物</w:t>
            </w:r>
            <w:r>
              <w:rPr>
                <w:rFonts w:ascii="Times New Roman" w:hAnsi="Times New Roman" w:cs="Times New Roman"/>
                <w:color w:val="auto"/>
                <w:sz w:val="21"/>
                <w:szCs w:val="21"/>
                <w:lang w:val="en-US"/>
              </w:rPr>
              <w:t>交由有资质的危废处理单位进行</w:t>
            </w:r>
            <w:r>
              <w:rPr>
                <w:rFonts w:ascii="Times New Roman" w:hAnsi="Times New Roman" w:cs="Times New Roman"/>
                <w:color w:val="auto"/>
                <w:sz w:val="21"/>
                <w:szCs w:val="21"/>
              </w:rPr>
              <w:t>处置。用消防水冲洗剩下的少量物料，冲洗水</w:t>
            </w:r>
            <w:r>
              <w:rPr>
                <w:rFonts w:ascii="Times New Roman" w:hAnsi="Times New Roman" w:cs="Times New Roman"/>
                <w:color w:val="auto"/>
                <w:sz w:val="21"/>
                <w:szCs w:val="21"/>
                <w:lang w:val="en-US"/>
              </w:rPr>
              <w:t>进入应急池</w:t>
            </w:r>
            <w:r>
              <w:rPr>
                <w:rFonts w:ascii="Times New Roman" w:hAnsi="Times New Roman" w:cs="Times New Roman"/>
                <w:color w:val="auto"/>
                <w:sz w:val="21"/>
                <w:szCs w:val="21"/>
              </w:rPr>
              <w:t xml:space="preserve">。 </w:t>
            </w:r>
          </w:p>
        </w:tc>
      </w:tr>
      <w:tr w14:paraId="11A0F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1028" w:type="dxa"/>
            <w:vAlign w:val="center"/>
          </w:tcPr>
          <w:p w14:paraId="2358D4A1">
            <w:pPr>
              <w:pStyle w:val="41"/>
              <w:spacing w:line="240" w:lineRule="auto"/>
              <w:ind w:left="0" w:firstLine="0" w:firstLineChars="0"/>
              <w:jc w:val="center"/>
              <w:rPr>
                <w:rFonts w:ascii="Times New Roman" w:hAnsi="Times New Roman" w:cs="Times New Roman"/>
                <w:b/>
                <w:color w:val="auto"/>
                <w:sz w:val="21"/>
              </w:rPr>
            </w:pPr>
            <w:r>
              <w:rPr>
                <w:rFonts w:ascii="Times New Roman" w:hAnsi="Times New Roman" w:cs="Times New Roman"/>
                <w:b/>
                <w:color w:val="auto"/>
                <w:sz w:val="21"/>
              </w:rPr>
              <w:t>应急监测方案</w:t>
            </w:r>
          </w:p>
        </w:tc>
        <w:tc>
          <w:tcPr>
            <w:tcW w:w="7580" w:type="dxa"/>
            <w:vAlign w:val="center"/>
          </w:tcPr>
          <w:p w14:paraId="26FA8654">
            <w:pPr>
              <w:pStyle w:val="41"/>
              <w:tabs>
                <w:tab w:val="left" w:pos="649"/>
              </w:tabs>
              <w:spacing w:line="240" w:lineRule="auto"/>
              <w:ind w:left="0" w:firstLine="0" w:firstLineChars="0"/>
              <w:jc w:val="center"/>
              <w:rPr>
                <w:rFonts w:ascii="Times New Roman" w:hAnsi="Times New Roman" w:cs="Times New Roman"/>
                <w:color w:val="auto"/>
                <w:sz w:val="21"/>
              </w:rPr>
            </w:pPr>
            <w:r>
              <w:rPr>
                <w:rFonts w:ascii="Times New Roman" w:hAnsi="Times New Roman" w:cs="Times New Roman"/>
                <w:color w:val="auto"/>
                <w:sz w:val="21"/>
                <w:lang w:val="en-US"/>
              </w:rPr>
              <w:t>/</w:t>
            </w:r>
          </w:p>
        </w:tc>
      </w:tr>
      <w:tr w14:paraId="24986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028" w:type="dxa"/>
            <w:vAlign w:val="center"/>
          </w:tcPr>
          <w:p w14:paraId="45F480B6">
            <w:pPr>
              <w:pStyle w:val="41"/>
              <w:spacing w:line="240" w:lineRule="auto"/>
              <w:ind w:left="0" w:firstLine="0" w:firstLineChars="0"/>
              <w:jc w:val="center"/>
              <w:rPr>
                <w:rFonts w:ascii="Times New Roman" w:hAnsi="Times New Roman" w:cs="Times New Roman"/>
                <w:b/>
                <w:color w:val="auto"/>
                <w:sz w:val="21"/>
              </w:rPr>
            </w:pPr>
            <w:r>
              <w:rPr>
                <w:rFonts w:ascii="Times New Roman" w:hAnsi="Times New Roman" w:cs="Times New Roman"/>
                <w:b/>
                <w:color w:val="auto"/>
                <w:sz w:val="21"/>
              </w:rPr>
              <w:t>注意事项</w:t>
            </w:r>
          </w:p>
        </w:tc>
        <w:tc>
          <w:tcPr>
            <w:tcW w:w="7580" w:type="dxa"/>
          </w:tcPr>
          <w:p w14:paraId="65635047">
            <w:pPr>
              <w:pStyle w:val="41"/>
              <w:spacing w:line="240" w:lineRule="auto"/>
              <w:ind w:left="0" w:firstLine="0" w:firstLineChars="0"/>
              <w:jc w:val="both"/>
              <w:rPr>
                <w:rFonts w:ascii="Times New Roman" w:hAnsi="Times New Roman" w:cs="Times New Roman"/>
                <w:color w:val="auto"/>
                <w:sz w:val="21"/>
                <w:szCs w:val="21"/>
              </w:rPr>
            </w:pPr>
            <w:r>
              <w:rPr>
                <w:rFonts w:hint="eastAsia" w:ascii="宋体" w:hAnsi="宋体" w:cs="宋体"/>
                <w:color w:val="auto"/>
                <w:sz w:val="21"/>
                <w:szCs w:val="21"/>
              </w:rPr>
              <w:t>①</w:t>
            </w:r>
            <w:r>
              <w:rPr>
                <w:rFonts w:ascii="Times New Roman" w:hAnsi="Times New Roman" w:cs="Times New Roman"/>
                <w:color w:val="auto"/>
                <w:sz w:val="21"/>
                <w:szCs w:val="21"/>
              </w:rPr>
              <w:t xml:space="preserve">进入现场人员必须配备必要的个人防护器具。 </w:t>
            </w:r>
          </w:p>
          <w:p w14:paraId="4CCC6BB1">
            <w:pPr>
              <w:pStyle w:val="41"/>
              <w:spacing w:line="240" w:lineRule="auto"/>
              <w:ind w:left="0" w:firstLine="0" w:firstLineChars="0"/>
              <w:jc w:val="both"/>
              <w:rPr>
                <w:rFonts w:ascii="Times New Roman" w:hAnsi="Times New Roman" w:cs="Times New Roman"/>
                <w:color w:val="auto"/>
                <w:sz w:val="21"/>
                <w:szCs w:val="21"/>
              </w:rPr>
            </w:pPr>
            <w:r>
              <w:rPr>
                <w:rFonts w:hint="eastAsia" w:ascii="宋体" w:hAnsi="宋体" w:cs="宋体"/>
                <w:color w:val="auto"/>
                <w:sz w:val="21"/>
                <w:szCs w:val="21"/>
              </w:rPr>
              <w:t>②</w:t>
            </w:r>
            <w:r>
              <w:rPr>
                <w:rFonts w:ascii="Times New Roman" w:hAnsi="Times New Roman" w:cs="Times New Roman"/>
                <w:color w:val="auto"/>
                <w:sz w:val="21"/>
                <w:szCs w:val="21"/>
              </w:rPr>
              <w:t xml:space="preserve">严禁火种，扑灭任何明火及任何其他形式的热源和火源，以降低发生火灾爆炸危险性； </w:t>
            </w:r>
          </w:p>
          <w:p w14:paraId="2A71D3F8">
            <w:pPr>
              <w:pStyle w:val="41"/>
              <w:spacing w:line="240" w:lineRule="auto"/>
              <w:ind w:left="0" w:firstLine="0" w:firstLineChars="0"/>
              <w:jc w:val="both"/>
              <w:rPr>
                <w:rFonts w:ascii="Times New Roman" w:hAnsi="Times New Roman" w:cs="Times New Roman"/>
                <w:color w:val="auto"/>
                <w:sz w:val="21"/>
                <w:szCs w:val="21"/>
              </w:rPr>
            </w:pPr>
            <w:r>
              <w:rPr>
                <w:rFonts w:hint="eastAsia" w:ascii="宋体" w:hAnsi="宋体" w:cs="宋体"/>
                <w:color w:val="auto"/>
                <w:sz w:val="21"/>
                <w:szCs w:val="21"/>
              </w:rPr>
              <w:t>③</w:t>
            </w:r>
            <w:r>
              <w:rPr>
                <w:rFonts w:ascii="Times New Roman" w:hAnsi="Times New Roman" w:cs="Times New Roman"/>
                <w:color w:val="auto"/>
                <w:sz w:val="21"/>
                <w:szCs w:val="21"/>
              </w:rPr>
              <w:t xml:space="preserve">应急处理时严禁单独行动，要有监护人，必要时用水枪、水炮掩护。 </w:t>
            </w:r>
          </w:p>
          <w:p w14:paraId="29A92A47">
            <w:pPr>
              <w:pStyle w:val="41"/>
              <w:spacing w:line="240" w:lineRule="auto"/>
              <w:ind w:left="0" w:firstLine="0" w:firstLineChars="0"/>
              <w:jc w:val="both"/>
              <w:rPr>
                <w:rFonts w:ascii="Times New Roman" w:hAnsi="Times New Roman" w:cs="Times New Roman"/>
                <w:color w:val="auto"/>
                <w:sz w:val="21"/>
                <w:szCs w:val="21"/>
              </w:rPr>
            </w:pPr>
            <w:r>
              <w:rPr>
                <w:rFonts w:hint="eastAsia" w:ascii="宋体" w:hAnsi="宋体" w:cs="宋体"/>
                <w:color w:val="auto"/>
                <w:sz w:val="21"/>
                <w:szCs w:val="21"/>
              </w:rPr>
              <w:t>④</w:t>
            </w:r>
            <w:r>
              <w:rPr>
                <w:rFonts w:ascii="Times New Roman" w:hAnsi="Times New Roman" w:cs="Times New Roman"/>
                <w:color w:val="auto"/>
                <w:sz w:val="21"/>
                <w:szCs w:val="21"/>
              </w:rPr>
              <w:t>应从上风、上坡处接近现场，严禁盲目进入。</w:t>
            </w:r>
          </w:p>
        </w:tc>
      </w:tr>
    </w:tbl>
    <w:p w14:paraId="2ADD47D8">
      <w:pPr>
        <w:pStyle w:val="6"/>
        <w:spacing w:before="156" w:after="156"/>
        <w:rPr>
          <w:color w:val="auto"/>
        </w:rPr>
      </w:pPr>
      <w:r>
        <w:rPr>
          <w:rFonts w:hint="eastAsia"/>
          <w:color w:val="auto"/>
          <w:lang w:eastAsia="zh-CN"/>
        </w:rPr>
        <w:t>6.</w:t>
      </w:r>
      <w:r>
        <w:rPr>
          <w:rFonts w:hint="eastAsia"/>
          <w:color w:val="auto"/>
        </w:rPr>
        <w:t>2.</w:t>
      </w:r>
      <w:r>
        <w:rPr>
          <w:rFonts w:hint="eastAsia"/>
          <w:color w:val="auto"/>
          <w:lang w:val="en-US" w:eastAsia="zh-CN"/>
        </w:rPr>
        <w:t>3</w:t>
      </w:r>
      <w:r>
        <w:rPr>
          <w:rFonts w:hint="eastAsia"/>
          <w:color w:val="auto"/>
        </w:rPr>
        <w:t>地表水环境风险处置措施</w:t>
      </w:r>
    </w:p>
    <w:p w14:paraId="5F3974E3">
      <w:pPr>
        <w:pStyle w:val="31"/>
        <w:rPr>
          <w:color w:val="auto"/>
        </w:rPr>
      </w:pPr>
      <w:r>
        <w:rPr>
          <w:rFonts w:hint="eastAsia"/>
          <w:color w:val="auto"/>
        </w:rPr>
        <w:t>①泄漏</w:t>
      </w:r>
    </w:p>
    <w:p w14:paraId="3B40F430">
      <w:pPr>
        <w:pStyle w:val="31"/>
        <w:rPr>
          <w:color w:val="auto"/>
        </w:rPr>
      </w:pPr>
      <w:r>
        <w:rPr>
          <w:rFonts w:hint="eastAsia"/>
          <w:color w:val="auto"/>
        </w:rPr>
        <w:t>若公司某条输送管道发生破裂，污水可能泄漏至厂区地面漫流，发现后作业人员及时关闭该输送管道上游阀门，由维修人员对管道进行维修，污水厂厂区地面除绿化部分外全部硬化处理，泄漏污水可通过厂区雨污管网回流至污水处理设施进水口，重新处理。</w:t>
      </w:r>
    </w:p>
    <w:p w14:paraId="31710DDD">
      <w:pPr>
        <w:pStyle w:val="31"/>
        <w:rPr>
          <w:color w:val="auto"/>
        </w:rPr>
      </w:pPr>
      <w:r>
        <w:rPr>
          <w:rFonts w:hint="eastAsia"/>
          <w:color w:val="auto"/>
        </w:rPr>
        <w:t>②进水水质超标</w:t>
      </w:r>
    </w:p>
    <w:p w14:paraId="6B50089D">
      <w:pPr>
        <w:pStyle w:val="31"/>
        <w:rPr>
          <w:color w:val="auto"/>
        </w:rPr>
      </w:pPr>
      <w:r>
        <w:rPr>
          <w:rFonts w:hint="eastAsia"/>
          <w:color w:val="auto"/>
        </w:rPr>
        <w:t>污水处理厂设置进水水质在线自动监测装置，同时化验室员工日常定期取样化验进水水质，一旦发现进水水质超标，立即联系上游重点排污单位，对其污水排放情况进行收集，并要求其立即停止排放超标污水，待其污水达标后方可向收水管网排水，同时针对超标污染物，对污水处理设施运行参数进行调整，确保已收污水达标排放。</w:t>
      </w:r>
    </w:p>
    <w:p w14:paraId="7AFE5F9D">
      <w:pPr>
        <w:pStyle w:val="31"/>
        <w:rPr>
          <w:color w:val="auto"/>
        </w:rPr>
      </w:pPr>
      <w:r>
        <w:rPr>
          <w:rFonts w:hint="eastAsia"/>
          <w:color w:val="auto"/>
        </w:rPr>
        <w:t>③出水水质超标</w:t>
      </w:r>
    </w:p>
    <w:p w14:paraId="1E983381">
      <w:pPr>
        <w:pStyle w:val="31"/>
        <w:rPr>
          <w:color w:val="auto"/>
        </w:rPr>
      </w:pPr>
      <w:r>
        <w:rPr>
          <w:rFonts w:hint="eastAsia"/>
          <w:color w:val="auto"/>
        </w:rPr>
        <w:t>污水处理厂设置出水水质在线自动监测装置，同时化验室员工日常定期取样化验出水水质，一旦发现出水水质超标，立即检查各污水处理设施运行情况并暂停出水外排。若出现单套处理设施运行参数控制不当、污泥活性降低或装置故障等，进而导致污水处理站运行不稳定，处理效率降低的污水超标排放事故时，公司应急指挥中心通过控制污水流量、生化反应时间、水力停留时间、调整污泥沉降比、排泥时间等运行参数最大限度保证污水厂处理效率，确保废水达标排放。</w:t>
      </w:r>
    </w:p>
    <w:p w14:paraId="3BECC61F">
      <w:pPr>
        <w:pStyle w:val="31"/>
        <w:rPr>
          <w:color w:val="auto"/>
        </w:rPr>
      </w:pPr>
      <w:r>
        <w:rPr>
          <w:rFonts w:hint="eastAsia"/>
          <w:color w:val="auto"/>
        </w:rPr>
        <w:t>④污水处理设备故障</w:t>
      </w:r>
    </w:p>
    <w:p w14:paraId="1E1B47F7">
      <w:pPr>
        <w:pStyle w:val="31"/>
        <w:rPr>
          <w:color w:val="auto"/>
        </w:rPr>
      </w:pPr>
      <w:r>
        <w:rPr>
          <w:rFonts w:hint="eastAsia"/>
          <w:color w:val="auto"/>
        </w:rPr>
        <w:t>污水厂关键工序如粗格栅、细格栅、污水提升泵、污泥进料泵、污泥脱水机等均设有备用设备。同时污水厂现有生化处理系统，各系统均独立运行，各组生化处理系统均设置2组子单元并列运行，一旦单组处理系统故障情况下，可通过污水厂流量分配管路对其余各组处理系统进水水量重新分配，确保不出现污水直接排放的情况。</w:t>
      </w:r>
    </w:p>
    <w:p w14:paraId="11346F2A">
      <w:pPr>
        <w:pStyle w:val="31"/>
        <w:rPr>
          <w:color w:val="auto"/>
        </w:rPr>
      </w:pPr>
      <w:r>
        <w:rPr>
          <w:rFonts w:hint="eastAsia"/>
          <w:color w:val="auto"/>
        </w:rPr>
        <w:t>⑤突发性自然灾害等</w:t>
      </w:r>
    </w:p>
    <w:p w14:paraId="3160A9AF">
      <w:pPr>
        <w:pStyle w:val="31"/>
        <w:rPr>
          <w:color w:val="auto"/>
        </w:rPr>
      </w:pPr>
      <w:r>
        <w:rPr>
          <w:rFonts w:hint="eastAsia"/>
          <w:color w:val="auto"/>
        </w:rPr>
        <w:t>一旦出现不可抗拒的外部原因，如地震等突发性自然灾害等情况可能</w:t>
      </w:r>
      <w:r>
        <w:rPr>
          <w:color w:val="auto"/>
        </w:rPr>
        <w:t>导致污水未处理外排时，</w:t>
      </w:r>
      <w:r>
        <w:rPr>
          <w:rFonts w:hint="eastAsia"/>
          <w:color w:val="auto"/>
        </w:rPr>
        <w:t>立即要求</w:t>
      </w:r>
      <w:r>
        <w:rPr>
          <w:color w:val="auto"/>
        </w:rPr>
        <w:t>接管</w:t>
      </w:r>
      <w:r>
        <w:rPr>
          <w:rFonts w:hint="eastAsia"/>
          <w:color w:val="auto"/>
        </w:rPr>
        <w:t>企业</w:t>
      </w:r>
      <w:r>
        <w:rPr>
          <w:color w:val="auto"/>
        </w:rPr>
        <w:t>停止向</w:t>
      </w:r>
      <w:r>
        <w:rPr>
          <w:rFonts w:hint="eastAsia"/>
          <w:color w:val="auto"/>
        </w:rPr>
        <w:t>污水厂收水管网</w:t>
      </w:r>
      <w:r>
        <w:rPr>
          <w:color w:val="auto"/>
        </w:rPr>
        <w:t>排污</w:t>
      </w:r>
      <w:r>
        <w:rPr>
          <w:rFonts w:hint="eastAsia"/>
          <w:color w:val="auto"/>
        </w:rPr>
        <w:t>，确保无超标废水外排，保证下游</w:t>
      </w:r>
      <w:r>
        <w:rPr>
          <w:rFonts w:hint="eastAsia"/>
          <w:color w:val="auto"/>
          <w:sz w:val="24"/>
          <w:szCs w:val="24"/>
          <w:lang w:eastAsia="zh-CN"/>
        </w:rPr>
        <w:t>泸溪河</w:t>
      </w:r>
      <w:r>
        <w:rPr>
          <w:color w:val="auto"/>
        </w:rPr>
        <w:t>水体功能安全</w:t>
      </w:r>
      <w:r>
        <w:rPr>
          <w:rFonts w:hint="eastAsia"/>
          <w:color w:val="auto"/>
        </w:rPr>
        <w:t>。</w:t>
      </w:r>
    </w:p>
    <w:p w14:paraId="2EB7DFC5">
      <w:pPr>
        <w:pStyle w:val="31"/>
        <w:rPr>
          <w:color w:val="auto"/>
        </w:rPr>
      </w:pPr>
      <w:r>
        <w:rPr>
          <w:rFonts w:hint="eastAsia"/>
          <w:color w:val="auto"/>
        </w:rPr>
        <w:t>若经公司应急指挥中心判断，超出公司应急响应能力时，及时上报</w:t>
      </w:r>
      <w:r>
        <w:rPr>
          <w:rFonts w:hint="eastAsia"/>
          <w:color w:val="auto"/>
          <w:lang w:eastAsia="zh-CN"/>
        </w:rPr>
        <w:t>资溪县</w:t>
      </w:r>
      <w:r>
        <w:rPr>
          <w:rFonts w:hint="eastAsia"/>
          <w:color w:val="auto"/>
        </w:rPr>
        <w:t>人民政府、</w:t>
      </w:r>
      <w:r>
        <w:rPr>
          <w:rFonts w:hint="eastAsia"/>
          <w:color w:val="auto"/>
          <w:lang w:eastAsia="zh-CN"/>
        </w:rPr>
        <w:t>抚州市资溪生态环境局</w:t>
      </w:r>
      <w:r>
        <w:rPr>
          <w:rFonts w:hint="eastAsia"/>
          <w:color w:val="auto"/>
        </w:rPr>
        <w:t>，同时采取先期处置措施并对</w:t>
      </w:r>
      <w:r>
        <w:rPr>
          <w:rFonts w:hint="eastAsia"/>
          <w:color w:val="auto"/>
          <w:sz w:val="24"/>
          <w:szCs w:val="24"/>
          <w:lang w:eastAsia="zh-CN"/>
        </w:rPr>
        <w:t>泸溪河</w:t>
      </w:r>
      <w:r>
        <w:rPr>
          <w:rFonts w:hint="eastAsia"/>
          <w:color w:val="auto"/>
        </w:rPr>
        <w:t>水体开展应急监测。</w:t>
      </w:r>
    </w:p>
    <w:p w14:paraId="47E3FB1E">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default" w:ascii="Times New Roman" w:hAnsi="Times New Roman" w:eastAsia="黑体" w:cs="Times New Roman"/>
          <w:color w:val="auto"/>
          <w:spacing w:val="0"/>
          <w:w w:val="100"/>
          <w:position w:val="0"/>
          <w:sz w:val="21"/>
          <w:szCs w:val="21"/>
        </w:rPr>
      </w:pPr>
      <w:bookmarkStart w:id="99" w:name="_Toc476314981"/>
      <w:r>
        <w:rPr>
          <w:rFonts w:hint="default" w:ascii="Times New Roman" w:hAnsi="Times New Roman" w:eastAsia="黑体" w:cs="Times New Roman"/>
          <w:color w:val="auto"/>
          <w:spacing w:val="0"/>
          <w:w w:val="100"/>
          <w:position w:val="0"/>
          <w:sz w:val="21"/>
          <w:szCs w:val="21"/>
        </w:rPr>
        <w:t>表</w:t>
      </w:r>
      <w:r>
        <w:rPr>
          <w:rFonts w:hint="default" w:ascii="Times New Roman" w:hAnsi="Times New Roman" w:eastAsia="Times New Roman" w:cs="Times New Roman"/>
          <w:b/>
          <w:bCs/>
          <w:color w:val="auto"/>
          <w:spacing w:val="0"/>
          <w:w w:val="100"/>
          <w:position w:val="0"/>
          <w:sz w:val="21"/>
          <w:szCs w:val="21"/>
        </w:rPr>
        <w:t>6</w:t>
      </w:r>
      <w:r>
        <w:rPr>
          <w:rFonts w:hint="eastAsia" w:ascii="Times New Roman" w:hAnsi="Times New Roman" w:eastAsia="宋体" w:cs="Times New Roman"/>
          <w:b/>
          <w:bCs/>
          <w:color w:val="auto"/>
          <w:spacing w:val="0"/>
          <w:w w:val="100"/>
          <w:position w:val="0"/>
          <w:sz w:val="21"/>
          <w:szCs w:val="21"/>
          <w:lang w:val="en-US" w:eastAsia="zh-CN"/>
        </w:rPr>
        <w:t>.2-</w:t>
      </w:r>
      <w:r>
        <w:rPr>
          <w:rFonts w:hint="eastAsia" w:cs="Times New Roman"/>
          <w:b/>
          <w:bCs/>
          <w:color w:val="auto"/>
          <w:spacing w:val="0"/>
          <w:w w:val="100"/>
          <w:position w:val="0"/>
          <w:sz w:val="21"/>
          <w:szCs w:val="21"/>
          <w:lang w:val="en-US" w:eastAsia="zh-CN"/>
        </w:rPr>
        <w:t>2</w:t>
      </w:r>
      <w:r>
        <w:rPr>
          <w:rFonts w:hint="default" w:ascii="Times New Roman" w:hAnsi="Times New Roman" w:eastAsia="宋体" w:cs="Times New Roman"/>
          <w:b/>
          <w:bCs/>
          <w:color w:val="auto"/>
          <w:spacing w:val="0"/>
          <w:w w:val="100"/>
          <w:position w:val="0"/>
          <w:sz w:val="21"/>
          <w:szCs w:val="21"/>
          <w:lang w:val="en-US" w:eastAsia="zh-CN"/>
        </w:rPr>
        <w:t xml:space="preserve">  </w:t>
      </w:r>
      <w:r>
        <w:rPr>
          <w:rFonts w:hint="eastAsia" w:ascii="Times New Roman" w:hAnsi="Times New Roman" w:eastAsia="黑体" w:cs="Times New Roman"/>
          <w:color w:val="auto"/>
          <w:spacing w:val="0"/>
          <w:w w:val="100"/>
          <w:position w:val="0"/>
          <w:sz w:val="21"/>
          <w:szCs w:val="21"/>
          <w:lang w:eastAsia="zh-CN"/>
        </w:rPr>
        <w:t>污水处理厂</w:t>
      </w:r>
      <w:r>
        <w:rPr>
          <w:rFonts w:hint="default" w:ascii="Times New Roman" w:hAnsi="Times New Roman" w:eastAsia="黑体" w:cs="Times New Roman"/>
          <w:color w:val="auto"/>
          <w:spacing w:val="0"/>
          <w:w w:val="100"/>
          <w:position w:val="0"/>
          <w:sz w:val="21"/>
          <w:szCs w:val="21"/>
        </w:rPr>
        <w:t>故障应急处置卡</w:t>
      </w:r>
    </w:p>
    <w:tbl>
      <w:tblPr>
        <w:tblStyle w:val="50"/>
        <w:tblW w:w="83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59"/>
        <w:gridCol w:w="6445"/>
      </w:tblGrid>
      <w:tr w14:paraId="3B01B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859" w:type="dxa"/>
            <w:tcBorders>
              <w:left w:val="nil"/>
            </w:tcBorders>
            <w:vAlign w:val="center"/>
          </w:tcPr>
          <w:p w14:paraId="721B9FD8">
            <w:pPr>
              <w:pStyle w:val="49"/>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outlineLvl w:val="9"/>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事故类型</w:t>
            </w:r>
          </w:p>
        </w:tc>
        <w:tc>
          <w:tcPr>
            <w:tcW w:w="6445" w:type="dxa"/>
            <w:tcBorders>
              <w:right w:val="nil"/>
            </w:tcBorders>
            <w:vAlign w:val="top"/>
          </w:tcPr>
          <w:p w14:paraId="3833B3A3">
            <w:pPr>
              <w:pStyle w:val="4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outlineLvl w:val="9"/>
              <w:rPr>
                <w:rFonts w:hint="eastAsia" w:ascii="Times New Roman" w:hAnsi="Times New Roman" w:eastAsia="宋体" w:cs="Times New Roman"/>
                <w:color w:val="auto"/>
                <w:spacing w:val="0"/>
                <w:w w:val="100"/>
                <w:position w:val="0"/>
                <w:sz w:val="21"/>
                <w:szCs w:val="21"/>
                <w:lang w:eastAsia="zh-CN"/>
              </w:rPr>
            </w:pPr>
            <w:r>
              <w:rPr>
                <w:rFonts w:hint="default" w:ascii="Times New Roman" w:hAnsi="Times New Roman" w:cs="Times New Roman"/>
                <w:color w:val="auto"/>
                <w:spacing w:val="0"/>
                <w:w w:val="100"/>
                <w:position w:val="0"/>
                <w:sz w:val="21"/>
                <w:szCs w:val="21"/>
              </w:rPr>
              <w:t>涉及环境风险物质：</w:t>
            </w:r>
            <w:r>
              <w:rPr>
                <w:rFonts w:hint="eastAsia" w:ascii="Times New Roman" w:hAnsi="Times New Roman" w:cs="Times New Roman"/>
                <w:color w:val="auto"/>
                <w:spacing w:val="0"/>
                <w:w w:val="100"/>
                <w:position w:val="0"/>
                <w:sz w:val="21"/>
                <w:szCs w:val="21"/>
                <w:lang w:eastAsia="zh-CN"/>
              </w:rPr>
              <w:t>废水</w:t>
            </w:r>
          </w:p>
        </w:tc>
      </w:tr>
      <w:tr w14:paraId="3778BF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859" w:type="dxa"/>
            <w:tcBorders>
              <w:left w:val="nil"/>
            </w:tcBorders>
            <w:vAlign w:val="center"/>
          </w:tcPr>
          <w:p w14:paraId="03CDAC1E">
            <w:pPr>
              <w:pStyle w:val="49"/>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outlineLvl w:val="9"/>
              <w:rPr>
                <w:rFonts w:hint="default" w:ascii="Times New Roman" w:hAnsi="Times New Roman" w:cs="Times New Roman"/>
                <w:color w:val="auto"/>
                <w:spacing w:val="0"/>
                <w:w w:val="100"/>
                <w:position w:val="0"/>
                <w:sz w:val="21"/>
                <w:szCs w:val="21"/>
              </w:rPr>
            </w:pPr>
          </w:p>
          <w:p w14:paraId="5682AC6D">
            <w:pPr>
              <w:pStyle w:val="49"/>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outlineLvl w:val="9"/>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应急预警与响应</w:t>
            </w:r>
          </w:p>
          <w:p w14:paraId="665BDEAE">
            <w:pPr>
              <w:pStyle w:val="49"/>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outlineLvl w:val="9"/>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程序</w:t>
            </w:r>
          </w:p>
        </w:tc>
        <w:tc>
          <w:tcPr>
            <w:tcW w:w="6445" w:type="dxa"/>
            <w:tcBorders>
              <w:right w:val="nil"/>
            </w:tcBorders>
            <w:vAlign w:val="top"/>
          </w:tcPr>
          <w:p w14:paraId="23C5EE7B">
            <w:pPr>
              <w:pStyle w:val="4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outlineLvl w:val="9"/>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事故现场人员应立即报告部门负责人，部门成立现场应急处置 小组根据现场实际情况同时进行应急处置，维护环保设施，尽 快回复正常运行，并根据事故的大小及发展态势向公司领导、工程环保部报告和扩大应急救援级别。</w:t>
            </w:r>
          </w:p>
        </w:tc>
      </w:tr>
      <w:tr w14:paraId="3FBB60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859" w:type="dxa"/>
            <w:tcBorders>
              <w:left w:val="nil"/>
            </w:tcBorders>
            <w:vAlign w:val="center"/>
          </w:tcPr>
          <w:p w14:paraId="5A3A5F33">
            <w:pPr>
              <w:pStyle w:val="49"/>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outlineLvl w:val="9"/>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应急报告</w:t>
            </w:r>
          </w:p>
        </w:tc>
        <w:tc>
          <w:tcPr>
            <w:tcW w:w="6445" w:type="dxa"/>
            <w:tcBorders>
              <w:right w:val="nil"/>
            </w:tcBorders>
            <w:vAlign w:val="top"/>
          </w:tcPr>
          <w:p w14:paraId="402F3DEF">
            <w:pPr>
              <w:pStyle w:val="4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outlineLvl w:val="9"/>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报告内容：事故发生的时间、地点、性质等基本情况等</w:t>
            </w:r>
          </w:p>
          <w:p w14:paraId="39789CC6">
            <w:pPr>
              <w:pStyle w:val="4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outlineLvl w:val="9"/>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联系电话：联系人：</w:t>
            </w:r>
            <w:r>
              <w:rPr>
                <w:rFonts w:hint="eastAsia" w:ascii="Times New Roman" w:hAnsi="Times New Roman" w:cs="Times New Roman"/>
                <w:color w:val="auto"/>
                <w:sz w:val="21"/>
                <w:szCs w:val="21"/>
                <w:lang w:eastAsia="zh-CN"/>
              </w:rPr>
              <w:t>15216257357</w:t>
            </w:r>
            <w:r>
              <w:rPr>
                <w:rFonts w:hint="default" w:ascii="Times New Roman" w:hAnsi="Times New Roman" w:cs="Times New Roman"/>
                <w:color w:val="auto"/>
                <w:spacing w:val="0"/>
                <w:w w:val="100"/>
                <w:position w:val="0"/>
                <w:sz w:val="21"/>
                <w:szCs w:val="21"/>
              </w:rPr>
              <w:t>（</w:t>
            </w:r>
            <w:r>
              <w:rPr>
                <w:rFonts w:hint="eastAsia" w:ascii="Times New Roman" w:hAnsi="Times New Roman" w:cs="Times New Roman"/>
                <w:color w:val="auto"/>
                <w:sz w:val="21"/>
                <w:szCs w:val="21"/>
                <w:lang w:eastAsia="zh-CN"/>
              </w:rPr>
              <w:t>余健敏</w:t>
            </w:r>
            <w:r>
              <w:rPr>
                <w:rFonts w:hint="default" w:ascii="Times New Roman" w:hAnsi="Times New Roman" w:cs="Times New Roman"/>
                <w:color w:val="auto"/>
                <w:spacing w:val="0"/>
                <w:w w:val="100"/>
                <w:position w:val="0"/>
                <w:sz w:val="21"/>
                <w:szCs w:val="21"/>
              </w:rPr>
              <w:t>）；</w:t>
            </w:r>
          </w:p>
        </w:tc>
      </w:tr>
      <w:tr w14:paraId="03F02B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859" w:type="dxa"/>
            <w:tcBorders>
              <w:left w:val="nil"/>
            </w:tcBorders>
            <w:vAlign w:val="center"/>
          </w:tcPr>
          <w:p w14:paraId="1AF22364">
            <w:pPr>
              <w:pStyle w:val="49"/>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outlineLvl w:val="9"/>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应急救援</w:t>
            </w:r>
          </w:p>
        </w:tc>
        <w:tc>
          <w:tcPr>
            <w:tcW w:w="6445" w:type="dxa"/>
            <w:tcBorders>
              <w:right w:val="nil"/>
            </w:tcBorders>
            <w:vAlign w:val="top"/>
          </w:tcPr>
          <w:p w14:paraId="32CA3C8E">
            <w:pPr>
              <w:pStyle w:val="4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outlineLvl w:val="9"/>
              <w:rPr>
                <w:rFonts w:hint="default" w:ascii="Times New Roman" w:hAnsi="Times New Roman" w:cs="Times New Roman"/>
                <w:color w:val="auto"/>
                <w:spacing w:val="0"/>
                <w:w w:val="100"/>
                <w:position w:val="0"/>
                <w:sz w:val="21"/>
                <w:szCs w:val="21"/>
              </w:rPr>
            </w:pPr>
            <w:r>
              <w:rPr>
                <w:rFonts w:hint="eastAsia" w:ascii="Times New Roman" w:hAnsi="Times New Roman" w:cs="Times New Roman"/>
                <w:color w:val="auto"/>
                <w:spacing w:val="0"/>
                <w:w w:val="100"/>
                <w:position w:val="0"/>
                <w:sz w:val="21"/>
                <w:szCs w:val="21"/>
                <w:lang w:eastAsia="zh-CN"/>
              </w:rPr>
              <w:t>抚州市资溪县消防救援大队</w:t>
            </w:r>
            <w:r>
              <w:rPr>
                <w:rFonts w:hint="default" w:ascii="Times New Roman" w:hAnsi="Times New Roman" w:cs="Times New Roman"/>
                <w:color w:val="auto"/>
                <w:spacing w:val="0"/>
                <w:w w:val="100"/>
                <w:position w:val="0"/>
                <w:sz w:val="21"/>
                <w:szCs w:val="21"/>
              </w:rPr>
              <w:t>：</w:t>
            </w:r>
            <w:r>
              <w:rPr>
                <w:rFonts w:hint="eastAsia" w:ascii="Times New Roman" w:hAnsi="Times New Roman" w:cs="Times New Roman"/>
                <w:color w:val="auto"/>
                <w:spacing w:val="0"/>
                <w:w w:val="100"/>
                <w:position w:val="0"/>
                <w:sz w:val="21"/>
                <w:szCs w:val="21"/>
                <w:lang w:eastAsia="zh-CN"/>
              </w:rPr>
              <w:t>119</w:t>
            </w:r>
            <w:r>
              <w:rPr>
                <w:rFonts w:hint="default" w:ascii="Times New Roman" w:hAnsi="Times New Roman" w:cs="Times New Roman"/>
                <w:color w:val="auto"/>
                <w:spacing w:val="0"/>
                <w:w w:val="100"/>
                <w:position w:val="0"/>
                <w:sz w:val="21"/>
                <w:szCs w:val="21"/>
              </w:rPr>
              <w:t>；</w:t>
            </w:r>
            <w:r>
              <w:rPr>
                <w:rFonts w:hint="eastAsia" w:ascii="Times New Roman" w:hAnsi="Times New Roman" w:cs="Times New Roman"/>
                <w:color w:val="auto"/>
                <w:spacing w:val="0"/>
                <w:w w:val="100"/>
                <w:position w:val="0"/>
                <w:sz w:val="21"/>
                <w:szCs w:val="21"/>
                <w:lang w:eastAsia="zh-CN"/>
              </w:rPr>
              <w:t>抚州市资溪生态环境局</w:t>
            </w:r>
            <w:r>
              <w:rPr>
                <w:rFonts w:hint="default" w:ascii="Times New Roman" w:hAnsi="Times New Roman" w:cs="Times New Roman"/>
                <w:color w:val="auto"/>
                <w:spacing w:val="0"/>
                <w:w w:val="100"/>
                <w:position w:val="0"/>
                <w:sz w:val="21"/>
                <w:szCs w:val="21"/>
              </w:rPr>
              <w:t>：</w:t>
            </w:r>
            <w:r>
              <w:rPr>
                <w:rFonts w:hint="eastAsia" w:ascii="Times New Roman" w:hAnsi="Times New Roman" w:cs="Times New Roman"/>
                <w:color w:val="auto"/>
                <w:spacing w:val="0"/>
                <w:w w:val="100"/>
                <w:position w:val="0"/>
                <w:sz w:val="21"/>
                <w:szCs w:val="21"/>
                <w:lang w:eastAsia="zh-CN"/>
              </w:rPr>
              <w:t>0794-7153880</w:t>
            </w:r>
            <w:r>
              <w:rPr>
                <w:rFonts w:hint="default" w:ascii="Times New Roman" w:hAnsi="Times New Roman" w:cs="Times New Roman"/>
                <w:color w:val="auto"/>
                <w:spacing w:val="0"/>
                <w:w w:val="100"/>
                <w:position w:val="0"/>
                <w:sz w:val="21"/>
                <w:szCs w:val="21"/>
              </w:rPr>
              <w:t>；</w:t>
            </w:r>
          </w:p>
        </w:tc>
      </w:tr>
      <w:tr w14:paraId="511AD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859" w:type="dxa"/>
            <w:tcBorders>
              <w:left w:val="nil"/>
            </w:tcBorders>
            <w:vAlign w:val="center"/>
          </w:tcPr>
          <w:p w14:paraId="07D1225F">
            <w:pPr>
              <w:pStyle w:val="49"/>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outlineLvl w:val="9"/>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应急责任人</w:t>
            </w:r>
          </w:p>
        </w:tc>
        <w:tc>
          <w:tcPr>
            <w:tcW w:w="6445" w:type="dxa"/>
            <w:tcBorders>
              <w:right w:val="nil"/>
            </w:tcBorders>
            <w:vAlign w:val="top"/>
          </w:tcPr>
          <w:p w14:paraId="01878A8B">
            <w:pPr>
              <w:pStyle w:val="4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outlineLvl w:val="9"/>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环保设施负责人：各工位负责人、应急小组分管领导。</w:t>
            </w:r>
          </w:p>
        </w:tc>
      </w:tr>
      <w:tr w14:paraId="7F29F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859" w:type="dxa"/>
            <w:tcBorders>
              <w:left w:val="nil"/>
            </w:tcBorders>
            <w:vAlign w:val="center"/>
          </w:tcPr>
          <w:p w14:paraId="691EC625">
            <w:pPr>
              <w:pStyle w:val="49"/>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outlineLvl w:val="9"/>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应急物资与装备</w:t>
            </w:r>
          </w:p>
        </w:tc>
        <w:tc>
          <w:tcPr>
            <w:tcW w:w="6445" w:type="dxa"/>
            <w:tcBorders>
              <w:right w:val="nil"/>
            </w:tcBorders>
            <w:vAlign w:val="top"/>
          </w:tcPr>
          <w:p w14:paraId="33D2D444">
            <w:pPr>
              <w:pStyle w:val="4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outlineLvl w:val="9"/>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无</w:t>
            </w:r>
          </w:p>
        </w:tc>
      </w:tr>
      <w:tr w14:paraId="0D1E6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859" w:type="dxa"/>
            <w:tcBorders>
              <w:left w:val="nil"/>
            </w:tcBorders>
            <w:vAlign w:val="center"/>
          </w:tcPr>
          <w:p w14:paraId="738FED25">
            <w:pPr>
              <w:pStyle w:val="49"/>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outlineLvl w:val="9"/>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疏散与撤离</w:t>
            </w:r>
          </w:p>
        </w:tc>
        <w:tc>
          <w:tcPr>
            <w:tcW w:w="6445" w:type="dxa"/>
            <w:tcBorders>
              <w:right w:val="nil"/>
            </w:tcBorders>
            <w:vAlign w:val="top"/>
          </w:tcPr>
          <w:p w14:paraId="26368F4D">
            <w:pPr>
              <w:pStyle w:val="4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outlineLvl w:val="9"/>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一般不需疏散。</w:t>
            </w:r>
          </w:p>
        </w:tc>
      </w:tr>
      <w:tr w14:paraId="1ED15E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859" w:type="dxa"/>
            <w:tcBorders>
              <w:left w:val="nil"/>
            </w:tcBorders>
            <w:vAlign w:val="center"/>
          </w:tcPr>
          <w:p w14:paraId="272E0C67">
            <w:pPr>
              <w:pStyle w:val="49"/>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outlineLvl w:val="9"/>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应急处置措施</w:t>
            </w:r>
          </w:p>
        </w:tc>
        <w:tc>
          <w:tcPr>
            <w:tcW w:w="6445" w:type="dxa"/>
            <w:tcBorders>
              <w:right w:val="nil"/>
            </w:tcBorders>
            <w:vAlign w:val="top"/>
          </w:tcPr>
          <w:p w14:paraId="3D872086">
            <w:pPr>
              <w:pStyle w:val="4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outlineLvl w:val="9"/>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发现运行故障后立即上报，停车，及时维修，待环保设施运行正常后恢复生产。</w:t>
            </w:r>
          </w:p>
        </w:tc>
      </w:tr>
      <w:tr w14:paraId="6C94B0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859" w:type="dxa"/>
            <w:tcBorders>
              <w:left w:val="nil"/>
            </w:tcBorders>
            <w:vAlign w:val="center"/>
          </w:tcPr>
          <w:p w14:paraId="2D20C341">
            <w:pPr>
              <w:pStyle w:val="49"/>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outlineLvl w:val="9"/>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应急监测方案</w:t>
            </w:r>
          </w:p>
        </w:tc>
        <w:tc>
          <w:tcPr>
            <w:tcW w:w="6445" w:type="dxa"/>
            <w:tcBorders>
              <w:right w:val="nil"/>
            </w:tcBorders>
            <w:vAlign w:val="top"/>
          </w:tcPr>
          <w:p w14:paraId="19EAED67">
            <w:pPr>
              <w:pStyle w:val="4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outlineLvl w:val="9"/>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排放口、周边地表水下游，初始加密（4 次/天）监测，随着污染物浓度的下降逐渐降低频次</w:t>
            </w:r>
          </w:p>
        </w:tc>
      </w:tr>
      <w:tr w14:paraId="3784AB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859" w:type="dxa"/>
            <w:tcBorders>
              <w:left w:val="nil"/>
            </w:tcBorders>
            <w:vAlign w:val="center"/>
          </w:tcPr>
          <w:p w14:paraId="17A4F279">
            <w:pPr>
              <w:pStyle w:val="49"/>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outlineLvl w:val="9"/>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应急注意事项</w:t>
            </w:r>
          </w:p>
        </w:tc>
        <w:tc>
          <w:tcPr>
            <w:tcW w:w="6445" w:type="dxa"/>
            <w:tcBorders>
              <w:right w:val="nil"/>
            </w:tcBorders>
            <w:vAlign w:val="top"/>
          </w:tcPr>
          <w:p w14:paraId="32658E2E">
            <w:pPr>
              <w:pStyle w:val="4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outlineLvl w:val="9"/>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职工需认识到环保设施正常运行的重要性，一旦发生运行故障，需立即向责任人和上级领导汇报。</w:t>
            </w:r>
          </w:p>
        </w:tc>
      </w:tr>
    </w:tbl>
    <w:p w14:paraId="5C66F810">
      <w:pPr>
        <w:pStyle w:val="5"/>
        <w:spacing w:before="156" w:after="156"/>
        <w:rPr>
          <w:color w:val="auto"/>
        </w:rPr>
      </w:pPr>
      <w:bookmarkStart w:id="100" w:name="_Toc5668"/>
      <w:r>
        <w:rPr>
          <w:rFonts w:hint="eastAsia"/>
          <w:color w:val="auto"/>
          <w:lang w:eastAsia="zh-CN"/>
        </w:rPr>
        <w:t>6.</w:t>
      </w:r>
      <w:r>
        <w:rPr>
          <w:rFonts w:hint="eastAsia"/>
          <w:color w:val="auto"/>
        </w:rPr>
        <w:t>3企业外部救援</w:t>
      </w:r>
      <w:bookmarkEnd w:id="99"/>
      <w:bookmarkEnd w:id="100"/>
    </w:p>
    <w:p w14:paraId="332707F3">
      <w:pPr>
        <w:pStyle w:val="31"/>
        <w:rPr>
          <w:color w:val="auto"/>
        </w:rPr>
      </w:pPr>
      <w:r>
        <w:rPr>
          <w:rFonts w:hint="eastAsia"/>
          <w:color w:val="auto"/>
        </w:rPr>
        <w:t>公司应急指挥中心根据现场情况调查和评估事件的可能发展方向，预测事件的发展趋势，根据评估结果决定是否请求外援，并在明确事件不能得到有效控制，超出公司应急响应能力时，进一步向</w:t>
      </w:r>
      <w:r>
        <w:rPr>
          <w:rFonts w:hint="eastAsia"/>
          <w:color w:val="auto"/>
          <w:lang w:eastAsia="zh-CN"/>
        </w:rPr>
        <w:t>资溪县</w:t>
      </w:r>
      <w:r>
        <w:rPr>
          <w:rFonts w:hint="eastAsia"/>
          <w:color w:val="auto"/>
        </w:rPr>
        <w:t>人民政府、</w:t>
      </w:r>
      <w:r>
        <w:rPr>
          <w:rFonts w:hint="eastAsia"/>
          <w:color w:val="auto"/>
          <w:lang w:eastAsia="zh-CN"/>
        </w:rPr>
        <w:t>抚州市资溪生态环境局</w:t>
      </w:r>
      <w:r>
        <w:rPr>
          <w:rFonts w:hint="eastAsia"/>
          <w:color w:val="auto"/>
        </w:rPr>
        <w:t>申请救援。</w:t>
      </w:r>
    </w:p>
    <w:p w14:paraId="7C4D2105">
      <w:pPr>
        <w:pStyle w:val="31"/>
        <w:rPr>
          <w:color w:val="auto"/>
        </w:rPr>
      </w:pPr>
      <w:r>
        <w:rPr>
          <w:rFonts w:hint="eastAsia"/>
          <w:color w:val="auto"/>
        </w:rPr>
        <w:t>在外部救援队伍到来后，现场指挥部向救援人员详细介绍现场所涉及的风险源情况，并说明其它相关危险情况；依托有关部门或单位对企业周边环境进行监测，以确定突发环境事件的影响程度。</w:t>
      </w:r>
    </w:p>
    <w:p w14:paraId="3104D420">
      <w:pPr>
        <w:pStyle w:val="5"/>
        <w:spacing w:before="156" w:after="156"/>
        <w:rPr>
          <w:color w:val="auto"/>
        </w:rPr>
      </w:pPr>
      <w:bookmarkStart w:id="101" w:name="_Toc32174"/>
      <w:bookmarkStart w:id="102" w:name="_Toc476314982"/>
      <w:r>
        <w:rPr>
          <w:rFonts w:hint="eastAsia"/>
          <w:color w:val="auto"/>
          <w:lang w:eastAsia="zh-CN"/>
        </w:rPr>
        <w:t>6.</w:t>
      </w:r>
      <w:r>
        <w:rPr>
          <w:rFonts w:hint="eastAsia"/>
          <w:color w:val="auto"/>
        </w:rPr>
        <w:t>4人员紧急撤离和疏散</w:t>
      </w:r>
      <w:bookmarkEnd w:id="101"/>
      <w:bookmarkEnd w:id="102"/>
    </w:p>
    <w:p w14:paraId="572E491F">
      <w:pPr>
        <w:pStyle w:val="31"/>
        <w:rPr>
          <w:color w:val="auto"/>
        </w:rPr>
      </w:pPr>
      <w:r>
        <w:rPr>
          <w:rFonts w:hint="eastAsia"/>
          <w:color w:val="auto"/>
        </w:rPr>
        <w:t>(1)事故现场隔离方法</w:t>
      </w:r>
    </w:p>
    <w:p w14:paraId="04AE537C">
      <w:pPr>
        <w:pStyle w:val="31"/>
        <w:rPr>
          <w:color w:val="auto"/>
        </w:rPr>
      </w:pPr>
      <w:r>
        <w:rPr>
          <w:rFonts w:hint="eastAsia"/>
          <w:color w:val="auto"/>
        </w:rPr>
        <w:t>在事故发生后，由警戒疏散组组织人员在确定的隔离范围内设置警戒线，并在明显的路段标明警示标志。</w:t>
      </w:r>
    </w:p>
    <w:p w14:paraId="2C150391">
      <w:pPr>
        <w:pStyle w:val="31"/>
        <w:rPr>
          <w:color w:val="auto"/>
        </w:rPr>
      </w:pPr>
      <w:r>
        <w:rPr>
          <w:rFonts w:hint="eastAsia"/>
          <w:color w:val="auto"/>
        </w:rPr>
        <w:t>(2)隔离措施</w:t>
      </w:r>
    </w:p>
    <w:p w14:paraId="5B085B52">
      <w:pPr>
        <w:pStyle w:val="31"/>
        <w:rPr>
          <w:color w:val="auto"/>
        </w:rPr>
      </w:pPr>
      <w:r>
        <w:rPr>
          <w:rFonts w:hint="eastAsia"/>
          <w:color w:val="auto"/>
        </w:rPr>
        <w:t>事故现场在主要进出点由警戒疏散组把守，划定现场警戒区域，禁止与事故处理无关人员进入现场。</w:t>
      </w:r>
    </w:p>
    <w:p w14:paraId="4F870B54">
      <w:pPr>
        <w:pStyle w:val="31"/>
        <w:rPr>
          <w:color w:val="auto"/>
        </w:rPr>
      </w:pPr>
      <w:r>
        <w:rPr>
          <w:rFonts w:hint="eastAsia"/>
          <w:color w:val="auto"/>
        </w:rPr>
        <w:t>(3)事故现场周边区域的交通</w:t>
      </w:r>
    </w:p>
    <w:p w14:paraId="4A3F7D21">
      <w:pPr>
        <w:pStyle w:val="31"/>
        <w:rPr>
          <w:color w:val="auto"/>
        </w:rPr>
      </w:pPr>
      <w:r>
        <w:rPr>
          <w:rFonts w:hint="eastAsia"/>
          <w:color w:val="auto"/>
        </w:rPr>
        <w:t>在事故发生后，根据需要由警戒疏散组协助公安、交通部门对事故发生区域的相关道路进行交通管制，在相关路口设专门人员疏导交通。</w:t>
      </w:r>
    </w:p>
    <w:p w14:paraId="5D330A9C">
      <w:pPr>
        <w:pStyle w:val="5"/>
        <w:spacing w:before="156" w:after="156"/>
        <w:rPr>
          <w:color w:val="auto"/>
        </w:rPr>
      </w:pPr>
      <w:bookmarkStart w:id="103" w:name="_Toc476314983"/>
      <w:bookmarkStart w:id="104" w:name="_Toc7772"/>
      <w:r>
        <w:rPr>
          <w:rFonts w:hint="eastAsia"/>
          <w:color w:val="auto"/>
          <w:lang w:eastAsia="zh-CN"/>
        </w:rPr>
        <w:t>6.</w:t>
      </w:r>
      <w:r>
        <w:rPr>
          <w:rFonts w:hint="eastAsia"/>
          <w:color w:val="auto"/>
        </w:rPr>
        <w:t>5应急监测</w:t>
      </w:r>
      <w:bookmarkEnd w:id="103"/>
      <w:bookmarkEnd w:id="104"/>
    </w:p>
    <w:p w14:paraId="01753A36">
      <w:pPr>
        <w:pStyle w:val="6"/>
        <w:spacing w:before="156" w:after="156"/>
        <w:rPr>
          <w:color w:val="auto"/>
        </w:rPr>
      </w:pPr>
      <w:r>
        <w:rPr>
          <w:rFonts w:hint="eastAsia"/>
          <w:color w:val="auto"/>
          <w:lang w:eastAsia="zh-CN"/>
        </w:rPr>
        <w:t>6.</w:t>
      </w:r>
      <w:r>
        <w:rPr>
          <w:rFonts w:hint="eastAsia"/>
          <w:color w:val="auto"/>
        </w:rPr>
        <w:t>5.1应急监测组</w:t>
      </w:r>
    </w:p>
    <w:p w14:paraId="4ECC789E">
      <w:pPr>
        <w:pStyle w:val="31"/>
        <w:rPr>
          <w:color w:val="auto"/>
        </w:rPr>
      </w:pPr>
      <w:r>
        <w:rPr>
          <w:rFonts w:hint="eastAsia"/>
          <w:color w:val="auto"/>
          <w:lang w:eastAsia="zh-CN"/>
        </w:rPr>
        <w:t>江西洪城水业环保有限公司资溪县分公司</w:t>
      </w:r>
      <w:r>
        <w:rPr>
          <w:rFonts w:hint="eastAsia"/>
          <w:color w:val="auto"/>
        </w:rPr>
        <w:t>环境监测组负责配合</w:t>
      </w:r>
      <w:r>
        <w:rPr>
          <w:rFonts w:hint="eastAsia"/>
          <w:color w:val="auto"/>
          <w:lang w:eastAsia="zh-CN"/>
        </w:rPr>
        <w:t>资溪县</w:t>
      </w:r>
      <w:r>
        <w:rPr>
          <w:rFonts w:hint="eastAsia"/>
          <w:color w:val="auto"/>
        </w:rPr>
        <w:t>环境监测站开展现场环境应急监测工作。</w:t>
      </w:r>
    </w:p>
    <w:p w14:paraId="2B671388">
      <w:pPr>
        <w:pStyle w:val="6"/>
        <w:spacing w:before="156" w:after="156"/>
        <w:rPr>
          <w:color w:val="auto"/>
        </w:rPr>
      </w:pPr>
      <w:r>
        <w:rPr>
          <w:rFonts w:hint="eastAsia"/>
          <w:color w:val="auto"/>
          <w:lang w:eastAsia="zh-CN"/>
        </w:rPr>
        <w:t>6.</w:t>
      </w:r>
      <w:r>
        <w:rPr>
          <w:rFonts w:hint="eastAsia"/>
          <w:color w:val="auto"/>
        </w:rPr>
        <w:t>5.2应急监测要求</w:t>
      </w:r>
    </w:p>
    <w:p w14:paraId="36D04C3C">
      <w:pPr>
        <w:pStyle w:val="31"/>
        <w:rPr>
          <w:color w:val="auto"/>
        </w:rPr>
      </w:pPr>
      <w:r>
        <w:rPr>
          <w:rFonts w:hint="eastAsia"/>
          <w:color w:val="auto"/>
        </w:rPr>
        <w:t>应急监测人员须严格按《环境监测技术规范》、《水质监测质量保证手册》、《环境应急响应实用手册》、《突发性环境污染事故应急监测与处理技术》、《突发环境事件应急监测技术规范》等规定进行采样和分析。</w:t>
      </w:r>
    </w:p>
    <w:p w14:paraId="62C69010">
      <w:pPr>
        <w:pStyle w:val="6"/>
        <w:spacing w:before="156" w:after="156"/>
        <w:rPr>
          <w:color w:val="auto"/>
        </w:rPr>
      </w:pPr>
      <w:r>
        <w:rPr>
          <w:rFonts w:hint="eastAsia"/>
          <w:color w:val="auto"/>
          <w:lang w:eastAsia="zh-CN"/>
        </w:rPr>
        <w:t>6.</w:t>
      </w:r>
      <w:r>
        <w:rPr>
          <w:rFonts w:hint="eastAsia"/>
          <w:color w:val="auto"/>
        </w:rPr>
        <w:t>5.3环境风险监测方案</w:t>
      </w:r>
    </w:p>
    <w:p w14:paraId="49816971">
      <w:pPr>
        <w:pStyle w:val="31"/>
        <w:rPr>
          <w:color w:val="auto"/>
        </w:rPr>
      </w:pPr>
      <w:r>
        <w:rPr>
          <w:rFonts w:hint="eastAsia"/>
          <w:color w:val="auto"/>
        </w:rPr>
        <w:t>(1)应急监测</w:t>
      </w:r>
    </w:p>
    <w:p w14:paraId="19BCF433">
      <w:pPr>
        <w:pStyle w:val="31"/>
        <w:rPr>
          <w:color w:val="auto"/>
        </w:rPr>
      </w:pPr>
      <w:r>
        <w:rPr>
          <w:rFonts w:hint="eastAsia"/>
          <w:color w:val="auto"/>
        </w:rPr>
        <w:t>突发环境事件发生时，环境监测组配合</w:t>
      </w:r>
      <w:r>
        <w:rPr>
          <w:rFonts w:hint="eastAsia"/>
          <w:color w:val="auto"/>
          <w:lang w:eastAsia="zh-CN"/>
        </w:rPr>
        <w:t>资溪县</w:t>
      </w:r>
      <w:r>
        <w:rPr>
          <w:rFonts w:hint="eastAsia"/>
          <w:color w:val="auto"/>
        </w:rPr>
        <w:t>环境监测站进行应急监测工作，针对环境风险目标及影响范围，对区域可能受污染的大气、地表水进行监测。</w:t>
      </w:r>
    </w:p>
    <w:p w14:paraId="2DDA2904">
      <w:pPr>
        <w:pStyle w:val="31"/>
        <w:rPr>
          <w:color w:val="auto"/>
        </w:rPr>
      </w:pPr>
      <w:r>
        <w:rPr>
          <w:rFonts w:hint="eastAsia"/>
          <w:color w:val="auto"/>
        </w:rPr>
        <w:t>(2)跟踪监测</w:t>
      </w:r>
    </w:p>
    <w:p w14:paraId="15F978DD">
      <w:pPr>
        <w:pStyle w:val="31"/>
        <w:rPr>
          <w:color w:val="auto"/>
        </w:rPr>
      </w:pPr>
      <w:r>
        <w:rPr>
          <w:rFonts w:hint="eastAsia"/>
          <w:color w:val="auto"/>
        </w:rPr>
        <w:t>事故应急状态终止后，公司应急指挥中心委托</w:t>
      </w:r>
      <w:r>
        <w:rPr>
          <w:rFonts w:hint="eastAsia"/>
          <w:color w:val="auto"/>
          <w:lang w:eastAsia="zh-CN"/>
        </w:rPr>
        <w:t>资溪县</w:t>
      </w:r>
      <w:r>
        <w:rPr>
          <w:rFonts w:hint="eastAsia"/>
          <w:color w:val="auto"/>
        </w:rPr>
        <w:t>监测站针对环境风险源及影响范围，继续对区域大气、地表水进行跟踪监测，直至恢复到自然水平。</w:t>
      </w:r>
    </w:p>
    <w:p w14:paraId="5344136E">
      <w:pPr>
        <w:pStyle w:val="6"/>
        <w:spacing w:before="156" w:after="156"/>
        <w:rPr>
          <w:color w:val="auto"/>
        </w:rPr>
      </w:pPr>
      <w:r>
        <w:rPr>
          <w:rFonts w:hint="eastAsia"/>
          <w:color w:val="auto"/>
          <w:lang w:eastAsia="zh-CN"/>
        </w:rPr>
        <w:t>6.</w:t>
      </w:r>
      <w:r>
        <w:rPr>
          <w:rFonts w:hint="eastAsia"/>
          <w:color w:val="auto"/>
        </w:rPr>
        <w:t>5.4点位布设、采样及检测方法的选择</w:t>
      </w:r>
    </w:p>
    <w:p w14:paraId="2ADB291F">
      <w:pPr>
        <w:pStyle w:val="7"/>
        <w:rPr>
          <w:color w:val="auto"/>
        </w:rPr>
      </w:pPr>
      <w:r>
        <w:rPr>
          <w:rFonts w:hint="eastAsia"/>
          <w:color w:val="auto"/>
          <w:lang w:eastAsia="zh-CN"/>
        </w:rPr>
        <w:t>6.</w:t>
      </w:r>
      <w:r>
        <w:rPr>
          <w:rFonts w:hint="eastAsia"/>
          <w:color w:val="auto"/>
        </w:rPr>
        <w:t>5.4.1布点原则</w:t>
      </w:r>
    </w:p>
    <w:p w14:paraId="48FF1680">
      <w:pPr>
        <w:pStyle w:val="31"/>
        <w:rPr>
          <w:color w:val="auto"/>
        </w:rPr>
      </w:pPr>
      <w:r>
        <w:rPr>
          <w:rFonts w:hint="eastAsia"/>
          <w:color w:val="auto"/>
        </w:rPr>
        <w:t>(1)采样段面(点)的设置一般以环境污染事故发生地点及其附近为主，同时必须注重人群和生活环境，考虑地表水、地下水、土壤等区域的影响，合理设置参照点，以掌握污染发生地点状况、反映事故发生区域环境的污染程度和污染范围。</w:t>
      </w:r>
    </w:p>
    <w:p w14:paraId="0F05C85C">
      <w:pPr>
        <w:pStyle w:val="31"/>
        <w:rPr>
          <w:color w:val="auto"/>
        </w:rPr>
      </w:pPr>
      <w:r>
        <w:rPr>
          <w:rFonts w:hint="eastAsia"/>
          <w:color w:val="auto"/>
        </w:rPr>
        <w:t>(2)对被污染的地表水设置对照断面(点)、控制断面(点)，必要时对地表水设置削减断面，尽可能以最少的断面(点)获取足够的有代表性的信息，同时需考虑采样的可行性和方便性。</w:t>
      </w:r>
    </w:p>
    <w:p w14:paraId="7B1CE260">
      <w:pPr>
        <w:pStyle w:val="7"/>
        <w:rPr>
          <w:color w:val="auto"/>
        </w:rPr>
      </w:pPr>
      <w:r>
        <w:rPr>
          <w:rFonts w:hint="eastAsia"/>
          <w:color w:val="auto"/>
          <w:lang w:eastAsia="zh-CN"/>
        </w:rPr>
        <w:t>6.</w:t>
      </w:r>
      <w:r>
        <w:rPr>
          <w:rFonts w:hint="eastAsia"/>
          <w:color w:val="auto"/>
        </w:rPr>
        <w:t>5.4.2布点采样方法</w:t>
      </w:r>
    </w:p>
    <w:p w14:paraId="1ACE722E">
      <w:pPr>
        <w:pStyle w:val="31"/>
        <w:rPr>
          <w:color w:val="auto"/>
        </w:rPr>
      </w:pPr>
      <w:r>
        <w:rPr>
          <w:rFonts w:hint="eastAsia"/>
          <w:color w:val="auto"/>
        </w:rPr>
        <w:t>(1)对于地表水环境污染事故</w:t>
      </w:r>
    </w:p>
    <w:p w14:paraId="14218AF7">
      <w:pPr>
        <w:pStyle w:val="31"/>
        <w:rPr>
          <w:color w:val="auto"/>
        </w:rPr>
      </w:pPr>
      <w:r>
        <w:rPr>
          <w:rFonts w:hint="eastAsia"/>
          <w:color w:val="auto"/>
        </w:rPr>
        <w:t>厂区污水发生泄漏后，若不采取有效的应急措施或采取的应急措施不完善，污染物可能流至周边地表水体，因此加强对事故发生地及周边地表水的水质监测。</w:t>
      </w:r>
    </w:p>
    <w:p w14:paraId="44B86158">
      <w:pPr>
        <w:pStyle w:val="31"/>
        <w:rPr>
          <w:color w:val="auto"/>
        </w:rPr>
      </w:pPr>
      <w:r>
        <w:rPr>
          <w:rFonts w:hint="eastAsia"/>
          <w:color w:val="auto"/>
        </w:rPr>
        <w:t>①监测点位以事故发生地为主，根据</w:t>
      </w:r>
      <w:r>
        <w:rPr>
          <w:rFonts w:hint="eastAsia"/>
          <w:color w:val="auto"/>
          <w:sz w:val="24"/>
          <w:szCs w:val="24"/>
          <w:lang w:eastAsia="zh-CN"/>
        </w:rPr>
        <w:t>泸溪河</w:t>
      </w:r>
      <w:r>
        <w:rPr>
          <w:rFonts w:hint="eastAsia"/>
          <w:color w:val="auto"/>
        </w:rPr>
        <w:t>水流方向、扩散速度(或流速)和地形地貌等进行布点采样，同时测定流量。</w:t>
      </w:r>
    </w:p>
    <w:p w14:paraId="68F796D5">
      <w:pPr>
        <w:pStyle w:val="31"/>
        <w:rPr>
          <w:color w:val="auto"/>
        </w:rPr>
      </w:pPr>
      <w:r>
        <w:rPr>
          <w:rFonts w:hint="eastAsia"/>
          <w:color w:val="auto"/>
        </w:rPr>
        <w:t>②对</w:t>
      </w:r>
      <w:r>
        <w:rPr>
          <w:rFonts w:hint="eastAsia"/>
          <w:color w:val="auto"/>
          <w:sz w:val="24"/>
          <w:szCs w:val="24"/>
          <w:lang w:eastAsia="zh-CN"/>
        </w:rPr>
        <w:t>泸溪河</w:t>
      </w:r>
      <w:r>
        <w:rPr>
          <w:rFonts w:hint="eastAsia"/>
          <w:color w:val="auto"/>
        </w:rPr>
        <w:t>雨水泵站下游50m、100m、200m、500m、1000m、1500m、2000m处设若干点，同时在事故发生地的上游一定距离布设对照断面。</w:t>
      </w:r>
    </w:p>
    <w:p w14:paraId="379A86E1">
      <w:pPr>
        <w:pStyle w:val="31"/>
        <w:rPr>
          <w:color w:val="auto"/>
        </w:rPr>
      </w:pPr>
      <w:r>
        <w:rPr>
          <w:rFonts w:hint="eastAsia"/>
          <w:color w:val="auto"/>
        </w:rPr>
        <w:t>(2)对于地下水环境污染事故</w:t>
      </w:r>
    </w:p>
    <w:p w14:paraId="24C336AB">
      <w:pPr>
        <w:pStyle w:val="31"/>
        <w:rPr>
          <w:color w:val="auto"/>
        </w:rPr>
      </w:pPr>
      <w:r>
        <w:rPr>
          <w:rFonts w:hint="eastAsia"/>
          <w:color w:val="auto"/>
        </w:rPr>
        <w:t>①监测点位以事故发生地地下水为主，根据地下水水流方向、地下水井的分布等进行布点采样，同时监测井深和水位。</w:t>
      </w:r>
    </w:p>
    <w:p w14:paraId="001E007A">
      <w:pPr>
        <w:pStyle w:val="31"/>
        <w:rPr>
          <w:color w:val="auto"/>
        </w:rPr>
      </w:pPr>
      <w:r>
        <w:rPr>
          <w:rFonts w:hint="eastAsia"/>
          <w:color w:val="auto"/>
        </w:rPr>
        <w:t>②监测点位在事故发生地、事故发生地的下游500m、1000m处设监测点，在事故发生地的上游一定距离布设对照断面(点)。</w:t>
      </w:r>
    </w:p>
    <w:p w14:paraId="7F6A3DDC">
      <w:pPr>
        <w:pStyle w:val="7"/>
        <w:rPr>
          <w:color w:val="auto"/>
        </w:rPr>
      </w:pPr>
      <w:r>
        <w:rPr>
          <w:rFonts w:hint="eastAsia"/>
          <w:color w:val="auto"/>
          <w:lang w:eastAsia="zh-CN"/>
        </w:rPr>
        <w:t>6.</w:t>
      </w:r>
      <w:r>
        <w:rPr>
          <w:rFonts w:hint="eastAsia"/>
          <w:color w:val="auto"/>
        </w:rPr>
        <w:t>5.4.3监测频次的确定</w:t>
      </w:r>
    </w:p>
    <w:p w14:paraId="6A6C2482">
      <w:pPr>
        <w:pStyle w:val="31"/>
        <w:rPr>
          <w:color w:val="auto"/>
        </w:rPr>
      </w:pPr>
      <w:r>
        <w:rPr>
          <w:rFonts w:hint="eastAsia"/>
          <w:color w:val="auto"/>
        </w:rPr>
        <w:t>为了掌握事故发生后的污染程度、范围及变化趋势，需要实时进行连续的跟踪监测。应急监测全过程在事发、事中和事后等不同阶段予以体现，但各个阶段的监测频次不尽相同，参见表</w:t>
      </w:r>
      <w:r>
        <w:rPr>
          <w:rFonts w:hint="eastAsia"/>
          <w:color w:val="auto"/>
          <w:lang w:eastAsia="zh-CN"/>
        </w:rPr>
        <w:t>6.</w:t>
      </w:r>
      <w:r>
        <w:rPr>
          <w:rFonts w:hint="eastAsia"/>
          <w:color w:val="auto"/>
        </w:rPr>
        <w:t>5-1。</w:t>
      </w:r>
    </w:p>
    <w:p w14:paraId="14214D7B">
      <w:pPr>
        <w:pStyle w:val="32"/>
        <w:spacing w:before="156"/>
        <w:rPr>
          <w:color w:val="auto"/>
        </w:rPr>
      </w:pPr>
      <w:r>
        <w:rPr>
          <w:rFonts w:hint="eastAsia"/>
          <w:color w:val="auto"/>
        </w:rPr>
        <w:t>表</w:t>
      </w:r>
      <w:r>
        <w:rPr>
          <w:rFonts w:hint="eastAsia"/>
          <w:color w:val="auto"/>
          <w:lang w:eastAsia="zh-CN"/>
        </w:rPr>
        <w:t>6.</w:t>
      </w:r>
      <w:r>
        <w:rPr>
          <w:rFonts w:hint="eastAsia"/>
          <w:color w:val="auto"/>
        </w:rPr>
        <w:t>5-1   应急监测频次</w:t>
      </w:r>
    </w:p>
    <w:tbl>
      <w:tblPr>
        <w:tblStyle w:val="23"/>
        <w:tblW w:w="83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25"/>
        <w:gridCol w:w="1907"/>
        <w:gridCol w:w="2763"/>
        <w:gridCol w:w="2764"/>
      </w:tblGrid>
      <w:tr w14:paraId="50E937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25" w:type="dxa"/>
            <w:tcBorders>
              <w:bottom w:val="double" w:color="auto" w:sz="4" w:space="0"/>
            </w:tcBorders>
            <w:vAlign w:val="center"/>
          </w:tcPr>
          <w:p w14:paraId="44135E2F">
            <w:pPr>
              <w:pStyle w:val="34"/>
              <w:rPr>
                <w:color w:val="auto"/>
              </w:rPr>
            </w:pPr>
            <w:r>
              <w:rPr>
                <w:rFonts w:hint="eastAsia"/>
                <w:color w:val="auto"/>
              </w:rPr>
              <w:t>事故类型</w:t>
            </w:r>
          </w:p>
        </w:tc>
        <w:tc>
          <w:tcPr>
            <w:tcW w:w="1907" w:type="dxa"/>
            <w:tcBorders>
              <w:bottom w:val="double" w:color="auto" w:sz="4" w:space="0"/>
            </w:tcBorders>
            <w:vAlign w:val="center"/>
          </w:tcPr>
          <w:p w14:paraId="22B387B9">
            <w:pPr>
              <w:pStyle w:val="34"/>
              <w:rPr>
                <w:color w:val="auto"/>
              </w:rPr>
            </w:pPr>
            <w:r>
              <w:rPr>
                <w:rFonts w:hint="eastAsia"/>
                <w:color w:val="auto"/>
              </w:rPr>
              <w:t>监测点位</w:t>
            </w:r>
          </w:p>
        </w:tc>
        <w:tc>
          <w:tcPr>
            <w:tcW w:w="2763" w:type="dxa"/>
            <w:tcBorders>
              <w:bottom w:val="double" w:color="auto" w:sz="4" w:space="0"/>
            </w:tcBorders>
            <w:vAlign w:val="center"/>
          </w:tcPr>
          <w:p w14:paraId="027A638C">
            <w:pPr>
              <w:pStyle w:val="34"/>
              <w:rPr>
                <w:rFonts w:hint="default" w:eastAsia="宋体"/>
                <w:color w:val="auto"/>
                <w:lang w:val="en-US" w:eastAsia="zh-CN"/>
              </w:rPr>
            </w:pPr>
            <w:r>
              <w:rPr>
                <w:rFonts w:hint="eastAsia"/>
                <w:color w:val="auto"/>
                <w:lang w:val="en-US" w:eastAsia="zh-CN"/>
              </w:rPr>
              <w:t>监测因子</w:t>
            </w:r>
          </w:p>
        </w:tc>
        <w:tc>
          <w:tcPr>
            <w:tcW w:w="2764" w:type="dxa"/>
            <w:tcBorders>
              <w:bottom w:val="double" w:color="auto" w:sz="4" w:space="0"/>
            </w:tcBorders>
            <w:vAlign w:val="center"/>
          </w:tcPr>
          <w:p w14:paraId="69A859A6">
            <w:pPr>
              <w:pStyle w:val="34"/>
              <w:rPr>
                <w:color w:val="auto"/>
              </w:rPr>
            </w:pPr>
            <w:r>
              <w:rPr>
                <w:rFonts w:hint="eastAsia"/>
                <w:color w:val="auto"/>
              </w:rPr>
              <w:t>应急监测频次</w:t>
            </w:r>
          </w:p>
        </w:tc>
      </w:tr>
      <w:tr w14:paraId="377FE7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25" w:type="dxa"/>
            <w:vMerge w:val="restart"/>
            <w:tcBorders>
              <w:top w:val="double" w:color="auto" w:sz="4" w:space="0"/>
              <w:tl2br w:val="nil"/>
              <w:tr2bl w:val="nil"/>
            </w:tcBorders>
            <w:vAlign w:val="center"/>
          </w:tcPr>
          <w:p w14:paraId="1542D654">
            <w:pPr>
              <w:pStyle w:val="34"/>
              <w:rPr>
                <w:color w:val="auto"/>
              </w:rPr>
            </w:pPr>
            <w:r>
              <w:rPr>
                <w:rFonts w:hint="eastAsia"/>
                <w:color w:val="auto"/>
              </w:rPr>
              <w:t>地表水环境污染事故</w:t>
            </w:r>
          </w:p>
        </w:tc>
        <w:tc>
          <w:tcPr>
            <w:tcW w:w="1907" w:type="dxa"/>
            <w:tcBorders>
              <w:top w:val="double" w:color="auto" w:sz="4" w:space="0"/>
              <w:tl2br w:val="nil"/>
              <w:tr2bl w:val="nil"/>
            </w:tcBorders>
            <w:vAlign w:val="center"/>
          </w:tcPr>
          <w:p w14:paraId="15A68264">
            <w:pPr>
              <w:pStyle w:val="34"/>
              <w:rPr>
                <w:color w:val="auto"/>
              </w:rPr>
            </w:pPr>
            <w:r>
              <w:rPr>
                <w:rFonts w:hint="eastAsia"/>
                <w:color w:val="auto"/>
              </w:rPr>
              <w:t>事故发生地</w:t>
            </w:r>
          </w:p>
        </w:tc>
        <w:tc>
          <w:tcPr>
            <w:tcW w:w="2763" w:type="dxa"/>
            <w:vMerge w:val="restart"/>
            <w:tcBorders>
              <w:top w:val="double" w:color="auto" w:sz="4" w:space="0"/>
              <w:tl2br w:val="nil"/>
              <w:tr2bl w:val="nil"/>
            </w:tcBorders>
            <w:vAlign w:val="center"/>
          </w:tcPr>
          <w:p w14:paraId="3EF11B83">
            <w:pPr>
              <w:pStyle w:val="34"/>
              <w:rPr>
                <w:rFonts w:hint="default" w:eastAsia="宋体"/>
                <w:color w:val="auto"/>
                <w:lang w:val="en-US" w:eastAsia="zh-CN"/>
              </w:rPr>
            </w:pPr>
            <w:r>
              <w:rPr>
                <w:rFonts w:hint="eastAsia"/>
                <w:color w:val="auto"/>
              </w:rPr>
              <w:t>pH</w:t>
            </w:r>
            <w:r>
              <w:rPr>
                <w:rFonts w:hint="eastAsia"/>
                <w:color w:val="auto"/>
                <w:lang w:eastAsia="zh-CN"/>
              </w:rPr>
              <w:t>、</w:t>
            </w:r>
            <w:r>
              <w:rPr>
                <w:rFonts w:hint="eastAsia"/>
                <w:color w:val="auto"/>
              </w:rPr>
              <w:t>SS</w:t>
            </w:r>
            <w:r>
              <w:rPr>
                <w:rFonts w:hint="eastAsia"/>
                <w:color w:val="auto"/>
                <w:lang w:eastAsia="zh-CN"/>
              </w:rPr>
              <w:t>、</w:t>
            </w:r>
            <w:r>
              <w:rPr>
                <w:rFonts w:hint="eastAsia"/>
                <w:color w:val="auto"/>
              </w:rPr>
              <w:t>氨氮</w:t>
            </w:r>
            <w:r>
              <w:rPr>
                <w:rFonts w:hint="eastAsia"/>
                <w:color w:val="auto"/>
                <w:lang w:eastAsia="zh-CN"/>
              </w:rPr>
              <w:t>、</w:t>
            </w:r>
            <w:r>
              <w:rPr>
                <w:rFonts w:hint="eastAsia"/>
                <w:color w:val="auto"/>
              </w:rPr>
              <w:t>总磷</w:t>
            </w:r>
            <w:r>
              <w:rPr>
                <w:rFonts w:hint="eastAsia"/>
                <w:color w:val="auto"/>
                <w:lang w:eastAsia="zh-CN"/>
              </w:rPr>
              <w:t>、</w:t>
            </w:r>
            <w:r>
              <w:rPr>
                <w:rFonts w:hint="eastAsia"/>
                <w:color w:val="auto"/>
              </w:rPr>
              <w:t>COD</w:t>
            </w:r>
            <w:r>
              <w:rPr>
                <w:rFonts w:hint="eastAsia"/>
                <w:color w:val="auto"/>
                <w:lang w:eastAsia="zh-CN"/>
              </w:rPr>
              <w:t>、</w:t>
            </w:r>
            <w:r>
              <w:rPr>
                <w:rFonts w:hint="eastAsia"/>
                <w:color w:val="auto"/>
                <w:lang w:val="en-US" w:eastAsia="zh-CN"/>
              </w:rPr>
              <w:t>BOD、</w:t>
            </w:r>
            <w:r>
              <w:rPr>
                <w:rFonts w:hint="eastAsia"/>
                <w:color w:val="auto"/>
              </w:rPr>
              <w:t>大肠杆菌</w:t>
            </w:r>
          </w:p>
        </w:tc>
        <w:tc>
          <w:tcPr>
            <w:tcW w:w="2764" w:type="dxa"/>
            <w:vMerge w:val="restart"/>
            <w:tcBorders>
              <w:top w:val="double" w:color="auto" w:sz="4" w:space="0"/>
              <w:tl2br w:val="nil"/>
              <w:tr2bl w:val="nil"/>
            </w:tcBorders>
            <w:vAlign w:val="center"/>
          </w:tcPr>
          <w:p w14:paraId="7DB242A4">
            <w:pPr>
              <w:pStyle w:val="34"/>
              <w:rPr>
                <w:color w:val="auto"/>
              </w:rPr>
            </w:pPr>
            <w:r>
              <w:rPr>
                <w:rFonts w:hint="eastAsia"/>
                <w:color w:val="auto"/>
              </w:rPr>
              <w:t>初始加密(4次/天)监测，随着污染物浓度的下降逐渐降低频次</w:t>
            </w:r>
          </w:p>
        </w:tc>
      </w:tr>
      <w:tr w14:paraId="41B214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25" w:type="dxa"/>
            <w:vMerge w:val="continue"/>
            <w:tcBorders>
              <w:tl2br w:val="nil"/>
              <w:tr2bl w:val="nil"/>
            </w:tcBorders>
            <w:vAlign w:val="center"/>
          </w:tcPr>
          <w:p w14:paraId="3B82DCFC">
            <w:pPr>
              <w:pStyle w:val="34"/>
              <w:rPr>
                <w:color w:val="auto"/>
              </w:rPr>
            </w:pPr>
          </w:p>
        </w:tc>
        <w:tc>
          <w:tcPr>
            <w:tcW w:w="1907" w:type="dxa"/>
            <w:tcBorders>
              <w:tl2br w:val="nil"/>
              <w:tr2bl w:val="nil"/>
            </w:tcBorders>
            <w:vAlign w:val="center"/>
          </w:tcPr>
          <w:p w14:paraId="45A4BDB8">
            <w:pPr>
              <w:pStyle w:val="34"/>
              <w:rPr>
                <w:color w:val="auto"/>
              </w:rPr>
            </w:pPr>
            <w:r>
              <w:rPr>
                <w:rFonts w:hint="eastAsia"/>
                <w:color w:val="auto"/>
              </w:rPr>
              <w:t>事故发生地下游若干点</w:t>
            </w:r>
          </w:p>
        </w:tc>
        <w:tc>
          <w:tcPr>
            <w:tcW w:w="2763" w:type="dxa"/>
            <w:vMerge w:val="continue"/>
            <w:tcBorders>
              <w:tl2br w:val="nil"/>
              <w:tr2bl w:val="nil"/>
            </w:tcBorders>
            <w:vAlign w:val="center"/>
          </w:tcPr>
          <w:p w14:paraId="0D800098">
            <w:pPr>
              <w:pStyle w:val="34"/>
              <w:rPr>
                <w:rFonts w:hint="eastAsia"/>
                <w:color w:val="auto"/>
              </w:rPr>
            </w:pPr>
          </w:p>
        </w:tc>
        <w:tc>
          <w:tcPr>
            <w:tcW w:w="2764" w:type="dxa"/>
            <w:vMerge w:val="continue"/>
            <w:tcBorders>
              <w:tl2br w:val="nil"/>
              <w:tr2bl w:val="nil"/>
            </w:tcBorders>
            <w:vAlign w:val="center"/>
          </w:tcPr>
          <w:p w14:paraId="6DE7A7BC">
            <w:pPr>
              <w:pStyle w:val="34"/>
              <w:rPr>
                <w:color w:val="auto"/>
              </w:rPr>
            </w:pPr>
          </w:p>
        </w:tc>
      </w:tr>
      <w:tr w14:paraId="53C7F9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25" w:type="dxa"/>
            <w:vMerge w:val="continue"/>
            <w:tcBorders>
              <w:tl2br w:val="nil"/>
              <w:tr2bl w:val="nil"/>
            </w:tcBorders>
            <w:vAlign w:val="center"/>
          </w:tcPr>
          <w:p w14:paraId="40CB91C5">
            <w:pPr>
              <w:pStyle w:val="34"/>
              <w:rPr>
                <w:color w:val="auto"/>
              </w:rPr>
            </w:pPr>
          </w:p>
        </w:tc>
        <w:tc>
          <w:tcPr>
            <w:tcW w:w="1907" w:type="dxa"/>
            <w:tcBorders>
              <w:tl2br w:val="nil"/>
              <w:tr2bl w:val="nil"/>
            </w:tcBorders>
            <w:vAlign w:val="center"/>
          </w:tcPr>
          <w:p w14:paraId="021E1618">
            <w:pPr>
              <w:pStyle w:val="34"/>
              <w:rPr>
                <w:color w:val="auto"/>
              </w:rPr>
            </w:pPr>
            <w:r>
              <w:rPr>
                <w:rFonts w:hint="eastAsia"/>
                <w:color w:val="auto"/>
              </w:rPr>
              <w:t>事故发生地上游对照点</w:t>
            </w:r>
          </w:p>
        </w:tc>
        <w:tc>
          <w:tcPr>
            <w:tcW w:w="2763" w:type="dxa"/>
            <w:vMerge w:val="continue"/>
            <w:tcBorders>
              <w:tl2br w:val="nil"/>
              <w:tr2bl w:val="nil"/>
            </w:tcBorders>
            <w:vAlign w:val="center"/>
          </w:tcPr>
          <w:p w14:paraId="7BA9FF40">
            <w:pPr>
              <w:pStyle w:val="34"/>
              <w:rPr>
                <w:rFonts w:hint="eastAsia"/>
                <w:color w:val="auto"/>
              </w:rPr>
            </w:pPr>
          </w:p>
        </w:tc>
        <w:tc>
          <w:tcPr>
            <w:tcW w:w="2764" w:type="dxa"/>
            <w:vMerge w:val="continue"/>
            <w:tcBorders>
              <w:tl2br w:val="nil"/>
              <w:tr2bl w:val="nil"/>
            </w:tcBorders>
            <w:vAlign w:val="center"/>
          </w:tcPr>
          <w:p w14:paraId="2C69DFC3">
            <w:pPr>
              <w:pStyle w:val="34"/>
              <w:rPr>
                <w:color w:val="auto"/>
              </w:rPr>
            </w:pPr>
          </w:p>
        </w:tc>
      </w:tr>
      <w:tr w14:paraId="370541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25" w:type="dxa"/>
            <w:vMerge w:val="restart"/>
            <w:tcBorders>
              <w:tl2br w:val="nil"/>
              <w:tr2bl w:val="nil"/>
            </w:tcBorders>
            <w:vAlign w:val="center"/>
          </w:tcPr>
          <w:p w14:paraId="49ACA1A4">
            <w:pPr>
              <w:pStyle w:val="34"/>
              <w:rPr>
                <w:color w:val="auto"/>
              </w:rPr>
            </w:pPr>
            <w:r>
              <w:rPr>
                <w:rFonts w:hint="eastAsia"/>
                <w:color w:val="auto"/>
              </w:rPr>
              <w:t>地下水环境污染事故</w:t>
            </w:r>
          </w:p>
        </w:tc>
        <w:tc>
          <w:tcPr>
            <w:tcW w:w="1907" w:type="dxa"/>
            <w:tcBorders>
              <w:tl2br w:val="nil"/>
              <w:tr2bl w:val="nil"/>
            </w:tcBorders>
            <w:vAlign w:val="center"/>
          </w:tcPr>
          <w:p w14:paraId="1680C6F2">
            <w:pPr>
              <w:pStyle w:val="34"/>
              <w:rPr>
                <w:rFonts w:hint="eastAsia"/>
                <w:color w:val="auto"/>
              </w:rPr>
            </w:pPr>
            <w:r>
              <w:rPr>
                <w:rFonts w:hint="default" w:ascii="Times New Roman" w:hAnsi="Times New Roman" w:cs="Times New Roman"/>
                <w:color w:val="auto"/>
                <w:spacing w:val="0"/>
                <w:w w:val="100"/>
                <w:position w:val="0"/>
                <w:sz w:val="21"/>
                <w:szCs w:val="21"/>
              </w:rPr>
              <w:t>厂区自行监测井</w:t>
            </w:r>
          </w:p>
        </w:tc>
        <w:tc>
          <w:tcPr>
            <w:tcW w:w="2763" w:type="dxa"/>
            <w:vMerge w:val="restart"/>
            <w:tcBorders>
              <w:tl2br w:val="nil"/>
              <w:tr2bl w:val="nil"/>
            </w:tcBorders>
            <w:vAlign w:val="center"/>
          </w:tcPr>
          <w:p w14:paraId="4AFA67C6">
            <w:pPr>
              <w:pStyle w:val="34"/>
              <w:rPr>
                <w:rFonts w:hint="default" w:ascii="Times New Roman" w:hAnsi="Times New Roman" w:cs="Times New Roman"/>
                <w:color w:val="auto"/>
                <w:spacing w:val="0"/>
                <w:w w:val="100"/>
                <w:position w:val="0"/>
                <w:sz w:val="21"/>
                <w:szCs w:val="21"/>
              </w:rPr>
            </w:pPr>
            <w:r>
              <w:rPr>
                <w:rFonts w:hint="default" w:ascii="Times New Roman" w:hAnsi="Times New Roman" w:eastAsia="Times New Roman" w:cs="Times New Roman"/>
                <w:color w:val="auto"/>
                <w:spacing w:val="0"/>
                <w:w w:val="100"/>
                <w:position w:val="0"/>
                <w:sz w:val="21"/>
                <w:szCs w:val="21"/>
              </w:rPr>
              <w:t>pH</w:t>
            </w:r>
            <w:r>
              <w:rPr>
                <w:rFonts w:hint="default" w:ascii="Times New Roman" w:hAnsi="Times New Roman" w:cs="Times New Roman"/>
                <w:color w:val="auto"/>
                <w:spacing w:val="0"/>
                <w:w w:val="100"/>
                <w:position w:val="0"/>
                <w:sz w:val="21"/>
                <w:szCs w:val="21"/>
              </w:rPr>
              <w:t>、总硬度、溶解性总固体、高锰酸盐指数、氨氮、硝酸盐、亚硝酸盐、硫酸盐、氯化物、挥发酚类、氰化物、砷、汞、六价铬、铅、氟、镉、铁、锰、铜、锌、粪大肠菌群</w:t>
            </w:r>
          </w:p>
        </w:tc>
        <w:tc>
          <w:tcPr>
            <w:tcW w:w="2764" w:type="dxa"/>
            <w:vMerge w:val="restart"/>
            <w:tcBorders>
              <w:tl2br w:val="nil"/>
              <w:tr2bl w:val="nil"/>
            </w:tcBorders>
            <w:vAlign w:val="center"/>
          </w:tcPr>
          <w:p w14:paraId="627790FD">
            <w:pPr>
              <w:pStyle w:val="4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outlineLvl w:val="9"/>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初始加密监测：</w:t>
            </w:r>
          </w:p>
          <w:p w14:paraId="69B26873">
            <w:pPr>
              <w:pStyle w:val="34"/>
              <w:rPr>
                <w:color w:val="auto"/>
              </w:rPr>
            </w:pPr>
            <w:r>
              <w:rPr>
                <w:rFonts w:hint="default" w:ascii="Times New Roman" w:hAnsi="Times New Roman" w:eastAsia="Times New Roman" w:cs="Times New Roman"/>
                <w:color w:val="auto"/>
                <w:spacing w:val="0"/>
                <w:w w:val="100"/>
                <w:position w:val="0"/>
                <w:sz w:val="21"/>
                <w:szCs w:val="21"/>
              </w:rPr>
              <w:t>5</w:t>
            </w:r>
            <w:r>
              <w:rPr>
                <w:rFonts w:hint="default" w:ascii="Times New Roman" w:hAnsi="Times New Roman" w:cs="Times New Roman"/>
                <w:color w:val="auto"/>
                <w:spacing w:val="0"/>
                <w:w w:val="100"/>
                <w:position w:val="0"/>
                <w:sz w:val="21"/>
                <w:szCs w:val="21"/>
              </w:rPr>
              <w:t>次</w:t>
            </w:r>
            <w:r>
              <w:rPr>
                <w:rFonts w:hint="default" w:ascii="Times New Roman" w:hAnsi="Times New Roman" w:eastAsia="Times New Roman" w:cs="Times New Roman"/>
                <w:color w:val="auto"/>
                <w:spacing w:val="0"/>
                <w:w w:val="100"/>
                <w:position w:val="0"/>
                <w:sz w:val="21"/>
                <w:szCs w:val="21"/>
              </w:rPr>
              <w:t>/d</w:t>
            </w:r>
            <w:r>
              <w:rPr>
                <w:rFonts w:hint="default" w:ascii="Times New Roman" w:hAnsi="Times New Roman" w:cs="Times New Roman"/>
                <w:color w:val="auto"/>
                <w:spacing w:val="0"/>
                <w:w w:val="100"/>
                <w:position w:val="0"/>
                <w:sz w:val="21"/>
                <w:szCs w:val="21"/>
              </w:rPr>
              <w:t>；随着污染物浓度的下降逐渐降低频次</w:t>
            </w:r>
          </w:p>
        </w:tc>
      </w:tr>
      <w:tr w14:paraId="4C2FF0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25" w:type="dxa"/>
            <w:vMerge w:val="continue"/>
            <w:tcBorders>
              <w:tl2br w:val="nil"/>
              <w:tr2bl w:val="nil"/>
            </w:tcBorders>
            <w:vAlign w:val="center"/>
          </w:tcPr>
          <w:p w14:paraId="45DCB4A6">
            <w:pPr>
              <w:pStyle w:val="34"/>
              <w:rPr>
                <w:rFonts w:hint="eastAsia"/>
                <w:color w:val="auto"/>
              </w:rPr>
            </w:pPr>
          </w:p>
        </w:tc>
        <w:tc>
          <w:tcPr>
            <w:tcW w:w="1907" w:type="dxa"/>
            <w:tcBorders>
              <w:tl2br w:val="nil"/>
              <w:tr2bl w:val="nil"/>
            </w:tcBorders>
            <w:vAlign w:val="center"/>
          </w:tcPr>
          <w:p w14:paraId="060295E9">
            <w:pPr>
              <w:pStyle w:val="34"/>
              <w:rPr>
                <w:rFonts w:hint="default" w:ascii="Times New Roman" w:hAnsi="Times New Roman" w:cs="Times New Roman"/>
                <w:color w:val="auto"/>
                <w:spacing w:val="0"/>
                <w:w w:val="100"/>
                <w:position w:val="0"/>
                <w:sz w:val="21"/>
                <w:szCs w:val="21"/>
              </w:rPr>
            </w:pPr>
            <w:r>
              <w:rPr>
                <w:rFonts w:hint="eastAsia"/>
                <w:color w:val="auto"/>
              </w:rPr>
              <w:t>下游500m处</w:t>
            </w:r>
          </w:p>
        </w:tc>
        <w:tc>
          <w:tcPr>
            <w:tcW w:w="2763" w:type="dxa"/>
            <w:vMerge w:val="continue"/>
            <w:tcBorders>
              <w:tl2br w:val="nil"/>
              <w:tr2bl w:val="nil"/>
            </w:tcBorders>
            <w:vAlign w:val="center"/>
          </w:tcPr>
          <w:p w14:paraId="78E45402">
            <w:pPr>
              <w:pStyle w:val="34"/>
              <w:rPr>
                <w:rFonts w:hint="eastAsia"/>
                <w:color w:val="auto"/>
              </w:rPr>
            </w:pPr>
          </w:p>
        </w:tc>
        <w:tc>
          <w:tcPr>
            <w:tcW w:w="2764" w:type="dxa"/>
            <w:vMerge w:val="continue"/>
            <w:tcBorders>
              <w:tl2br w:val="nil"/>
              <w:tr2bl w:val="nil"/>
            </w:tcBorders>
            <w:vAlign w:val="center"/>
          </w:tcPr>
          <w:p w14:paraId="4C7D9533">
            <w:pPr>
              <w:pStyle w:val="34"/>
              <w:rPr>
                <w:color w:val="auto"/>
              </w:rPr>
            </w:pPr>
          </w:p>
        </w:tc>
      </w:tr>
      <w:tr w14:paraId="31CA0C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25" w:type="dxa"/>
            <w:vMerge w:val="continue"/>
            <w:tcBorders>
              <w:tl2br w:val="nil"/>
              <w:tr2bl w:val="nil"/>
            </w:tcBorders>
            <w:vAlign w:val="center"/>
          </w:tcPr>
          <w:p w14:paraId="0073E359">
            <w:pPr>
              <w:pStyle w:val="34"/>
              <w:rPr>
                <w:rFonts w:hint="eastAsia"/>
                <w:color w:val="auto"/>
              </w:rPr>
            </w:pPr>
          </w:p>
        </w:tc>
        <w:tc>
          <w:tcPr>
            <w:tcW w:w="1907" w:type="dxa"/>
            <w:tcBorders>
              <w:tl2br w:val="nil"/>
              <w:tr2bl w:val="nil"/>
            </w:tcBorders>
            <w:vAlign w:val="center"/>
          </w:tcPr>
          <w:p w14:paraId="73A7A7E0">
            <w:pPr>
              <w:pStyle w:val="34"/>
              <w:rPr>
                <w:rFonts w:hint="default" w:ascii="Times New Roman" w:hAnsi="Times New Roman" w:cs="Times New Roman"/>
                <w:color w:val="auto"/>
                <w:spacing w:val="0"/>
                <w:w w:val="100"/>
                <w:position w:val="0"/>
                <w:sz w:val="21"/>
                <w:szCs w:val="21"/>
              </w:rPr>
            </w:pPr>
            <w:r>
              <w:rPr>
                <w:rFonts w:hint="eastAsia"/>
                <w:color w:val="auto"/>
              </w:rPr>
              <w:t>下游1000m处</w:t>
            </w:r>
          </w:p>
        </w:tc>
        <w:tc>
          <w:tcPr>
            <w:tcW w:w="2763" w:type="dxa"/>
            <w:vMerge w:val="continue"/>
            <w:tcBorders>
              <w:tl2br w:val="nil"/>
              <w:tr2bl w:val="nil"/>
            </w:tcBorders>
            <w:vAlign w:val="center"/>
          </w:tcPr>
          <w:p w14:paraId="4CEFFAA8">
            <w:pPr>
              <w:pStyle w:val="34"/>
              <w:rPr>
                <w:rFonts w:hint="eastAsia"/>
                <w:color w:val="auto"/>
              </w:rPr>
            </w:pPr>
          </w:p>
        </w:tc>
        <w:tc>
          <w:tcPr>
            <w:tcW w:w="2764" w:type="dxa"/>
            <w:vMerge w:val="continue"/>
            <w:tcBorders>
              <w:tl2br w:val="nil"/>
              <w:tr2bl w:val="nil"/>
            </w:tcBorders>
            <w:vAlign w:val="center"/>
          </w:tcPr>
          <w:p w14:paraId="24CB66C7">
            <w:pPr>
              <w:pStyle w:val="34"/>
              <w:rPr>
                <w:color w:val="auto"/>
              </w:rPr>
            </w:pPr>
          </w:p>
        </w:tc>
      </w:tr>
    </w:tbl>
    <w:p w14:paraId="5AD5CEFC">
      <w:pPr>
        <w:pStyle w:val="5"/>
        <w:spacing w:before="156" w:after="156"/>
        <w:rPr>
          <w:color w:val="auto"/>
        </w:rPr>
      </w:pPr>
      <w:bookmarkStart w:id="105" w:name="_Toc476314984"/>
      <w:bookmarkStart w:id="106" w:name="_Toc32225"/>
      <w:r>
        <w:rPr>
          <w:rFonts w:hint="eastAsia"/>
          <w:color w:val="auto"/>
          <w:lang w:eastAsia="zh-CN"/>
        </w:rPr>
        <w:t>6.</w:t>
      </w:r>
      <w:r>
        <w:rPr>
          <w:rFonts w:hint="eastAsia"/>
          <w:color w:val="auto"/>
        </w:rPr>
        <w:t>6应急终止</w:t>
      </w:r>
      <w:bookmarkEnd w:id="105"/>
      <w:bookmarkEnd w:id="106"/>
    </w:p>
    <w:p w14:paraId="31598310">
      <w:pPr>
        <w:pStyle w:val="6"/>
        <w:spacing w:before="156" w:after="156"/>
        <w:rPr>
          <w:color w:val="auto"/>
        </w:rPr>
      </w:pPr>
      <w:r>
        <w:rPr>
          <w:rFonts w:hint="eastAsia"/>
          <w:color w:val="auto"/>
          <w:lang w:eastAsia="zh-CN"/>
        </w:rPr>
        <w:t>6.</w:t>
      </w:r>
      <w:r>
        <w:rPr>
          <w:rFonts w:hint="eastAsia"/>
          <w:color w:val="auto"/>
        </w:rPr>
        <w:t>6.1应急终止的条件</w:t>
      </w:r>
    </w:p>
    <w:p w14:paraId="5C960C18">
      <w:pPr>
        <w:pStyle w:val="31"/>
        <w:rPr>
          <w:color w:val="auto"/>
        </w:rPr>
      </w:pPr>
      <w:r>
        <w:rPr>
          <w:rFonts w:hint="eastAsia"/>
          <w:color w:val="auto"/>
        </w:rPr>
        <w:t>超出公司应急能力的应急终止由上级部门最高响应级别总指挥进行应急终止；未超出公司应急能力的由应急指挥中心根据下列规定进行应急终止。</w:t>
      </w:r>
    </w:p>
    <w:p w14:paraId="0F6E26C7">
      <w:pPr>
        <w:pStyle w:val="31"/>
        <w:rPr>
          <w:color w:val="auto"/>
        </w:rPr>
      </w:pPr>
      <w:r>
        <w:rPr>
          <w:rFonts w:hint="eastAsia"/>
          <w:color w:val="auto"/>
        </w:rPr>
        <w:t>符合下列条件之一的，即满足应急终止条件：</w:t>
      </w:r>
    </w:p>
    <w:p w14:paraId="5C4FE2BC">
      <w:pPr>
        <w:pStyle w:val="31"/>
        <w:rPr>
          <w:color w:val="auto"/>
        </w:rPr>
      </w:pPr>
      <w:r>
        <w:rPr>
          <w:rFonts w:hint="eastAsia"/>
          <w:color w:val="auto"/>
        </w:rPr>
        <w:t>(1)事故现场得到控制，事故条件已经消除；</w:t>
      </w:r>
    </w:p>
    <w:p w14:paraId="7FAD98BF">
      <w:pPr>
        <w:pStyle w:val="31"/>
        <w:rPr>
          <w:color w:val="auto"/>
        </w:rPr>
      </w:pPr>
      <w:r>
        <w:rPr>
          <w:rFonts w:hint="eastAsia"/>
          <w:color w:val="auto"/>
        </w:rPr>
        <w:t>(2)受污染监测点水质及土壤已降至规定限值以内；</w:t>
      </w:r>
    </w:p>
    <w:p w14:paraId="3E0529C9">
      <w:pPr>
        <w:pStyle w:val="31"/>
        <w:rPr>
          <w:color w:val="auto"/>
        </w:rPr>
      </w:pPr>
      <w:r>
        <w:rPr>
          <w:rFonts w:hint="eastAsia"/>
          <w:color w:val="auto"/>
        </w:rPr>
        <w:t>(3)事故造成的危害已经被彻底消除，无继发可能；</w:t>
      </w:r>
    </w:p>
    <w:p w14:paraId="60EB02C5">
      <w:pPr>
        <w:pStyle w:val="31"/>
        <w:rPr>
          <w:color w:val="auto"/>
        </w:rPr>
      </w:pPr>
      <w:r>
        <w:rPr>
          <w:rFonts w:hint="eastAsia"/>
          <w:color w:val="auto"/>
        </w:rPr>
        <w:t>(4)事故现场的各种专业应急处置行动已无继续的必要；</w:t>
      </w:r>
    </w:p>
    <w:p w14:paraId="49D923E3">
      <w:pPr>
        <w:pStyle w:val="31"/>
        <w:rPr>
          <w:color w:val="auto"/>
        </w:rPr>
      </w:pPr>
      <w:r>
        <w:rPr>
          <w:rFonts w:hint="eastAsia"/>
          <w:color w:val="auto"/>
        </w:rPr>
        <w:t>(5)采取了必要的防护措施以保护公众免受再次危害，并使事件可能引起的中长期影响趋于合理且尽量低的水平。</w:t>
      </w:r>
    </w:p>
    <w:p w14:paraId="17084B64">
      <w:pPr>
        <w:pStyle w:val="6"/>
        <w:spacing w:before="156" w:after="156"/>
        <w:rPr>
          <w:color w:val="auto"/>
        </w:rPr>
      </w:pPr>
      <w:r>
        <w:rPr>
          <w:rFonts w:hint="eastAsia"/>
          <w:color w:val="auto"/>
          <w:lang w:eastAsia="zh-CN"/>
        </w:rPr>
        <w:t>6.</w:t>
      </w:r>
      <w:r>
        <w:rPr>
          <w:rFonts w:hint="eastAsia"/>
          <w:color w:val="auto"/>
        </w:rPr>
        <w:t>6.2应急终止的程序</w:t>
      </w:r>
    </w:p>
    <w:p w14:paraId="5FECCBBB">
      <w:pPr>
        <w:pStyle w:val="31"/>
        <w:rPr>
          <w:color w:val="auto"/>
        </w:rPr>
      </w:pPr>
      <w:r>
        <w:rPr>
          <w:rFonts w:hint="eastAsia"/>
          <w:color w:val="auto"/>
        </w:rPr>
        <w:t>(1)若已启动公司上一级突发环境事件应急预案时，由</w:t>
      </w:r>
      <w:r>
        <w:rPr>
          <w:rFonts w:hint="eastAsia"/>
          <w:color w:val="auto"/>
          <w:lang w:eastAsia="zh-CN"/>
        </w:rPr>
        <w:t>资溪县</w:t>
      </w:r>
      <w:r>
        <w:rPr>
          <w:rFonts w:hint="eastAsia"/>
          <w:color w:val="auto"/>
        </w:rPr>
        <w:t>人民政府下达应急终止命令。</w:t>
      </w:r>
    </w:p>
    <w:p w14:paraId="68A7551E">
      <w:pPr>
        <w:pStyle w:val="31"/>
        <w:rPr>
          <w:color w:val="auto"/>
        </w:rPr>
      </w:pPr>
      <w:r>
        <w:rPr>
          <w:rFonts w:hint="eastAsia"/>
          <w:color w:val="auto"/>
        </w:rPr>
        <w:t>(2)若启动公司突发环境事件应急预案，由公司现场应急指挥部确认终止时机，或事件责任单位提出，经现场应急指挥部核查后，经应急指挥中心批准。</w:t>
      </w:r>
    </w:p>
    <w:p w14:paraId="50CCAA15">
      <w:pPr>
        <w:pStyle w:val="31"/>
        <w:rPr>
          <w:color w:val="auto"/>
        </w:rPr>
      </w:pPr>
      <w:r>
        <w:rPr>
          <w:rFonts w:hint="eastAsia"/>
          <w:color w:val="auto"/>
        </w:rPr>
        <w:t>(3)应急指挥中心向所属各专业应急救援队伍下达应急终止命令。</w:t>
      </w:r>
    </w:p>
    <w:p w14:paraId="7F37E0A3">
      <w:pPr>
        <w:pStyle w:val="31"/>
        <w:rPr>
          <w:color w:val="auto"/>
        </w:rPr>
      </w:pPr>
      <w:r>
        <w:rPr>
          <w:rFonts w:hint="eastAsia"/>
          <w:color w:val="auto"/>
        </w:rPr>
        <w:t>(4)应急状态终止后，相关类别的专业救援队伍根据上级主管部门的指示和实际情况，继续进行环境监测和评价工作，直到其它补救措施无需继续进行为止。</w:t>
      </w:r>
    </w:p>
    <w:p w14:paraId="07F26E76">
      <w:pPr>
        <w:pStyle w:val="31"/>
        <w:rPr>
          <w:color w:val="auto"/>
        </w:rPr>
      </w:pPr>
      <w:r>
        <w:rPr>
          <w:rFonts w:hint="eastAsia"/>
          <w:color w:val="auto"/>
        </w:rPr>
        <w:t>(5)应急指挥中心对紧急救援工作进行总结、上报。</w:t>
      </w:r>
    </w:p>
    <w:p w14:paraId="6E08C9CC">
      <w:pPr>
        <w:pStyle w:val="31"/>
        <w:rPr>
          <w:color w:val="auto"/>
        </w:rPr>
      </w:pPr>
      <w:r>
        <w:rPr>
          <w:rFonts w:hint="eastAsia"/>
          <w:color w:val="auto"/>
        </w:rPr>
        <w:t>(6)组织好受伤人员的医疗救治，处理好善后工作。</w:t>
      </w:r>
    </w:p>
    <w:p w14:paraId="11E8C745">
      <w:pPr>
        <w:pStyle w:val="31"/>
        <w:rPr>
          <w:color w:val="auto"/>
        </w:rPr>
      </w:pPr>
      <w:r>
        <w:rPr>
          <w:rFonts w:hint="eastAsia"/>
          <w:color w:val="auto"/>
        </w:rPr>
        <w:t>(7)抢修救援组指导各车间恢复生产。</w:t>
      </w:r>
    </w:p>
    <w:p w14:paraId="4DD3BEBD">
      <w:pPr>
        <w:pStyle w:val="6"/>
        <w:spacing w:before="156" w:after="156"/>
        <w:rPr>
          <w:color w:val="auto"/>
        </w:rPr>
      </w:pPr>
      <w:r>
        <w:rPr>
          <w:rFonts w:hint="eastAsia"/>
          <w:color w:val="auto"/>
          <w:lang w:eastAsia="zh-CN"/>
        </w:rPr>
        <w:t>6.</w:t>
      </w:r>
      <w:r>
        <w:rPr>
          <w:rFonts w:hint="eastAsia"/>
          <w:color w:val="auto"/>
        </w:rPr>
        <w:t>6.3应急终止后的行动</w:t>
      </w:r>
    </w:p>
    <w:p w14:paraId="5DEA6882">
      <w:pPr>
        <w:pStyle w:val="31"/>
        <w:rPr>
          <w:color w:val="auto"/>
        </w:rPr>
      </w:pPr>
      <w:r>
        <w:rPr>
          <w:rFonts w:hint="eastAsia"/>
          <w:color w:val="auto"/>
        </w:rPr>
        <w:t>(1)对现场暴露工作人员、应急救援人员和受到影响的区域进行清理。</w:t>
      </w:r>
    </w:p>
    <w:p w14:paraId="7EC5420D">
      <w:pPr>
        <w:pStyle w:val="31"/>
        <w:rPr>
          <w:color w:val="auto"/>
        </w:rPr>
      </w:pPr>
      <w:r>
        <w:rPr>
          <w:rFonts w:hint="eastAsia"/>
          <w:color w:val="auto"/>
        </w:rPr>
        <w:t>(2)全面检查和维护生产设施设备，清点救援物资消耗并及时补充，维护保养补充应急设备、设施和仪器。</w:t>
      </w:r>
    </w:p>
    <w:p w14:paraId="48239E79">
      <w:pPr>
        <w:pStyle w:val="31"/>
        <w:rPr>
          <w:color w:val="auto"/>
        </w:rPr>
      </w:pPr>
      <w:r>
        <w:rPr>
          <w:rFonts w:hint="eastAsia"/>
          <w:color w:val="auto"/>
        </w:rPr>
        <w:t>(3)应急终止后，由</w:t>
      </w:r>
      <w:r>
        <w:rPr>
          <w:rFonts w:hint="eastAsia"/>
          <w:color w:val="auto"/>
          <w:lang w:eastAsia="zh-CN"/>
        </w:rPr>
        <w:t>资溪县</w:t>
      </w:r>
      <w:r>
        <w:rPr>
          <w:rFonts w:hint="eastAsia"/>
          <w:color w:val="auto"/>
        </w:rPr>
        <w:t>人民政府会告知周边社会关注区及人员环境事件危险已解除。</w:t>
      </w:r>
    </w:p>
    <w:p w14:paraId="0C3411BA">
      <w:pPr>
        <w:pStyle w:val="31"/>
        <w:rPr>
          <w:color w:val="auto"/>
        </w:rPr>
      </w:pPr>
      <w:r>
        <w:rPr>
          <w:rFonts w:hint="eastAsia"/>
          <w:color w:val="auto"/>
        </w:rPr>
        <w:t>(4)应急指挥中心指导有关部门及突发环境污染事故单位查找事故原因，防止类似问题的重复出现。</w:t>
      </w:r>
    </w:p>
    <w:p w14:paraId="711A7FEA">
      <w:pPr>
        <w:pStyle w:val="31"/>
        <w:rPr>
          <w:color w:val="auto"/>
        </w:rPr>
      </w:pPr>
      <w:r>
        <w:rPr>
          <w:rFonts w:hint="eastAsia"/>
          <w:color w:val="auto"/>
        </w:rPr>
        <w:t>(5)有关环境事故专业主管部门负责编制环境事故总结报告，重、特大环境污染事故于应急终止后15天内，将事故总结报告上报有关部门。</w:t>
      </w:r>
    </w:p>
    <w:p w14:paraId="43F355D4">
      <w:pPr>
        <w:pStyle w:val="31"/>
        <w:rPr>
          <w:color w:val="auto"/>
        </w:rPr>
      </w:pPr>
      <w:r>
        <w:rPr>
          <w:rFonts w:hint="eastAsia"/>
          <w:color w:val="auto"/>
        </w:rPr>
        <w:t>(6)对突发环境事件应急行动全过程进行评估，分析预案是否科学、有效，应急组织机构和应急队伍设置是否合理，应急响应和处置程序、方案制定执行是否科学、实用、到位，应急设施设备和物资是否满足需要等，总结经验，并及时修订应急预案。</w:t>
      </w:r>
    </w:p>
    <w:p w14:paraId="6C856704">
      <w:pPr>
        <w:pStyle w:val="31"/>
        <w:rPr>
          <w:color w:val="auto"/>
        </w:rPr>
      </w:pPr>
      <w:r>
        <w:rPr>
          <w:rFonts w:hint="eastAsia"/>
          <w:color w:val="auto"/>
        </w:rPr>
        <w:t>(7)应急状态终止后，突发环境事件专业应急指挥部应根据</w:t>
      </w:r>
      <w:r>
        <w:rPr>
          <w:rFonts w:hint="eastAsia"/>
          <w:color w:val="auto"/>
          <w:lang w:eastAsia="zh-CN"/>
        </w:rPr>
        <w:t>资溪县</w:t>
      </w:r>
      <w:r>
        <w:rPr>
          <w:rFonts w:hint="eastAsia"/>
          <w:color w:val="auto"/>
        </w:rPr>
        <w:t>人民政府或</w:t>
      </w:r>
      <w:r>
        <w:rPr>
          <w:rFonts w:hint="eastAsia"/>
          <w:color w:val="auto"/>
          <w:lang w:eastAsia="zh-CN"/>
        </w:rPr>
        <w:t>抚州市资溪生态环境局</w:t>
      </w:r>
      <w:r>
        <w:rPr>
          <w:rFonts w:hint="eastAsia"/>
          <w:color w:val="auto"/>
        </w:rPr>
        <w:t>有关指示和实际情况，委托</w:t>
      </w:r>
      <w:r>
        <w:rPr>
          <w:rFonts w:hint="eastAsia"/>
          <w:color w:val="auto"/>
          <w:lang w:eastAsia="zh-CN"/>
        </w:rPr>
        <w:t>资溪县</w:t>
      </w:r>
      <w:r>
        <w:rPr>
          <w:rFonts w:hint="eastAsia"/>
          <w:color w:val="auto"/>
        </w:rPr>
        <w:t>环境监测站继续对波及区域环境进行跟踪监测，直至其他补救措施无需继续进行为止。</w:t>
      </w:r>
    </w:p>
    <w:p w14:paraId="45B928F1">
      <w:pPr>
        <w:pStyle w:val="6"/>
        <w:spacing w:before="156" w:after="156"/>
        <w:rPr>
          <w:color w:val="auto"/>
        </w:rPr>
      </w:pPr>
      <w:r>
        <w:rPr>
          <w:rFonts w:hint="eastAsia"/>
          <w:color w:val="auto"/>
          <w:lang w:eastAsia="zh-CN"/>
        </w:rPr>
        <w:t>6.</w:t>
      </w:r>
      <w:r>
        <w:rPr>
          <w:rFonts w:hint="eastAsia"/>
          <w:color w:val="auto"/>
        </w:rPr>
        <w:t>6.4应急终止后的环境管理</w:t>
      </w:r>
    </w:p>
    <w:p w14:paraId="32E95125">
      <w:pPr>
        <w:pStyle w:val="31"/>
        <w:rPr>
          <w:color w:val="auto"/>
        </w:rPr>
      </w:pPr>
      <w:r>
        <w:rPr>
          <w:rFonts w:hint="eastAsia"/>
          <w:color w:val="auto"/>
        </w:rPr>
        <w:t>突发环境事件终止后，公司在上级政府环境保护行政部门和上级政府的领导下，做好突发环境事件应急终止后的环境管理工作。主要内容包括：</w:t>
      </w:r>
    </w:p>
    <w:p w14:paraId="29A2E145">
      <w:pPr>
        <w:pStyle w:val="31"/>
        <w:rPr>
          <w:color w:val="auto"/>
        </w:rPr>
      </w:pPr>
      <w:r>
        <w:rPr>
          <w:rFonts w:hint="eastAsia"/>
          <w:color w:val="auto"/>
        </w:rPr>
        <w:t>(1)环境应急过程评价；</w:t>
      </w:r>
    </w:p>
    <w:p w14:paraId="4311F980">
      <w:pPr>
        <w:pStyle w:val="31"/>
        <w:rPr>
          <w:color w:val="auto"/>
        </w:rPr>
      </w:pPr>
      <w:r>
        <w:rPr>
          <w:rFonts w:hint="eastAsia"/>
          <w:color w:val="auto"/>
        </w:rPr>
        <w:t>(2)环境污染事故原因、事故损失调查与责任认定；</w:t>
      </w:r>
    </w:p>
    <w:p w14:paraId="6BA3B3E2">
      <w:pPr>
        <w:pStyle w:val="31"/>
        <w:rPr>
          <w:color w:val="auto"/>
        </w:rPr>
      </w:pPr>
      <w:r>
        <w:rPr>
          <w:rFonts w:hint="eastAsia"/>
          <w:color w:val="auto"/>
        </w:rPr>
        <w:t>(3)提出补偿措施；</w:t>
      </w:r>
    </w:p>
    <w:p w14:paraId="641A1DEE">
      <w:pPr>
        <w:pStyle w:val="31"/>
        <w:rPr>
          <w:color w:val="auto"/>
        </w:rPr>
      </w:pPr>
      <w:r>
        <w:rPr>
          <w:rFonts w:hint="eastAsia"/>
          <w:color w:val="auto"/>
        </w:rPr>
        <w:t>(4)编制突发环境事件应急总结报告；</w:t>
      </w:r>
    </w:p>
    <w:p w14:paraId="003B217B">
      <w:pPr>
        <w:pStyle w:val="31"/>
        <w:rPr>
          <w:color w:val="auto"/>
        </w:rPr>
      </w:pPr>
      <w:r>
        <w:rPr>
          <w:rFonts w:hint="eastAsia"/>
          <w:color w:val="auto"/>
        </w:rPr>
        <w:t>(5)根据应急响应过程中出现的问题进一步修订应急预案；</w:t>
      </w:r>
    </w:p>
    <w:p w14:paraId="4ED47C9C">
      <w:pPr>
        <w:pStyle w:val="31"/>
        <w:rPr>
          <w:color w:val="auto"/>
        </w:rPr>
      </w:pPr>
      <w:r>
        <w:rPr>
          <w:rFonts w:hint="eastAsia"/>
          <w:color w:val="auto"/>
        </w:rPr>
        <w:t>(6)在</w:t>
      </w:r>
      <w:r>
        <w:rPr>
          <w:rFonts w:hint="eastAsia"/>
          <w:color w:val="auto"/>
          <w:lang w:eastAsia="zh-CN"/>
        </w:rPr>
        <w:t>资溪县</w:t>
      </w:r>
      <w:r>
        <w:rPr>
          <w:rFonts w:hint="eastAsia"/>
          <w:color w:val="auto"/>
        </w:rPr>
        <w:t>人民政府的领导下向社会通报。</w:t>
      </w:r>
    </w:p>
    <w:p w14:paraId="4A4D9FB9">
      <w:pPr>
        <w:ind w:firstLine="560"/>
        <w:rPr>
          <w:rFonts w:ascii="仿宋_GB2312" w:hAnsi="宋体" w:eastAsia="仿宋_GB2312"/>
          <w:color w:val="auto"/>
          <w:sz w:val="28"/>
          <w:szCs w:val="28"/>
        </w:rPr>
      </w:pPr>
    </w:p>
    <w:p w14:paraId="544AA3D8">
      <w:pPr>
        <w:pStyle w:val="31"/>
        <w:rPr>
          <w:color w:val="auto"/>
        </w:rPr>
      </w:pPr>
    </w:p>
    <w:p w14:paraId="110A0D9B">
      <w:pPr>
        <w:pStyle w:val="31"/>
        <w:rPr>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556147AD">
      <w:pPr>
        <w:pStyle w:val="4"/>
        <w:spacing w:before="156" w:after="156"/>
        <w:rPr>
          <w:color w:val="auto"/>
        </w:rPr>
      </w:pPr>
      <w:bookmarkStart w:id="107" w:name="_Toc476314985"/>
      <w:bookmarkStart w:id="108" w:name="_Toc1110"/>
      <w:r>
        <w:rPr>
          <w:rFonts w:hint="eastAsia"/>
          <w:color w:val="auto"/>
          <w:lang w:val="en-US" w:eastAsia="zh-CN"/>
        </w:rPr>
        <w:t>7</w:t>
      </w:r>
      <w:r>
        <w:rPr>
          <w:rFonts w:hint="eastAsia"/>
          <w:color w:val="auto"/>
        </w:rPr>
        <w:t>后期处置</w:t>
      </w:r>
      <w:bookmarkEnd w:id="107"/>
      <w:bookmarkEnd w:id="108"/>
    </w:p>
    <w:p w14:paraId="2983F460">
      <w:pPr>
        <w:pStyle w:val="31"/>
        <w:rPr>
          <w:color w:val="auto"/>
        </w:rPr>
      </w:pPr>
      <w:r>
        <w:rPr>
          <w:rFonts w:hint="eastAsia"/>
          <w:color w:val="auto"/>
        </w:rPr>
        <w:t>突发环境事件应急响应终止后，公司应急指挥中心按照突发环境事件损害评估办法及时组织开展污染损害评估，并将评估结果向社会公布。</w:t>
      </w:r>
    </w:p>
    <w:p w14:paraId="56244CC1">
      <w:pPr>
        <w:pStyle w:val="31"/>
        <w:rPr>
          <w:color w:val="auto"/>
        </w:rPr>
      </w:pPr>
      <w:r>
        <w:rPr>
          <w:rFonts w:hint="eastAsia"/>
          <w:color w:val="auto"/>
          <w:lang w:val="en-US" w:eastAsia="zh-CN"/>
        </w:rPr>
        <w:t>次氯酸钠</w:t>
      </w:r>
      <w:r>
        <w:rPr>
          <w:rFonts w:hint="eastAsia"/>
          <w:color w:val="auto"/>
        </w:rPr>
        <w:t>和超标污水等均为液态，若发生泄漏和扩散后，可能会在厂区漫流造成污染，若超标污水事故排放，可污染地表水(</w:t>
      </w:r>
      <w:r>
        <w:rPr>
          <w:rFonts w:hint="eastAsia"/>
          <w:color w:val="auto"/>
          <w:sz w:val="24"/>
          <w:szCs w:val="24"/>
          <w:lang w:eastAsia="zh-CN"/>
        </w:rPr>
        <w:t>泸溪河</w:t>
      </w:r>
      <w:r>
        <w:rPr>
          <w:rFonts w:hint="eastAsia"/>
          <w:color w:val="auto"/>
        </w:rPr>
        <w:t>)、地下水。</w:t>
      </w:r>
    </w:p>
    <w:p w14:paraId="72467630">
      <w:pPr>
        <w:pStyle w:val="5"/>
        <w:spacing w:before="156" w:after="156"/>
        <w:rPr>
          <w:color w:val="auto"/>
        </w:rPr>
      </w:pPr>
      <w:bookmarkStart w:id="109" w:name="_Toc1244"/>
      <w:bookmarkStart w:id="110" w:name="_Toc476314986"/>
      <w:r>
        <w:rPr>
          <w:rFonts w:hint="eastAsia"/>
          <w:color w:val="auto"/>
          <w:lang w:eastAsia="zh-CN"/>
        </w:rPr>
        <w:t>7.</w:t>
      </w:r>
      <w:r>
        <w:rPr>
          <w:rFonts w:hint="eastAsia"/>
          <w:color w:val="auto"/>
        </w:rPr>
        <w:t>1现场恢复</w:t>
      </w:r>
      <w:bookmarkEnd w:id="109"/>
      <w:bookmarkEnd w:id="110"/>
    </w:p>
    <w:p w14:paraId="374DFC88">
      <w:pPr>
        <w:pStyle w:val="31"/>
        <w:rPr>
          <w:color w:val="auto"/>
        </w:rPr>
      </w:pPr>
      <w:r>
        <w:rPr>
          <w:rFonts w:hint="eastAsia"/>
          <w:color w:val="auto"/>
        </w:rPr>
        <w:t>在危险区上风处设立洗消站，对事故现场人员和防护设备进行洗消，防止污染物对人员的伤害。事故得到控制后，在</w:t>
      </w:r>
      <w:r>
        <w:rPr>
          <w:rFonts w:hint="eastAsia"/>
          <w:color w:val="auto"/>
          <w:lang w:eastAsia="zh-CN"/>
        </w:rPr>
        <w:t>次氯酸钠</w:t>
      </w:r>
      <w:r>
        <w:rPr>
          <w:rFonts w:hint="eastAsia"/>
          <w:color w:val="auto"/>
        </w:rPr>
        <w:t>泄漏事故发生地设立警戒线，除清洁净化队员外，其他人员严禁入内。</w:t>
      </w:r>
    </w:p>
    <w:p w14:paraId="5458D0D7">
      <w:pPr>
        <w:pStyle w:val="31"/>
        <w:rPr>
          <w:color w:val="auto"/>
        </w:rPr>
      </w:pPr>
      <w:r>
        <w:rPr>
          <w:rFonts w:hint="eastAsia"/>
          <w:color w:val="auto"/>
        </w:rPr>
        <w:t>清洁净化人员根据现场污染物的性质、事故发生现场的情况等因素，在专家的指导下，进入事故现场，快捷有效地对设备和现场进行清洁净化作业，净化作业结束后，经检测安全后方可进入。</w:t>
      </w:r>
    </w:p>
    <w:p w14:paraId="3CCBF261">
      <w:pPr>
        <w:pStyle w:val="5"/>
        <w:spacing w:before="156" w:after="156"/>
        <w:rPr>
          <w:color w:val="auto"/>
        </w:rPr>
      </w:pPr>
      <w:bookmarkStart w:id="111" w:name="_Toc32462"/>
      <w:bookmarkStart w:id="112" w:name="_Toc476314987"/>
      <w:r>
        <w:rPr>
          <w:rFonts w:hint="eastAsia"/>
          <w:color w:val="auto"/>
          <w:lang w:eastAsia="zh-CN"/>
        </w:rPr>
        <w:t>7.</w:t>
      </w:r>
      <w:r>
        <w:rPr>
          <w:rFonts w:hint="eastAsia"/>
          <w:color w:val="auto"/>
        </w:rPr>
        <w:t>2环境恢复</w:t>
      </w:r>
      <w:bookmarkEnd w:id="111"/>
      <w:bookmarkEnd w:id="112"/>
    </w:p>
    <w:p w14:paraId="4DA5C88F">
      <w:pPr>
        <w:pStyle w:val="31"/>
        <w:rPr>
          <w:color w:val="auto"/>
        </w:rPr>
      </w:pPr>
      <w:r>
        <w:rPr>
          <w:rFonts w:hint="eastAsia"/>
          <w:color w:val="auto"/>
        </w:rPr>
        <w:t>根据事故发生地点、污染物的性质和当时气象条件，明确事故泄漏物污染的环境区域。通过对污染区域进行现场检测分析，明确污染环境中涉及的化学品、污染的程度、气象条件和当地的人口等因素，确定一个安全、有效、对环境影响最小的恢复方案。通过环境恢复方案的实施，使污染物浓度到达环境可接受水平。</w:t>
      </w:r>
    </w:p>
    <w:p w14:paraId="79C46779">
      <w:pPr>
        <w:pStyle w:val="31"/>
        <w:rPr>
          <w:color w:val="auto"/>
        </w:rPr>
      </w:pPr>
      <w:r>
        <w:rPr>
          <w:rFonts w:hint="eastAsia"/>
          <w:color w:val="auto"/>
        </w:rPr>
        <w:t>根据实际情况，对污染的区域进行隔离，按照“消毒要及时、彻底、有效，尽可能不损坏染毒物品，尽快恢复其使用价值”的原则，结合污染物的理化性质，严格按照洗消程序和标准进行洗消。</w:t>
      </w:r>
    </w:p>
    <w:p w14:paraId="3F066F9A">
      <w:pPr>
        <w:pStyle w:val="31"/>
        <w:rPr>
          <w:color w:val="auto"/>
        </w:rPr>
      </w:pPr>
      <w:r>
        <w:rPr>
          <w:rFonts w:hint="eastAsia"/>
          <w:color w:val="auto"/>
        </w:rPr>
        <w:t>事故应急状态终止后，若涉及可能污染地下水的突发环境事件，公司应急指挥中心委托</w:t>
      </w:r>
      <w:r>
        <w:rPr>
          <w:rFonts w:hint="eastAsia"/>
          <w:color w:val="auto"/>
          <w:lang w:eastAsia="zh-CN"/>
        </w:rPr>
        <w:t>资溪县</w:t>
      </w:r>
      <w:r>
        <w:rPr>
          <w:rFonts w:hint="eastAsia"/>
          <w:color w:val="auto"/>
        </w:rPr>
        <w:t>环境监测站针对环境风险源及影响范围，继续对下游区域地下水进行跟踪监测，直至恢复到自然水平。</w:t>
      </w:r>
    </w:p>
    <w:p w14:paraId="5F786A09">
      <w:pPr>
        <w:pStyle w:val="5"/>
        <w:spacing w:before="156" w:after="156"/>
        <w:rPr>
          <w:color w:val="auto"/>
        </w:rPr>
      </w:pPr>
      <w:bookmarkStart w:id="113" w:name="_Toc476314988"/>
      <w:bookmarkStart w:id="114" w:name="_Toc14556"/>
      <w:r>
        <w:rPr>
          <w:rFonts w:hint="eastAsia"/>
          <w:color w:val="auto"/>
          <w:lang w:eastAsia="zh-CN"/>
        </w:rPr>
        <w:t>7.</w:t>
      </w:r>
      <w:r>
        <w:rPr>
          <w:rFonts w:hint="eastAsia"/>
          <w:color w:val="auto"/>
        </w:rPr>
        <w:t>3善后赔偿</w:t>
      </w:r>
      <w:bookmarkEnd w:id="113"/>
      <w:bookmarkEnd w:id="114"/>
    </w:p>
    <w:p w14:paraId="7FDC562D">
      <w:pPr>
        <w:pStyle w:val="31"/>
        <w:rPr>
          <w:rFonts w:hint="eastAsia"/>
          <w:color w:val="auto"/>
        </w:rPr>
      </w:pPr>
      <w:r>
        <w:rPr>
          <w:rFonts w:hint="eastAsia"/>
          <w:color w:val="auto"/>
        </w:rPr>
        <w:t>根据相应的法律、法规，制定有关突发事件补偿、赔偿的规定，确定补偿、赔偿数额等级标准，应急终止后，按法定程序进行相应的补偿和理赔。对事故造成的经济损失进行赔偿，对因参与应急救援工作的劳务人员给予一定的经济报酬，对于因参与应急处置工作而伤亡的人员，给予相应的褒奖或抚恤。</w:t>
      </w:r>
    </w:p>
    <w:p w14:paraId="1E58F5C3">
      <w:pPr>
        <w:pStyle w:val="31"/>
        <w:rPr>
          <w:color w:val="auto"/>
        </w:rPr>
      </w:pPr>
      <w:r>
        <w:rPr>
          <w:rFonts w:hint="eastAsia"/>
          <w:color w:val="auto"/>
          <w:lang w:eastAsia="zh-CN"/>
        </w:rPr>
        <w:t>江西洪城水业环保有限公司资溪县分公司</w:t>
      </w:r>
      <w:r>
        <w:rPr>
          <w:rFonts w:hint="eastAsia"/>
          <w:color w:val="auto"/>
        </w:rPr>
        <w:t>建立了突发环境事件社会保险机制，办理财产险、公众责任险、社会责任险，及时联系保险部门现场勘查，进行理赔事宜。</w:t>
      </w:r>
    </w:p>
    <w:p w14:paraId="31A989FC">
      <w:pPr>
        <w:pStyle w:val="31"/>
        <w:rPr>
          <w:color w:val="auto"/>
        </w:rPr>
      </w:pPr>
    </w:p>
    <w:p w14:paraId="30C52ABB">
      <w:pPr>
        <w:pStyle w:val="31"/>
        <w:rPr>
          <w:color w:val="auto"/>
        </w:rPr>
      </w:pPr>
    </w:p>
    <w:p w14:paraId="3B492189">
      <w:pPr>
        <w:pStyle w:val="31"/>
        <w:rPr>
          <w:color w:val="auto"/>
        </w:rPr>
      </w:pPr>
    </w:p>
    <w:p w14:paraId="1A69CB20">
      <w:pPr>
        <w:pStyle w:val="31"/>
        <w:rPr>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4FEA7865">
      <w:pPr>
        <w:pStyle w:val="4"/>
        <w:spacing w:before="156" w:after="156"/>
        <w:rPr>
          <w:color w:val="auto"/>
        </w:rPr>
      </w:pPr>
      <w:bookmarkStart w:id="115" w:name="_Toc947"/>
      <w:bookmarkStart w:id="116" w:name="_Toc476314989"/>
      <w:r>
        <w:rPr>
          <w:rFonts w:hint="eastAsia"/>
          <w:color w:val="auto"/>
          <w:lang w:val="en-US" w:eastAsia="zh-CN"/>
        </w:rPr>
        <w:t>8</w:t>
      </w:r>
      <w:r>
        <w:rPr>
          <w:rFonts w:hint="eastAsia"/>
          <w:color w:val="auto"/>
        </w:rPr>
        <w:t>保障措施</w:t>
      </w:r>
      <w:bookmarkEnd w:id="115"/>
      <w:bookmarkEnd w:id="116"/>
    </w:p>
    <w:p w14:paraId="376270FF">
      <w:pPr>
        <w:pStyle w:val="5"/>
        <w:spacing w:before="156" w:after="156"/>
        <w:rPr>
          <w:color w:val="auto"/>
        </w:rPr>
      </w:pPr>
      <w:bookmarkStart w:id="117" w:name="_Toc476314990"/>
      <w:bookmarkStart w:id="118" w:name="_Toc9750"/>
      <w:r>
        <w:rPr>
          <w:rFonts w:hint="eastAsia"/>
          <w:color w:val="auto"/>
          <w:lang w:val="en-US" w:eastAsia="zh-CN"/>
        </w:rPr>
        <w:t>8</w:t>
      </w:r>
      <w:r>
        <w:rPr>
          <w:rFonts w:hint="eastAsia"/>
          <w:color w:val="auto"/>
        </w:rPr>
        <w:t>.1通信与信息保障</w:t>
      </w:r>
      <w:bookmarkEnd w:id="117"/>
      <w:bookmarkEnd w:id="118"/>
    </w:p>
    <w:p w14:paraId="1DF33288">
      <w:pPr>
        <w:pStyle w:val="31"/>
        <w:rPr>
          <w:color w:val="auto"/>
        </w:rPr>
      </w:pPr>
      <w:r>
        <w:rPr>
          <w:rFonts w:hint="eastAsia"/>
          <w:color w:val="auto"/>
          <w:lang w:eastAsia="zh-CN"/>
        </w:rPr>
        <w:t>江西洪城水业环保有限公司资溪县分公司</w:t>
      </w:r>
      <w:r>
        <w:rPr>
          <w:rFonts w:hint="eastAsia"/>
          <w:color w:val="auto"/>
        </w:rPr>
        <w:t>建立和不断完善环境应急指挥系统、环境应急处置全公司联动系统和环境安全科学预警系统，建立完善救援力量和资源信息数据库，规范信息获取、分析、发布、报送格式和程序。配备必要的有线、无线通信器材，确保本预案启动时环境应急指挥中心和有关部门及现场各专业应急小组间的通讯畅通。</w:t>
      </w:r>
    </w:p>
    <w:p w14:paraId="7A839F18">
      <w:pPr>
        <w:pStyle w:val="31"/>
        <w:rPr>
          <w:color w:val="auto"/>
        </w:rPr>
      </w:pPr>
      <w:r>
        <w:rPr>
          <w:rFonts w:hint="eastAsia"/>
          <w:color w:val="auto"/>
        </w:rPr>
        <w:t>利用网络、板报、宣传栏等媒体进行环境污染防治及应对突发性环境事件灾害知识的宣传，对全公司职工开展环境事件灾害避险、自救、互救等知识教育，增强全体职工防灾减灾意识。</w:t>
      </w:r>
    </w:p>
    <w:p w14:paraId="0D699247">
      <w:pPr>
        <w:pStyle w:val="31"/>
        <w:rPr>
          <w:color w:val="auto"/>
        </w:rPr>
      </w:pPr>
      <w:r>
        <w:rPr>
          <w:rFonts w:hint="eastAsia"/>
          <w:color w:val="auto"/>
          <w:lang w:eastAsia="zh-CN"/>
        </w:rPr>
        <w:t>江西洪城水业环保有限公司资溪县分公司</w:t>
      </w:r>
      <w:r>
        <w:rPr>
          <w:rFonts w:hint="eastAsia"/>
          <w:color w:val="auto"/>
        </w:rPr>
        <w:t>设立应急办公室24小时值班备勤，配备各类通信设备应对突发环境事件。</w:t>
      </w:r>
    </w:p>
    <w:p w14:paraId="10AB15CC">
      <w:pPr>
        <w:pStyle w:val="5"/>
        <w:spacing w:before="156" w:after="156"/>
        <w:rPr>
          <w:color w:val="auto"/>
        </w:rPr>
      </w:pPr>
      <w:bookmarkStart w:id="119" w:name="_Toc476314991"/>
      <w:bookmarkStart w:id="120" w:name="_Toc11367"/>
      <w:r>
        <w:rPr>
          <w:rFonts w:hint="eastAsia"/>
          <w:color w:val="auto"/>
          <w:lang w:val="en-US" w:eastAsia="zh-CN"/>
        </w:rPr>
        <w:t>8</w:t>
      </w:r>
      <w:r>
        <w:rPr>
          <w:rFonts w:hint="eastAsia"/>
          <w:color w:val="auto"/>
        </w:rPr>
        <w:t>.2应急队伍保障</w:t>
      </w:r>
      <w:bookmarkEnd w:id="119"/>
      <w:bookmarkEnd w:id="120"/>
    </w:p>
    <w:p w14:paraId="0F156970">
      <w:pPr>
        <w:pStyle w:val="31"/>
        <w:rPr>
          <w:color w:val="auto"/>
        </w:rPr>
      </w:pPr>
      <w:r>
        <w:rPr>
          <w:rFonts w:hint="eastAsia"/>
          <w:color w:val="auto"/>
          <w:lang w:eastAsia="zh-CN"/>
        </w:rPr>
        <w:t>江西洪城水业环保有限公司资溪县分公司</w:t>
      </w:r>
      <w:r>
        <w:rPr>
          <w:rFonts w:hint="eastAsia"/>
          <w:color w:val="auto"/>
        </w:rPr>
        <w:t>设立了应急指挥中心，事故现场设立现场应急指挥部。应急指挥中心由技术专家组、现场应急指挥部、应急救援小组组成。涉及多个生产设施或影响重大的事故，由</w:t>
      </w:r>
      <w:r>
        <w:rPr>
          <w:rFonts w:hint="eastAsia"/>
          <w:color w:val="auto"/>
          <w:lang w:eastAsia="zh-CN"/>
        </w:rPr>
        <w:t>江西洪城水业环保有限公司资溪县分公司应急指挥中心</w:t>
      </w:r>
      <w:r>
        <w:rPr>
          <w:rFonts w:hint="eastAsia"/>
          <w:color w:val="auto"/>
        </w:rPr>
        <w:t>负责应急救援协调指挥工作，组织有关部门成立现场指挥部。</w:t>
      </w:r>
    </w:p>
    <w:p w14:paraId="55CD17EF">
      <w:pPr>
        <w:pStyle w:val="31"/>
        <w:rPr>
          <w:color w:val="auto"/>
        </w:rPr>
      </w:pPr>
      <w:r>
        <w:rPr>
          <w:rFonts w:hint="eastAsia"/>
          <w:color w:val="auto"/>
          <w:lang w:eastAsia="zh-CN"/>
        </w:rPr>
        <w:t>江西洪城水业环保有限公司资溪县分公司</w:t>
      </w:r>
      <w:r>
        <w:rPr>
          <w:rFonts w:hint="eastAsia"/>
          <w:color w:val="auto"/>
        </w:rPr>
        <w:t>通过日常针对性地开展应急防治与救灾演练，提高其应对突发事件的素质和能力。抢修救援组配备专业堵漏技能工人，负责维护抢修工作。同时充分利用社会应急资源，提供应急期间的抢险抢修、物资供应、医疗卫生、治安保卫、交通维护和运输等应急力量的保障。</w:t>
      </w:r>
    </w:p>
    <w:p w14:paraId="30F83816">
      <w:pPr>
        <w:pStyle w:val="5"/>
        <w:spacing w:before="156" w:after="156"/>
        <w:rPr>
          <w:color w:val="auto"/>
        </w:rPr>
      </w:pPr>
      <w:bookmarkStart w:id="121" w:name="_Toc476314992"/>
      <w:bookmarkStart w:id="122" w:name="_Toc11897"/>
      <w:r>
        <w:rPr>
          <w:rFonts w:hint="eastAsia"/>
          <w:color w:val="auto"/>
          <w:lang w:val="en-US" w:eastAsia="zh-CN"/>
        </w:rPr>
        <w:t>8</w:t>
      </w:r>
      <w:r>
        <w:rPr>
          <w:rFonts w:hint="eastAsia"/>
          <w:color w:val="auto"/>
        </w:rPr>
        <w:t>.3应急物资装备保障</w:t>
      </w:r>
      <w:bookmarkEnd w:id="121"/>
      <w:bookmarkEnd w:id="122"/>
    </w:p>
    <w:p w14:paraId="7421B482">
      <w:pPr>
        <w:pStyle w:val="31"/>
        <w:rPr>
          <w:color w:val="auto"/>
        </w:rPr>
      </w:pPr>
      <w:r>
        <w:rPr>
          <w:rFonts w:hint="eastAsia"/>
          <w:color w:val="auto"/>
          <w:lang w:eastAsia="zh-CN"/>
        </w:rPr>
        <w:t>江西洪城水业环保有限公司资溪县分公司</w:t>
      </w:r>
      <w:r>
        <w:rPr>
          <w:rFonts w:hint="eastAsia"/>
          <w:color w:val="auto"/>
        </w:rPr>
        <w:t>根据自身突发环境事件应急救援的需要和特点，储备有关物资和装备，统一管理、登记应急物资和装备的类型、数量、性能和存放位置，建立完善的保障措施。当突发环境事件超出</w:t>
      </w:r>
      <w:r>
        <w:rPr>
          <w:rFonts w:hint="eastAsia"/>
          <w:color w:val="auto"/>
          <w:lang w:eastAsia="zh-CN"/>
        </w:rPr>
        <w:t>江西洪城水业环保有限公司资溪县分公司</w:t>
      </w:r>
      <w:r>
        <w:rPr>
          <w:rFonts w:hint="eastAsia"/>
          <w:color w:val="auto"/>
        </w:rPr>
        <w:t>应急能力时，</w:t>
      </w:r>
      <w:r>
        <w:rPr>
          <w:rFonts w:hint="eastAsia"/>
          <w:color w:val="auto"/>
          <w:lang w:eastAsia="zh-CN"/>
        </w:rPr>
        <w:t>江西洪城水业环保有限公司资溪县分公司应急指挥中心</w:t>
      </w:r>
      <w:r>
        <w:rPr>
          <w:rFonts w:hint="eastAsia"/>
          <w:color w:val="auto"/>
        </w:rPr>
        <w:t>可向</w:t>
      </w:r>
      <w:r>
        <w:rPr>
          <w:rFonts w:hint="eastAsia"/>
          <w:color w:val="auto"/>
          <w:lang w:eastAsia="zh-CN"/>
        </w:rPr>
        <w:t>资溪县</w:t>
      </w:r>
      <w:r>
        <w:rPr>
          <w:rFonts w:hint="eastAsia"/>
          <w:color w:val="auto"/>
        </w:rPr>
        <w:t>人民政府、</w:t>
      </w:r>
      <w:r>
        <w:rPr>
          <w:rFonts w:hint="eastAsia"/>
          <w:color w:val="auto"/>
          <w:lang w:eastAsia="zh-CN"/>
        </w:rPr>
        <w:t>抚州市资溪生态环境局</w:t>
      </w:r>
      <w:r>
        <w:rPr>
          <w:rFonts w:hint="eastAsia"/>
          <w:color w:val="auto"/>
        </w:rPr>
        <w:t>等部门申请救援。</w:t>
      </w:r>
    </w:p>
    <w:p w14:paraId="5D42FA12">
      <w:pPr>
        <w:pStyle w:val="5"/>
        <w:spacing w:before="156" w:after="156"/>
        <w:rPr>
          <w:color w:val="auto"/>
        </w:rPr>
      </w:pPr>
      <w:bookmarkStart w:id="123" w:name="_Toc476314993"/>
      <w:bookmarkStart w:id="124" w:name="_Toc4320"/>
      <w:r>
        <w:rPr>
          <w:rFonts w:hint="eastAsia"/>
          <w:color w:val="auto"/>
          <w:lang w:val="en-US" w:eastAsia="zh-CN"/>
        </w:rPr>
        <w:t>8</w:t>
      </w:r>
      <w:r>
        <w:rPr>
          <w:rFonts w:hint="eastAsia"/>
          <w:color w:val="auto"/>
        </w:rPr>
        <w:t>.4经费及其他保障</w:t>
      </w:r>
      <w:bookmarkEnd w:id="123"/>
      <w:bookmarkEnd w:id="124"/>
    </w:p>
    <w:p w14:paraId="2167DFB9">
      <w:pPr>
        <w:pStyle w:val="31"/>
        <w:rPr>
          <w:color w:val="auto"/>
        </w:rPr>
      </w:pPr>
      <w:r>
        <w:rPr>
          <w:rFonts w:hint="eastAsia"/>
          <w:color w:val="auto"/>
        </w:rPr>
        <w:t>(1)经费保障</w:t>
      </w:r>
    </w:p>
    <w:p w14:paraId="333B8220">
      <w:pPr>
        <w:pStyle w:val="31"/>
        <w:rPr>
          <w:color w:val="auto"/>
        </w:rPr>
      </w:pPr>
      <w:r>
        <w:rPr>
          <w:rFonts w:hint="eastAsia"/>
          <w:color w:val="auto"/>
          <w:lang w:eastAsia="zh-CN"/>
        </w:rPr>
        <w:t>江西洪城水业环保有限公司资溪县分公司</w:t>
      </w:r>
      <w:r>
        <w:rPr>
          <w:rFonts w:hint="eastAsia"/>
          <w:color w:val="auto"/>
        </w:rPr>
        <w:t>后勤保障组做好事故应急救援必要的资金准备，保障救援物资、危险源监控、应急队伍建设、物资设备购置、应急预案演练、应急知识培训和宣传教育等工作资金需求。环境事件应急响应经费，由</w:t>
      </w:r>
      <w:r>
        <w:rPr>
          <w:rFonts w:hint="eastAsia"/>
          <w:color w:val="auto"/>
          <w:lang w:eastAsia="zh-CN"/>
        </w:rPr>
        <w:t>江西洪城水业环保有限公司资溪县分公司</w:t>
      </w:r>
      <w:r>
        <w:rPr>
          <w:rFonts w:hint="eastAsia"/>
          <w:color w:val="auto"/>
        </w:rPr>
        <w:t>后勤保障组统一列支和分配。</w:t>
      </w:r>
    </w:p>
    <w:p w14:paraId="02794443">
      <w:pPr>
        <w:pStyle w:val="31"/>
        <w:rPr>
          <w:color w:val="auto"/>
        </w:rPr>
      </w:pPr>
      <w:r>
        <w:rPr>
          <w:rFonts w:hint="eastAsia"/>
          <w:color w:val="auto"/>
        </w:rPr>
        <w:t>(2)技术保障</w:t>
      </w:r>
    </w:p>
    <w:p w14:paraId="6837314F">
      <w:pPr>
        <w:pStyle w:val="31"/>
        <w:rPr>
          <w:color w:val="auto"/>
        </w:rPr>
      </w:pPr>
      <w:r>
        <w:rPr>
          <w:rFonts w:hint="eastAsia"/>
          <w:color w:val="auto"/>
          <w:lang w:eastAsia="zh-CN"/>
        </w:rPr>
        <w:t>江西洪城水业环保有限公司资溪县分公司</w:t>
      </w:r>
      <w:r>
        <w:rPr>
          <w:rFonts w:hint="eastAsia"/>
          <w:color w:val="auto"/>
        </w:rPr>
        <w:t>积极与</w:t>
      </w:r>
      <w:r>
        <w:rPr>
          <w:rFonts w:hint="eastAsia"/>
          <w:color w:val="auto"/>
          <w:lang w:eastAsia="zh-CN"/>
        </w:rPr>
        <w:t>资溪县</w:t>
      </w:r>
      <w:r>
        <w:rPr>
          <w:rFonts w:hint="eastAsia"/>
          <w:color w:val="auto"/>
        </w:rPr>
        <w:t>人民政府及环保部门加强联系，充分利用自身的环境监测设施和消防救援队等应急队伍，确保在突发环境事件发生后，能迅速组织对环境事件进行应急处理。</w:t>
      </w:r>
    </w:p>
    <w:p w14:paraId="78423157">
      <w:pPr>
        <w:pStyle w:val="31"/>
        <w:rPr>
          <w:color w:val="auto"/>
        </w:rPr>
      </w:pPr>
      <w:r>
        <w:rPr>
          <w:rFonts w:hint="eastAsia"/>
          <w:color w:val="auto"/>
        </w:rPr>
        <w:t>(3)后勤保障</w:t>
      </w:r>
    </w:p>
    <w:p w14:paraId="7C646A27">
      <w:pPr>
        <w:pStyle w:val="31"/>
        <w:rPr>
          <w:color w:val="auto"/>
        </w:rPr>
      </w:pPr>
      <w:r>
        <w:rPr>
          <w:rFonts w:hint="eastAsia"/>
          <w:color w:val="auto"/>
        </w:rPr>
        <w:t>建立环境污染事故应急车辆征用和群众应急生活保障机制，保证发生突发环境污染事故时能有效的疏散转移群众，保证发生环境污染事故时，事发地群众有饭吃、有水喝、有衣穿、有住处和必要的医疗条件，确保正常秩序。</w:t>
      </w:r>
    </w:p>
    <w:p w14:paraId="0DB5B5D4">
      <w:pPr>
        <w:pStyle w:val="31"/>
        <w:rPr>
          <w:color w:val="auto"/>
        </w:rPr>
      </w:pPr>
    </w:p>
    <w:p w14:paraId="160AB06B">
      <w:pPr>
        <w:pStyle w:val="31"/>
        <w:rPr>
          <w:color w:val="auto"/>
        </w:rPr>
      </w:pPr>
    </w:p>
    <w:p w14:paraId="0C5225E6">
      <w:pPr>
        <w:pStyle w:val="31"/>
        <w:rPr>
          <w:color w:val="auto"/>
        </w:rPr>
      </w:pPr>
    </w:p>
    <w:p w14:paraId="66D197ED">
      <w:pPr>
        <w:pStyle w:val="31"/>
        <w:rPr>
          <w:color w:val="auto"/>
        </w:rPr>
      </w:pPr>
    </w:p>
    <w:p w14:paraId="0715EEB3">
      <w:pPr>
        <w:pStyle w:val="31"/>
        <w:rPr>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5311F212">
      <w:pPr>
        <w:pStyle w:val="4"/>
        <w:spacing w:before="156" w:after="156"/>
        <w:rPr>
          <w:color w:val="auto"/>
        </w:rPr>
      </w:pPr>
      <w:bookmarkStart w:id="125" w:name="_Toc30915"/>
      <w:bookmarkStart w:id="126" w:name="_Toc476314994"/>
      <w:r>
        <w:rPr>
          <w:rFonts w:hint="eastAsia"/>
          <w:color w:val="auto"/>
          <w:lang w:val="en-US" w:eastAsia="zh-CN"/>
        </w:rPr>
        <w:t>9</w:t>
      </w:r>
      <w:r>
        <w:rPr>
          <w:rFonts w:hint="eastAsia"/>
          <w:color w:val="auto"/>
        </w:rPr>
        <w:t>应急培训和演练</w:t>
      </w:r>
      <w:bookmarkEnd w:id="125"/>
      <w:bookmarkEnd w:id="126"/>
    </w:p>
    <w:p w14:paraId="48A126D9">
      <w:pPr>
        <w:pStyle w:val="5"/>
        <w:spacing w:before="156" w:after="156"/>
        <w:rPr>
          <w:rFonts w:hint="default" w:ascii="Times New Roman" w:hAnsi="Times New Roman" w:eastAsia="宋体"/>
          <w:color w:val="auto"/>
        </w:rPr>
      </w:pPr>
      <w:bookmarkStart w:id="127" w:name="_Toc30980"/>
      <w:bookmarkStart w:id="128" w:name="_Toc476314995"/>
      <w:r>
        <w:rPr>
          <w:rFonts w:hint="eastAsia" w:ascii="Times New Roman" w:hAnsi="Times New Roman" w:eastAsia="宋体"/>
          <w:color w:val="auto"/>
          <w:lang w:val="en-US" w:eastAsia="zh-CN"/>
        </w:rPr>
        <w:t>9.1</w:t>
      </w:r>
      <w:r>
        <w:rPr>
          <w:rFonts w:hint="default" w:ascii="Times New Roman" w:hAnsi="Times New Roman" w:eastAsia="宋体"/>
          <w:color w:val="auto"/>
        </w:rPr>
        <w:t xml:space="preserve"> 、演练暴露问题及解决措施</w:t>
      </w:r>
      <w:bookmarkEnd w:id="127"/>
    </w:p>
    <w:p w14:paraId="78CC5557">
      <w:pPr>
        <w:pStyle w:val="9"/>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在企业以往演练过程中，存在以下问题：</w:t>
      </w:r>
    </w:p>
    <w:p w14:paraId="3260DCE7">
      <w:pPr>
        <w:pStyle w:val="9"/>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1）特殊风险的管理、标准操作程序方面较差。</w:t>
      </w:r>
    </w:p>
    <w:p w14:paraId="739BCC82">
      <w:pPr>
        <w:pStyle w:val="9"/>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2）演练过程很大程度上以宣传性、演示性为主，只“演”不“练” ，没有真正发挥锻炼队伍、磨合机制、教育员工的作用。</w:t>
      </w:r>
    </w:p>
    <w:p w14:paraId="6021ED10">
      <w:pPr>
        <w:pStyle w:val="9"/>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3）演练过程人员不严肃、服装不整齐、松散不紧张，处理事故较慢、汇报不及时、交接过程不明确，领导也没有具体指挥，只是听汇报，演练人员对处理事故的步骤不清楚，程序较乱。</w:t>
      </w:r>
    </w:p>
    <w:p w14:paraId="5131D634">
      <w:pPr>
        <w:pStyle w:val="9"/>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4）演练过程有的人员对风向发生变化或者出现其他意外情况，不能及时判断，对存在的风险估计不足，有个别人员对处理事故的步骤不清楚，对防护器材的使用不够熟练。</w:t>
      </w:r>
    </w:p>
    <w:p w14:paraId="64AFD673">
      <w:pPr>
        <w:pStyle w:val="9"/>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解决措施：</w:t>
      </w:r>
    </w:p>
    <w:p w14:paraId="15D8D4E1">
      <w:pPr>
        <w:pStyle w:val="9"/>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①针对特殊风险进行多次演练，并及时总结不足，在下次演练过程多加注意。</w:t>
      </w:r>
    </w:p>
    <w:p w14:paraId="0F86004F">
      <w:pPr>
        <w:pStyle w:val="9"/>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②演练以“练”为主，总指挥在指挥过程中注意观察员工操作，在演练结束后对员工进行惩奖制，以提高员工积极性，同时总指挥也应该以身作则，带动员工。</w:t>
      </w:r>
    </w:p>
    <w:p w14:paraId="4E20AC79">
      <w:pPr>
        <w:pStyle w:val="9"/>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在演练前对员工进行全面的充足的培训，告知员工面对演练过程发生意外情 况的紧急处理方法，并可在演练之前进行专门的防护器材使用培训，保证员工在演练过程正确规范使用防护器材。</w:t>
      </w:r>
    </w:p>
    <w:p w14:paraId="5C86FC2A">
      <w:pPr>
        <w:pStyle w:val="5"/>
        <w:spacing w:before="156" w:after="156"/>
        <w:rPr>
          <w:color w:val="auto"/>
        </w:rPr>
      </w:pPr>
      <w:bookmarkStart w:id="129" w:name="_Toc24821"/>
      <w:r>
        <w:rPr>
          <w:rFonts w:hint="eastAsia"/>
          <w:color w:val="auto"/>
          <w:lang w:eastAsia="zh-CN"/>
        </w:rPr>
        <w:t>9.</w:t>
      </w:r>
      <w:r>
        <w:rPr>
          <w:rFonts w:hint="eastAsia"/>
          <w:color w:val="auto"/>
          <w:lang w:val="en-US" w:eastAsia="zh-CN"/>
        </w:rPr>
        <w:t>2</w:t>
      </w:r>
      <w:r>
        <w:rPr>
          <w:rFonts w:hint="eastAsia"/>
          <w:color w:val="auto"/>
        </w:rPr>
        <w:t>培训</w:t>
      </w:r>
      <w:bookmarkEnd w:id="128"/>
      <w:bookmarkEnd w:id="129"/>
    </w:p>
    <w:p w14:paraId="441423F0">
      <w:pPr>
        <w:pStyle w:val="31"/>
        <w:rPr>
          <w:color w:val="auto"/>
        </w:rPr>
      </w:pPr>
      <w:r>
        <w:rPr>
          <w:rFonts w:hint="eastAsia"/>
          <w:color w:val="auto"/>
        </w:rPr>
        <w:t>为提高应急人员的技术水平与救援队伍的整体能力，以便快速、有序、有效地开展应急救援，</w:t>
      </w:r>
      <w:r>
        <w:rPr>
          <w:rFonts w:hint="eastAsia"/>
          <w:color w:val="auto"/>
          <w:lang w:eastAsia="zh-CN"/>
        </w:rPr>
        <w:t>江西洪城水业环保有限公司资溪县分公司</w:t>
      </w:r>
      <w:r>
        <w:rPr>
          <w:rFonts w:hint="eastAsia"/>
          <w:color w:val="auto"/>
        </w:rPr>
        <w:t>至少每年开展一次应急救援培训。应急培训意在锻炼和提高队伍在遇到突发环境事件情况下能够快速抢险堵源、及时营救伤员、正确指导和帮助群众防护或撤离、消除危害后果、开展现场急救和伤员转送等应急救援技能和提高应急反应综合素质，有效降低事故危害，减少事故损失。</w:t>
      </w:r>
    </w:p>
    <w:p w14:paraId="362EE9E1">
      <w:pPr>
        <w:pStyle w:val="31"/>
        <w:rPr>
          <w:color w:val="auto"/>
        </w:rPr>
      </w:pPr>
      <w:r>
        <w:rPr>
          <w:rFonts w:hint="eastAsia"/>
          <w:color w:val="auto"/>
        </w:rPr>
        <w:t>公司应急指挥中心负责组织、实施应急预案的培训工作。根据预案实施情况制订培训计划，采取多种形式对应急人员、员工与公众进行法律法规、应急知识和技能的宣传与培训。培训做好记录和培训评估，记录培训的时间、内容、参加人员等信息，并建立培训档案。</w:t>
      </w:r>
    </w:p>
    <w:p w14:paraId="2E230541">
      <w:pPr>
        <w:pStyle w:val="31"/>
        <w:rPr>
          <w:color w:val="auto"/>
        </w:rPr>
      </w:pPr>
      <w:r>
        <w:rPr>
          <w:rFonts w:hint="eastAsia"/>
          <w:color w:val="auto"/>
        </w:rPr>
        <w:t>应急培训的内容和方式见表</w:t>
      </w:r>
      <w:r>
        <w:rPr>
          <w:rFonts w:hint="eastAsia"/>
          <w:color w:val="auto"/>
          <w:lang w:eastAsia="zh-CN"/>
        </w:rPr>
        <w:t>9.</w:t>
      </w:r>
      <w:r>
        <w:rPr>
          <w:rFonts w:hint="eastAsia"/>
          <w:color w:val="auto"/>
        </w:rPr>
        <w:t>1-1。</w:t>
      </w:r>
    </w:p>
    <w:p w14:paraId="5275EB6E">
      <w:pPr>
        <w:pStyle w:val="32"/>
        <w:spacing w:before="156"/>
        <w:rPr>
          <w:color w:val="auto"/>
        </w:rPr>
      </w:pPr>
      <w:r>
        <w:rPr>
          <w:rFonts w:hint="eastAsia"/>
          <w:color w:val="auto"/>
        </w:rPr>
        <w:t>表</w:t>
      </w:r>
      <w:r>
        <w:rPr>
          <w:rFonts w:hint="eastAsia"/>
          <w:color w:val="auto"/>
          <w:lang w:eastAsia="zh-CN"/>
        </w:rPr>
        <w:t>9.</w:t>
      </w:r>
      <w:r>
        <w:rPr>
          <w:rFonts w:hint="eastAsia"/>
          <w:color w:val="auto"/>
        </w:rPr>
        <w:t>1-1   应急培训的内容和方式一览表</w:t>
      </w:r>
    </w:p>
    <w:tbl>
      <w:tblPr>
        <w:tblStyle w:val="23"/>
        <w:tblW w:w="83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28"/>
        <w:gridCol w:w="900"/>
        <w:gridCol w:w="6534"/>
      </w:tblGrid>
      <w:tr w14:paraId="2A800D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928" w:type="dxa"/>
            <w:tcBorders>
              <w:bottom w:val="double" w:color="auto" w:sz="4" w:space="0"/>
            </w:tcBorders>
            <w:vAlign w:val="center"/>
          </w:tcPr>
          <w:p w14:paraId="4803B4C8">
            <w:pPr>
              <w:pStyle w:val="34"/>
              <w:rPr>
                <w:color w:val="auto"/>
              </w:rPr>
            </w:pPr>
            <w:r>
              <w:rPr>
                <w:rFonts w:hint="eastAsia"/>
                <w:color w:val="auto"/>
              </w:rPr>
              <w:t>项目</w:t>
            </w:r>
          </w:p>
        </w:tc>
        <w:tc>
          <w:tcPr>
            <w:tcW w:w="900" w:type="dxa"/>
            <w:tcBorders>
              <w:bottom w:val="double" w:color="auto" w:sz="4" w:space="0"/>
            </w:tcBorders>
            <w:vAlign w:val="center"/>
          </w:tcPr>
          <w:p w14:paraId="3081EE41">
            <w:pPr>
              <w:pStyle w:val="34"/>
              <w:rPr>
                <w:color w:val="auto"/>
              </w:rPr>
            </w:pPr>
            <w:r>
              <w:rPr>
                <w:rFonts w:hint="eastAsia"/>
                <w:color w:val="auto"/>
              </w:rPr>
              <w:t>培训对象</w:t>
            </w:r>
          </w:p>
        </w:tc>
        <w:tc>
          <w:tcPr>
            <w:tcW w:w="6534" w:type="dxa"/>
            <w:tcBorders>
              <w:bottom w:val="double" w:color="auto" w:sz="4" w:space="0"/>
            </w:tcBorders>
            <w:vAlign w:val="center"/>
          </w:tcPr>
          <w:p w14:paraId="335560AF">
            <w:pPr>
              <w:pStyle w:val="34"/>
              <w:rPr>
                <w:color w:val="auto"/>
              </w:rPr>
            </w:pPr>
            <w:r>
              <w:rPr>
                <w:rFonts w:hint="eastAsia"/>
                <w:color w:val="auto"/>
              </w:rPr>
              <w:t>内     容</w:t>
            </w:r>
          </w:p>
        </w:tc>
      </w:tr>
      <w:tr w14:paraId="48CECB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28" w:type="dxa"/>
            <w:tcBorders>
              <w:top w:val="double" w:color="auto" w:sz="4" w:space="0"/>
              <w:tl2br w:val="nil"/>
              <w:tr2bl w:val="nil"/>
            </w:tcBorders>
            <w:vAlign w:val="center"/>
          </w:tcPr>
          <w:p w14:paraId="21FA1660">
            <w:pPr>
              <w:pStyle w:val="34"/>
              <w:rPr>
                <w:color w:val="auto"/>
              </w:rPr>
            </w:pPr>
            <w:r>
              <w:rPr>
                <w:rFonts w:hint="eastAsia"/>
                <w:color w:val="auto"/>
              </w:rPr>
              <w:t>培训内容</w:t>
            </w:r>
          </w:p>
        </w:tc>
        <w:tc>
          <w:tcPr>
            <w:tcW w:w="900" w:type="dxa"/>
            <w:tcBorders>
              <w:top w:val="double" w:color="auto" w:sz="4" w:space="0"/>
              <w:tl2br w:val="nil"/>
              <w:tr2bl w:val="nil"/>
            </w:tcBorders>
            <w:vAlign w:val="center"/>
          </w:tcPr>
          <w:p w14:paraId="22D1B0C8">
            <w:pPr>
              <w:pStyle w:val="34"/>
              <w:rPr>
                <w:color w:val="auto"/>
              </w:rPr>
            </w:pPr>
            <w:r>
              <w:rPr>
                <w:rFonts w:hint="eastAsia"/>
                <w:color w:val="auto"/>
              </w:rPr>
              <w:t>应急管理人员</w:t>
            </w:r>
          </w:p>
        </w:tc>
        <w:tc>
          <w:tcPr>
            <w:tcW w:w="6534" w:type="dxa"/>
            <w:tcBorders>
              <w:top w:val="double" w:color="auto" w:sz="4" w:space="0"/>
              <w:tl2br w:val="nil"/>
              <w:tr2bl w:val="nil"/>
            </w:tcBorders>
          </w:tcPr>
          <w:p w14:paraId="40C65F2E">
            <w:pPr>
              <w:pStyle w:val="34"/>
              <w:jc w:val="both"/>
              <w:rPr>
                <w:color w:val="auto"/>
              </w:rPr>
            </w:pPr>
            <w:r>
              <w:rPr>
                <w:rFonts w:hint="eastAsia"/>
                <w:color w:val="auto"/>
              </w:rPr>
              <w:t>a.环境风险源的分布与事故风险，重点针对盐酸泄漏事故、污水处理站事故；</w:t>
            </w:r>
          </w:p>
          <w:p w14:paraId="4E5DB1AB">
            <w:pPr>
              <w:pStyle w:val="34"/>
              <w:jc w:val="both"/>
              <w:rPr>
                <w:color w:val="auto"/>
              </w:rPr>
            </w:pPr>
            <w:r>
              <w:rPr>
                <w:rFonts w:hint="eastAsia"/>
                <w:color w:val="auto"/>
              </w:rPr>
              <w:t>b.事故报警与报告程序、方式；</w:t>
            </w:r>
          </w:p>
          <w:p w14:paraId="3584A735">
            <w:pPr>
              <w:pStyle w:val="34"/>
              <w:jc w:val="both"/>
              <w:rPr>
                <w:color w:val="auto"/>
              </w:rPr>
            </w:pPr>
            <w:r>
              <w:rPr>
                <w:rFonts w:hint="eastAsia"/>
                <w:color w:val="auto"/>
              </w:rPr>
              <w:t>c.环境风险事故抢险处置措施；</w:t>
            </w:r>
          </w:p>
          <w:p w14:paraId="295C7912">
            <w:pPr>
              <w:pStyle w:val="34"/>
              <w:jc w:val="both"/>
              <w:rPr>
                <w:color w:val="auto"/>
              </w:rPr>
            </w:pPr>
            <w:r>
              <w:rPr>
                <w:rFonts w:hint="eastAsia"/>
                <w:color w:val="auto"/>
              </w:rPr>
              <w:t>d.各种应急设备设施及防护用品的使用；</w:t>
            </w:r>
          </w:p>
          <w:p w14:paraId="3F969D11">
            <w:pPr>
              <w:pStyle w:val="34"/>
              <w:jc w:val="both"/>
              <w:rPr>
                <w:color w:val="auto"/>
              </w:rPr>
            </w:pPr>
            <w:r>
              <w:rPr>
                <w:rFonts w:hint="eastAsia"/>
                <w:color w:val="auto"/>
              </w:rPr>
              <w:t>e.应急疏散程序与事故现场的保护；</w:t>
            </w:r>
          </w:p>
          <w:p w14:paraId="210F4454">
            <w:pPr>
              <w:pStyle w:val="34"/>
              <w:jc w:val="both"/>
              <w:rPr>
                <w:color w:val="auto"/>
              </w:rPr>
            </w:pPr>
            <w:r>
              <w:rPr>
                <w:rFonts w:hint="eastAsia"/>
                <w:color w:val="auto"/>
              </w:rPr>
              <w:t>f.医疗急救知识与技能。</w:t>
            </w:r>
          </w:p>
        </w:tc>
      </w:tr>
      <w:tr w14:paraId="55AFC0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670" w:hRule="atLeast"/>
          <w:jc w:val="center"/>
        </w:trPr>
        <w:tc>
          <w:tcPr>
            <w:tcW w:w="928" w:type="dxa"/>
            <w:vMerge w:val="restart"/>
            <w:tcBorders>
              <w:tl2br w:val="nil"/>
              <w:tr2bl w:val="nil"/>
            </w:tcBorders>
            <w:vAlign w:val="center"/>
          </w:tcPr>
          <w:p w14:paraId="2EDB2C37">
            <w:pPr>
              <w:pStyle w:val="34"/>
              <w:rPr>
                <w:color w:val="auto"/>
              </w:rPr>
            </w:pPr>
            <w:r>
              <w:rPr>
                <w:rFonts w:hint="eastAsia"/>
                <w:color w:val="auto"/>
              </w:rPr>
              <w:t>培训内容</w:t>
            </w:r>
          </w:p>
        </w:tc>
        <w:tc>
          <w:tcPr>
            <w:tcW w:w="900" w:type="dxa"/>
            <w:tcBorders>
              <w:tl2br w:val="nil"/>
              <w:tr2bl w:val="nil"/>
            </w:tcBorders>
            <w:vAlign w:val="center"/>
          </w:tcPr>
          <w:p w14:paraId="5870DF15">
            <w:pPr>
              <w:pStyle w:val="34"/>
              <w:rPr>
                <w:color w:val="auto"/>
              </w:rPr>
            </w:pPr>
            <w:r>
              <w:rPr>
                <w:rFonts w:hint="eastAsia"/>
                <w:color w:val="auto"/>
              </w:rPr>
              <w:t>应急人员</w:t>
            </w:r>
          </w:p>
        </w:tc>
        <w:tc>
          <w:tcPr>
            <w:tcW w:w="6534" w:type="dxa"/>
            <w:tcBorders>
              <w:tl2br w:val="nil"/>
              <w:tr2bl w:val="nil"/>
            </w:tcBorders>
          </w:tcPr>
          <w:p w14:paraId="16CFBA9B">
            <w:pPr>
              <w:pStyle w:val="34"/>
              <w:jc w:val="both"/>
              <w:rPr>
                <w:color w:val="auto"/>
              </w:rPr>
            </w:pPr>
            <w:r>
              <w:rPr>
                <w:rFonts w:hint="eastAsia"/>
                <w:color w:val="auto"/>
              </w:rPr>
              <w:t>a.可能的重大环境风险事故及其后果；</w:t>
            </w:r>
          </w:p>
          <w:p w14:paraId="1DBBFAC4">
            <w:pPr>
              <w:pStyle w:val="34"/>
              <w:jc w:val="both"/>
              <w:rPr>
                <w:color w:val="auto"/>
              </w:rPr>
            </w:pPr>
            <w:r>
              <w:rPr>
                <w:rFonts w:hint="eastAsia"/>
                <w:color w:val="auto"/>
              </w:rPr>
              <w:t>b.事故报警与报告；</w:t>
            </w:r>
          </w:p>
          <w:p w14:paraId="227935D0">
            <w:pPr>
              <w:pStyle w:val="34"/>
              <w:jc w:val="both"/>
              <w:rPr>
                <w:color w:val="auto"/>
              </w:rPr>
            </w:pPr>
            <w:r>
              <w:rPr>
                <w:rFonts w:hint="eastAsia"/>
                <w:color w:val="auto"/>
              </w:rPr>
              <w:t>c.急救设施的正确使用；</w:t>
            </w:r>
          </w:p>
          <w:p w14:paraId="0B53EBE9">
            <w:pPr>
              <w:pStyle w:val="34"/>
              <w:jc w:val="both"/>
              <w:rPr>
                <w:color w:val="auto"/>
              </w:rPr>
            </w:pPr>
            <w:r>
              <w:rPr>
                <w:rFonts w:hint="eastAsia"/>
                <w:color w:val="auto"/>
              </w:rPr>
              <w:t>d.泄漏处置与化学品基本防护知识；</w:t>
            </w:r>
          </w:p>
          <w:p w14:paraId="5ED9981D">
            <w:pPr>
              <w:pStyle w:val="34"/>
              <w:jc w:val="both"/>
              <w:rPr>
                <w:color w:val="auto"/>
              </w:rPr>
            </w:pPr>
            <w:r>
              <w:rPr>
                <w:rFonts w:hint="eastAsia"/>
                <w:color w:val="auto"/>
              </w:rPr>
              <w:t>e.疏散撤离的组织、方法和程序；</w:t>
            </w:r>
          </w:p>
          <w:p w14:paraId="4061B730">
            <w:pPr>
              <w:pStyle w:val="34"/>
              <w:jc w:val="both"/>
              <w:rPr>
                <w:color w:val="auto"/>
              </w:rPr>
            </w:pPr>
            <w:r>
              <w:rPr>
                <w:rFonts w:hint="eastAsia"/>
                <w:color w:val="auto"/>
              </w:rPr>
              <w:t>f.自救与互救的基本常识。</w:t>
            </w:r>
          </w:p>
        </w:tc>
      </w:tr>
      <w:tr w14:paraId="0C0263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28" w:type="dxa"/>
            <w:vMerge w:val="continue"/>
            <w:tcBorders>
              <w:tl2br w:val="nil"/>
              <w:tr2bl w:val="nil"/>
            </w:tcBorders>
            <w:vAlign w:val="center"/>
          </w:tcPr>
          <w:p w14:paraId="797655AF">
            <w:pPr>
              <w:pStyle w:val="34"/>
              <w:rPr>
                <w:color w:val="auto"/>
              </w:rPr>
            </w:pPr>
          </w:p>
        </w:tc>
        <w:tc>
          <w:tcPr>
            <w:tcW w:w="900" w:type="dxa"/>
            <w:tcBorders>
              <w:tl2br w:val="nil"/>
              <w:tr2bl w:val="nil"/>
            </w:tcBorders>
            <w:vAlign w:val="center"/>
          </w:tcPr>
          <w:p w14:paraId="305F4C5A">
            <w:pPr>
              <w:pStyle w:val="34"/>
              <w:rPr>
                <w:color w:val="auto"/>
              </w:rPr>
            </w:pPr>
            <w:r>
              <w:rPr>
                <w:rFonts w:hint="eastAsia"/>
                <w:color w:val="auto"/>
              </w:rPr>
              <w:t>监测人员</w:t>
            </w:r>
          </w:p>
        </w:tc>
        <w:tc>
          <w:tcPr>
            <w:tcW w:w="6534" w:type="dxa"/>
            <w:tcBorders>
              <w:tl2br w:val="nil"/>
              <w:tr2bl w:val="nil"/>
            </w:tcBorders>
          </w:tcPr>
          <w:p w14:paraId="191C93BA">
            <w:pPr>
              <w:pStyle w:val="34"/>
              <w:jc w:val="both"/>
              <w:rPr>
                <w:color w:val="auto"/>
              </w:rPr>
            </w:pPr>
            <w:r>
              <w:rPr>
                <w:rFonts w:hint="eastAsia"/>
                <w:color w:val="auto"/>
              </w:rPr>
              <w:t>a.环境监测技术规范；</w:t>
            </w:r>
          </w:p>
          <w:p w14:paraId="30344ABB">
            <w:pPr>
              <w:pStyle w:val="34"/>
              <w:jc w:val="both"/>
              <w:rPr>
                <w:color w:val="auto"/>
              </w:rPr>
            </w:pPr>
            <w:r>
              <w:rPr>
                <w:rFonts w:hint="eastAsia"/>
                <w:color w:val="auto"/>
              </w:rPr>
              <w:t>b.应急监测的基本方法；</w:t>
            </w:r>
          </w:p>
          <w:p w14:paraId="4885E4D3">
            <w:pPr>
              <w:pStyle w:val="34"/>
              <w:jc w:val="both"/>
              <w:rPr>
                <w:color w:val="auto"/>
              </w:rPr>
            </w:pPr>
            <w:r>
              <w:rPr>
                <w:rFonts w:hint="eastAsia"/>
                <w:color w:val="auto"/>
              </w:rPr>
              <w:t>c.便携式现场应急监测仪器的使用方法；</w:t>
            </w:r>
          </w:p>
          <w:p w14:paraId="6119C6D8">
            <w:pPr>
              <w:pStyle w:val="34"/>
              <w:jc w:val="both"/>
              <w:rPr>
                <w:color w:val="auto"/>
              </w:rPr>
            </w:pPr>
            <w:r>
              <w:rPr>
                <w:rFonts w:hint="eastAsia"/>
                <w:color w:val="auto"/>
              </w:rPr>
              <w:t>d.污染物的快速监测方法；</w:t>
            </w:r>
          </w:p>
          <w:p w14:paraId="1309C2B8">
            <w:pPr>
              <w:pStyle w:val="34"/>
              <w:jc w:val="both"/>
              <w:rPr>
                <w:color w:val="auto"/>
              </w:rPr>
            </w:pPr>
            <w:r>
              <w:rPr>
                <w:rFonts w:hint="eastAsia"/>
                <w:color w:val="auto"/>
              </w:rPr>
              <w:t>e.监测布点和频次基本原则；</w:t>
            </w:r>
          </w:p>
          <w:p w14:paraId="7AC6D7CE">
            <w:pPr>
              <w:pStyle w:val="34"/>
              <w:jc w:val="both"/>
              <w:rPr>
                <w:color w:val="auto"/>
              </w:rPr>
            </w:pPr>
            <w:r>
              <w:rPr>
                <w:rFonts w:hint="eastAsia"/>
                <w:color w:val="auto"/>
              </w:rPr>
              <w:t>f.现场监测人员自身防护的要求；</w:t>
            </w:r>
          </w:p>
          <w:p w14:paraId="672A0A9D">
            <w:pPr>
              <w:pStyle w:val="34"/>
              <w:jc w:val="both"/>
              <w:rPr>
                <w:color w:val="auto"/>
              </w:rPr>
            </w:pPr>
            <w:r>
              <w:rPr>
                <w:rFonts w:hint="eastAsia"/>
                <w:color w:val="auto"/>
              </w:rPr>
              <w:t>g.应急监测设备、耗材和试剂的日常维护和保养等。</w:t>
            </w:r>
          </w:p>
        </w:tc>
      </w:tr>
      <w:tr w14:paraId="32D36E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28" w:type="dxa"/>
            <w:tcBorders>
              <w:tl2br w:val="nil"/>
              <w:tr2bl w:val="nil"/>
            </w:tcBorders>
            <w:vAlign w:val="center"/>
          </w:tcPr>
          <w:p w14:paraId="75910C9E">
            <w:pPr>
              <w:pStyle w:val="34"/>
              <w:rPr>
                <w:color w:val="auto"/>
              </w:rPr>
            </w:pPr>
            <w:r>
              <w:rPr>
                <w:rFonts w:hint="eastAsia"/>
                <w:color w:val="auto"/>
              </w:rPr>
              <w:t>培训方式</w:t>
            </w:r>
          </w:p>
        </w:tc>
        <w:tc>
          <w:tcPr>
            <w:tcW w:w="900" w:type="dxa"/>
            <w:tcBorders>
              <w:tl2br w:val="nil"/>
              <w:tr2bl w:val="nil"/>
            </w:tcBorders>
            <w:vAlign w:val="center"/>
          </w:tcPr>
          <w:p w14:paraId="5811AD8B">
            <w:pPr>
              <w:pStyle w:val="34"/>
              <w:rPr>
                <w:color w:val="auto"/>
              </w:rPr>
            </w:pPr>
            <w:r>
              <w:rPr>
                <w:rFonts w:hint="eastAsia"/>
                <w:color w:val="auto"/>
              </w:rPr>
              <w:t>--</w:t>
            </w:r>
          </w:p>
        </w:tc>
        <w:tc>
          <w:tcPr>
            <w:tcW w:w="6534" w:type="dxa"/>
            <w:tcBorders>
              <w:tl2br w:val="nil"/>
              <w:tr2bl w:val="nil"/>
            </w:tcBorders>
          </w:tcPr>
          <w:p w14:paraId="2C374A25">
            <w:pPr>
              <w:pStyle w:val="34"/>
              <w:jc w:val="both"/>
              <w:rPr>
                <w:color w:val="auto"/>
              </w:rPr>
            </w:pPr>
            <w:r>
              <w:rPr>
                <w:rFonts w:hint="eastAsia"/>
                <w:color w:val="auto"/>
              </w:rPr>
              <w:t>培训的形式可以根据实际特点，采取多种形式进行。如定期开设培训班、上课、事故讲座、广播、发放宣传资料等，使教育培训形象生动。</w:t>
            </w:r>
          </w:p>
        </w:tc>
      </w:tr>
      <w:tr w14:paraId="79A963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28" w:type="dxa"/>
            <w:tcBorders>
              <w:tl2br w:val="nil"/>
              <w:tr2bl w:val="nil"/>
            </w:tcBorders>
            <w:vAlign w:val="center"/>
          </w:tcPr>
          <w:p w14:paraId="10F2A8FF">
            <w:pPr>
              <w:pStyle w:val="34"/>
              <w:rPr>
                <w:color w:val="auto"/>
              </w:rPr>
            </w:pPr>
            <w:r>
              <w:rPr>
                <w:rFonts w:hint="eastAsia"/>
                <w:color w:val="auto"/>
              </w:rPr>
              <w:t>培训要求</w:t>
            </w:r>
          </w:p>
        </w:tc>
        <w:tc>
          <w:tcPr>
            <w:tcW w:w="900" w:type="dxa"/>
            <w:tcBorders>
              <w:tl2br w:val="nil"/>
              <w:tr2bl w:val="nil"/>
            </w:tcBorders>
            <w:vAlign w:val="center"/>
          </w:tcPr>
          <w:p w14:paraId="4C8559B9">
            <w:pPr>
              <w:pStyle w:val="34"/>
              <w:rPr>
                <w:color w:val="auto"/>
              </w:rPr>
            </w:pPr>
            <w:r>
              <w:rPr>
                <w:rFonts w:hint="eastAsia"/>
                <w:color w:val="auto"/>
              </w:rPr>
              <w:t>--</w:t>
            </w:r>
          </w:p>
        </w:tc>
        <w:tc>
          <w:tcPr>
            <w:tcW w:w="6534" w:type="dxa"/>
            <w:tcBorders>
              <w:tl2br w:val="nil"/>
              <w:tr2bl w:val="nil"/>
            </w:tcBorders>
          </w:tcPr>
          <w:p w14:paraId="0801693A">
            <w:pPr>
              <w:pStyle w:val="34"/>
              <w:jc w:val="both"/>
              <w:rPr>
                <w:color w:val="auto"/>
              </w:rPr>
            </w:pPr>
            <w:r>
              <w:rPr>
                <w:rFonts w:hint="eastAsia"/>
                <w:color w:val="auto"/>
              </w:rPr>
              <w:t>a.针对性：针对可能发生的事故及承担的应急职责不同，对不同的人员予以不同的培训内容；</w:t>
            </w:r>
          </w:p>
          <w:p w14:paraId="30D91C63">
            <w:pPr>
              <w:pStyle w:val="34"/>
              <w:jc w:val="both"/>
              <w:rPr>
                <w:color w:val="auto"/>
              </w:rPr>
            </w:pPr>
            <w:r>
              <w:rPr>
                <w:rFonts w:hint="eastAsia"/>
                <w:color w:val="auto"/>
              </w:rPr>
              <w:t>b.周期性：每年至少组织一次培训。</w:t>
            </w:r>
          </w:p>
        </w:tc>
      </w:tr>
    </w:tbl>
    <w:p w14:paraId="19759874">
      <w:pPr>
        <w:pStyle w:val="5"/>
        <w:spacing w:before="156" w:after="156"/>
        <w:rPr>
          <w:color w:val="auto"/>
        </w:rPr>
      </w:pPr>
      <w:bookmarkStart w:id="130" w:name="_Toc476314996"/>
      <w:bookmarkStart w:id="131" w:name="_Toc32182"/>
      <w:r>
        <w:rPr>
          <w:rFonts w:hint="eastAsia"/>
          <w:color w:val="auto"/>
          <w:lang w:eastAsia="zh-CN"/>
        </w:rPr>
        <w:t>9.</w:t>
      </w:r>
      <w:r>
        <w:rPr>
          <w:rFonts w:hint="eastAsia"/>
          <w:color w:val="auto"/>
          <w:lang w:val="en-US" w:eastAsia="zh-CN"/>
        </w:rPr>
        <w:t>3</w:t>
      </w:r>
      <w:r>
        <w:rPr>
          <w:rFonts w:hint="eastAsia"/>
          <w:color w:val="auto"/>
        </w:rPr>
        <w:t>演练</w:t>
      </w:r>
      <w:bookmarkEnd w:id="130"/>
      <w:bookmarkEnd w:id="131"/>
    </w:p>
    <w:p w14:paraId="4CE09362">
      <w:pPr>
        <w:pStyle w:val="6"/>
        <w:spacing w:before="156" w:after="156"/>
        <w:rPr>
          <w:color w:val="auto"/>
        </w:rPr>
      </w:pPr>
      <w:r>
        <w:rPr>
          <w:rFonts w:hint="eastAsia"/>
          <w:color w:val="auto"/>
          <w:lang w:eastAsia="zh-CN"/>
        </w:rPr>
        <w:t>9.</w:t>
      </w:r>
      <w:r>
        <w:rPr>
          <w:rFonts w:hint="eastAsia"/>
          <w:color w:val="auto"/>
          <w:lang w:val="en-US" w:eastAsia="zh-CN"/>
        </w:rPr>
        <w:t>3</w:t>
      </w:r>
      <w:r>
        <w:rPr>
          <w:rFonts w:hint="eastAsia"/>
          <w:color w:val="auto"/>
        </w:rPr>
        <w:t>.1应急演练的目的</w:t>
      </w:r>
    </w:p>
    <w:p w14:paraId="67529FB5">
      <w:pPr>
        <w:pStyle w:val="31"/>
        <w:rPr>
          <w:color w:val="auto"/>
        </w:rPr>
      </w:pPr>
      <w:r>
        <w:rPr>
          <w:rFonts w:hint="eastAsia"/>
          <w:color w:val="auto"/>
        </w:rPr>
        <w:t>演练的目的是评估应急预案的各部分或整体是否能有效的付诸行动，验证应急预案应急可能出现的各种环境污染事故的适应性，找出应急准备工作中需要改善的地方，确保建立和保持可靠的通信渠道及应急人员的协同性，确保所有应急组织都熟悉并能够履行他们的职责，找出需要改善的潜在问题，提高整体应急反应能力。</w:t>
      </w:r>
    </w:p>
    <w:p w14:paraId="2248B856">
      <w:pPr>
        <w:pStyle w:val="6"/>
        <w:spacing w:before="156" w:after="156"/>
        <w:rPr>
          <w:color w:val="auto"/>
        </w:rPr>
      </w:pPr>
      <w:r>
        <w:rPr>
          <w:rFonts w:hint="eastAsia"/>
          <w:color w:val="auto"/>
          <w:lang w:eastAsia="zh-CN"/>
        </w:rPr>
        <w:t>9.</w:t>
      </w:r>
      <w:r>
        <w:rPr>
          <w:rFonts w:hint="eastAsia"/>
          <w:color w:val="auto"/>
          <w:lang w:val="en-US" w:eastAsia="zh-CN"/>
        </w:rPr>
        <w:t>3</w:t>
      </w:r>
      <w:r>
        <w:rPr>
          <w:rFonts w:hint="eastAsia"/>
          <w:color w:val="auto"/>
        </w:rPr>
        <w:t>.2应急演练范围与频次</w:t>
      </w:r>
    </w:p>
    <w:p w14:paraId="7526A42C">
      <w:pPr>
        <w:pStyle w:val="31"/>
        <w:rPr>
          <w:color w:val="auto"/>
        </w:rPr>
      </w:pPr>
      <w:r>
        <w:rPr>
          <w:rFonts w:hint="eastAsia"/>
          <w:color w:val="auto"/>
        </w:rPr>
        <w:t>应急演练实施阶段是指从宣布初始事件到演练结束的整个过程。演练过程中参演应急组织和人员尽可能按照实际紧急事件发生时响应要求进行演示，由参演组织和人员根据自己关于最佳解决办法的理解，对事故作出响应行动。除定期进行全面的演练和训练外，还要针对通讯、医疗、泄漏控制、监测、净化和清洁以及人员疏散等关键要素进行演练。</w:t>
      </w:r>
    </w:p>
    <w:p w14:paraId="6B39CDAF">
      <w:pPr>
        <w:pStyle w:val="31"/>
        <w:rPr>
          <w:color w:val="auto"/>
        </w:rPr>
      </w:pPr>
      <w:r>
        <w:rPr>
          <w:rFonts w:hint="eastAsia"/>
          <w:color w:val="auto"/>
          <w:lang w:eastAsia="zh-CN"/>
        </w:rPr>
        <w:t>江西洪城水业环保有限公司资溪县分公司</w:t>
      </w:r>
      <w:r>
        <w:rPr>
          <w:rFonts w:hint="eastAsia"/>
          <w:color w:val="auto"/>
        </w:rPr>
        <w:t>根据自身特点，每年组织至少一次本单位的应急预案演练。</w:t>
      </w:r>
    </w:p>
    <w:p w14:paraId="33F3D96A">
      <w:pPr>
        <w:pStyle w:val="6"/>
        <w:spacing w:before="156" w:after="156"/>
        <w:rPr>
          <w:color w:val="auto"/>
        </w:rPr>
      </w:pPr>
      <w:r>
        <w:rPr>
          <w:rFonts w:hint="eastAsia"/>
          <w:color w:val="auto"/>
          <w:lang w:eastAsia="zh-CN"/>
        </w:rPr>
        <w:t>9.</w:t>
      </w:r>
      <w:r>
        <w:rPr>
          <w:rFonts w:hint="eastAsia"/>
          <w:color w:val="auto"/>
          <w:lang w:val="en-US" w:eastAsia="zh-CN"/>
        </w:rPr>
        <w:t>3</w:t>
      </w:r>
      <w:r>
        <w:rPr>
          <w:rFonts w:hint="eastAsia"/>
          <w:color w:val="auto"/>
        </w:rPr>
        <w:t>.3应急演练的准备和实施</w:t>
      </w:r>
    </w:p>
    <w:p w14:paraId="19D92E09">
      <w:pPr>
        <w:pStyle w:val="31"/>
        <w:rPr>
          <w:color w:val="auto"/>
        </w:rPr>
      </w:pPr>
      <w:r>
        <w:rPr>
          <w:rFonts w:hint="eastAsia"/>
          <w:color w:val="auto"/>
        </w:rPr>
        <w:t>①编制演练方案。预案演练由应急指挥中心负责组织，并确定演练目的、原则、规模、参演的部门；确定演练的性质和方法，选定演练事件与地点，规定演练的时间尺度和公众参与程度；确定实施计划、设计事故情景与处置方案。其中特别要注意的是，演练情景尽可能真实，并考虑应急设备故障问题，以检测备用系统。</w:t>
      </w:r>
    </w:p>
    <w:p w14:paraId="4BC7EB62">
      <w:pPr>
        <w:pStyle w:val="31"/>
        <w:rPr>
          <w:color w:val="auto"/>
        </w:rPr>
      </w:pPr>
      <w:r>
        <w:rPr>
          <w:rFonts w:hint="eastAsia"/>
          <w:color w:val="auto"/>
        </w:rPr>
        <w:t>②制定演练现场规则。演练现场规则是指确保演练安全而制定的对有关演练和演练控制、参与人员职责、实际紧急事件、法规符合性等事项的规定或要求。</w:t>
      </w:r>
    </w:p>
    <w:p w14:paraId="2B24CD9F">
      <w:pPr>
        <w:pStyle w:val="31"/>
        <w:rPr>
          <w:color w:val="auto"/>
        </w:rPr>
      </w:pPr>
      <w:r>
        <w:rPr>
          <w:rFonts w:hint="eastAsia"/>
          <w:color w:val="auto"/>
        </w:rPr>
        <w:t>③培训评估人员。应急指挥中心确定评估人员数量和应具备的专业技能，指定评估人员，分配各自所负责评估的应急组织和演练目标。</w:t>
      </w:r>
    </w:p>
    <w:p w14:paraId="0C91AC33">
      <w:pPr>
        <w:pStyle w:val="31"/>
        <w:rPr>
          <w:color w:val="auto"/>
        </w:rPr>
      </w:pPr>
      <w:r>
        <w:rPr>
          <w:rFonts w:hint="eastAsia"/>
          <w:color w:val="auto"/>
        </w:rPr>
        <w:t>④预案演练实施。利用应急处置涉及的设备和物资，针对事先设置的突发事件情景及其后续的发展情景，通过实际决策、行动和操作，完成真实应急响应的过程，从而检验和提高相关人员的临场组织指挥、队伍调动、应急处置技能和后勤保障等应急能力。</w:t>
      </w:r>
    </w:p>
    <w:p w14:paraId="4ABE148D">
      <w:pPr>
        <w:pStyle w:val="6"/>
        <w:spacing w:before="156" w:after="156"/>
        <w:rPr>
          <w:color w:val="auto"/>
        </w:rPr>
      </w:pPr>
      <w:r>
        <w:rPr>
          <w:rFonts w:hint="eastAsia"/>
          <w:color w:val="auto"/>
          <w:lang w:eastAsia="zh-CN"/>
        </w:rPr>
        <w:t>9.</w:t>
      </w:r>
      <w:r>
        <w:rPr>
          <w:rFonts w:hint="eastAsia"/>
          <w:color w:val="auto"/>
          <w:lang w:val="en-US" w:eastAsia="zh-CN"/>
        </w:rPr>
        <w:t>3</w:t>
      </w:r>
      <w:r>
        <w:rPr>
          <w:rFonts w:hint="eastAsia"/>
          <w:color w:val="auto"/>
        </w:rPr>
        <w:t>.4预案评估和修正</w:t>
      </w:r>
    </w:p>
    <w:p w14:paraId="1A5804A4">
      <w:pPr>
        <w:pStyle w:val="31"/>
        <w:rPr>
          <w:color w:val="auto"/>
        </w:rPr>
      </w:pPr>
      <w:r>
        <w:rPr>
          <w:rFonts w:hint="eastAsia"/>
          <w:color w:val="auto"/>
        </w:rPr>
        <w:t>（1）预案评估</w:t>
      </w:r>
    </w:p>
    <w:p w14:paraId="79EB92B3">
      <w:pPr>
        <w:pStyle w:val="31"/>
        <w:rPr>
          <w:color w:val="auto"/>
        </w:rPr>
      </w:pPr>
      <w:r>
        <w:rPr>
          <w:rFonts w:hint="eastAsia"/>
          <w:color w:val="auto"/>
        </w:rPr>
        <w:t>企业经预案演练后应进行讲评和总结，及时发现事故应急救援预案中的问题，并从中找到改进的措施。</w:t>
      </w:r>
    </w:p>
    <w:p w14:paraId="076FA50B">
      <w:pPr>
        <w:pStyle w:val="31"/>
        <w:rPr>
          <w:color w:val="auto"/>
        </w:rPr>
      </w:pPr>
      <w:r>
        <w:rPr>
          <w:rFonts w:hint="eastAsia"/>
          <w:color w:val="auto"/>
        </w:rPr>
        <w:t>评估的内容有：</w:t>
      </w:r>
    </w:p>
    <w:p w14:paraId="5B06AC27">
      <w:pPr>
        <w:pStyle w:val="31"/>
        <w:rPr>
          <w:color w:val="auto"/>
        </w:rPr>
      </w:pPr>
      <w:r>
        <w:rPr>
          <w:rFonts w:hint="eastAsia"/>
          <w:color w:val="auto"/>
        </w:rPr>
        <w:t>1)通过演练发现的主要问题；</w:t>
      </w:r>
    </w:p>
    <w:p w14:paraId="36C1C14D">
      <w:pPr>
        <w:pStyle w:val="31"/>
        <w:rPr>
          <w:color w:val="auto"/>
        </w:rPr>
      </w:pPr>
      <w:r>
        <w:rPr>
          <w:rFonts w:hint="eastAsia"/>
          <w:color w:val="auto"/>
        </w:rPr>
        <w:t>2)对演练准备情况的评估；</w:t>
      </w:r>
    </w:p>
    <w:p w14:paraId="54EAA28D">
      <w:pPr>
        <w:pStyle w:val="31"/>
        <w:rPr>
          <w:color w:val="auto"/>
        </w:rPr>
      </w:pPr>
      <w:r>
        <w:rPr>
          <w:rFonts w:hint="eastAsia"/>
          <w:color w:val="auto"/>
        </w:rPr>
        <w:t>3)对预案有关程序、内容的建议和改进意见；</w:t>
      </w:r>
    </w:p>
    <w:p w14:paraId="79BBAB66">
      <w:pPr>
        <w:pStyle w:val="31"/>
        <w:rPr>
          <w:color w:val="auto"/>
        </w:rPr>
      </w:pPr>
      <w:r>
        <w:rPr>
          <w:rFonts w:hint="eastAsia"/>
          <w:color w:val="auto"/>
        </w:rPr>
        <w:t>4)在训练、防护器具、抢救设置等方面的改进意见；</w:t>
      </w:r>
    </w:p>
    <w:p w14:paraId="37F142D2">
      <w:pPr>
        <w:pStyle w:val="31"/>
        <w:rPr>
          <w:color w:val="auto"/>
        </w:rPr>
      </w:pPr>
      <w:r>
        <w:rPr>
          <w:rFonts w:hint="eastAsia"/>
          <w:color w:val="auto"/>
        </w:rPr>
        <w:t>5)对演练指挥部的意见等。</w:t>
      </w:r>
    </w:p>
    <w:p w14:paraId="7EBB188B">
      <w:pPr>
        <w:pStyle w:val="31"/>
        <w:rPr>
          <w:color w:val="auto"/>
        </w:rPr>
      </w:pPr>
      <w:r>
        <w:rPr>
          <w:rFonts w:hint="eastAsia"/>
          <w:color w:val="auto"/>
        </w:rPr>
        <w:t>（2）预案修正</w:t>
      </w:r>
    </w:p>
    <w:p w14:paraId="0388650A">
      <w:pPr>
        <w:pStyle w:val="31"/>
        <w:rPr>
          <w:color w:val="auto"/>
        </w:rPr>
      </w:pPr>
      <w:r>
        <w:rPr>
          <w:rFonts w:hint="eastAsia"/>
          <w:color w:val="auto"/>
        </w:rPr>
        <w:t>1)事故应急救援预案经演练评估后，对演练中发现的问题应及时进行修正、补充、完善，使预案进一步合理化；</w:t>
      </w:r>
    </w:p>
    <w:p w14:paraId="28A63866">
      <w:pPr>
        <w:pStyle w:val="31"/>
        <w:rPr>
          <w:color w:val="auto"/>
        </w:rPr>
      </w:pPr>
      <w:r>
        <w:rPr>
          <w:rFonts w:hint="eastAsia"/>
          <w:color w:val="auto"/>
        </w:rPr>
        <w:t>2)应急救援危险目标内的设备、装置有所变化，应对原预案及时进行修正。</w:t>
      </w:r>
    </w:p>
    <w:p w14:paraId="42F6CEEB">
      <w:pPr>
        <w:pStyle w:val="31"/>
        <w:rPr>
          <w:color w:val="auto"/>
        </w:rPr>
      </w:pPr>
      <w:r>
        <w:rPr>
          <w:rFonts w:hint="eastAsia"/>
          <w:color w:val="auto"/>
        </w:rPr>
        <w:t>3)当国家相关法律法规发生变化，工程外部环境发生变化时，应对原预案及时进行修正。</w:t>
      </w:r>
    </w:p>
    <w:p w14:paraId="1C3342C9">
      <w:pPr>
        <w:pStyle w:val="6"/>
        <w:spacing w:before="156" w:after="156"/>
        <w:rPr>
          <w:color w:val="auto"/>
        </w:rPr>
      </w:pPr>
      <w:r>
        <w:rPr>
          <w:rFonts w:hint="eastAsia"/>
          <w:color w:val="auto"/>
          <w:lang w:eastAsia="zh-CN"/>
        </w:rPr>
        <w:t>9.</w:t>
      </w:r>
      <w:r>
        <w:rPr>
          <w:rFonts w:hint="eastAsia"/>
          <w:color w:val="auto"/>
          <w:lang w:val="en-US" w:eastAsia="zh-CN"/>
        </w:rPr>
        <w:t>3</w:t>
      </w:r>
      <w:r>
        <w:rPr>
          <w:rFonts w:hint="eastAsia"/>
          <w:color w:val="auto"/>
        </w:rPr>
        <w:t>.5应急演练总结</w:t>
      </w:r>
    </w:p>
    <w:p w14:paraId="48E0FB70">
      <w:pPr>
        <w:pStyle w:val="31"/>
        <w:rPr>
          <w:color w:val="auto"/>
        </w:rPr>
      </w:pPr>
      <w:r>
        <w:rPr>
          <w:rFonts w:hint="eastAsia"/>
          <w:color w:val="auto"/>
        </w:rPr>
        <w:t>演练结束后，要进行总结和评估，以检验是否达到演练目标、应急准备水平是否需要改进。应急指挥中心在演练结束期限内，根据在演练过程中收集和整理资料，编写演练报告。</w:t>
      </w:r>
    </w:p>
    <w:p w14:paraId="574360E3">
      <w:pPr>
        <w:pStyle w:val="31"/>
        <w:rPr>
          <w:color w:val="auto"/>
        </w:rPr>
      </w:pPr>
      <w:r>
        <w:rPr>
          <w:rFonts w:hint="eastAsia"/>
          <w:color w:val="auto"/>
        </w:rPr>
        <w:t>演练总结报告的内容包括：演练目的、时间和地点、参演单位和人员、演练方案概要、发现的问题与原因、经验和教训，以及改进有关工作的建议等。</w:t>
      </w:r>
    </w:p>
    <w:p w14:paraId="6344D8F5">
      <w:pPr>
        <w:pStyle w:val="31"/>
        <w:rPr>
          <w:color w:val="auto"/>
        </w:rPr>
      </w:pPr>
      <w:r>
        <w:rPr>
          <w:rFonts w:hint="eastAsia"/>
          <w:color w:val="auto"/>
        </w:rPr>
        <w:t>在演练结束后应将演练计划、演练方案、演练总结报告等资料归档保存。</w:t>
      </w:r>
    </w:p>
    <w:p w14:paraId="0E1D0AE0">
      <w:pPr>
        <w:pStyle w:val="31"/>
        <w:rPr>
          <w:color w:val="auto"/>
        </w:rPr>
      </w:pPr>
      <w:r>
        <w:rPr>
          <w:rFonts w:hint="eastAsia"/>
          <w:color w:val="auto"/>
        </w:rPr>
        <w:t>对于由上级有关部门布置或参与组织的演练，或者法律、法规、规章要求备案的演练，将相应资料报有关部门备案。</w:t>
      </w:r>
    </w:p>
    <w:p w14:paraId="64C8CD4E">
      <w:pPr>
        <w:pStyle w:val="31"/>
        <w:rPr>
          <w:color w:val="auto"/>
        </w:rPr>
      </w:pPr>
    </w:p>
    <w:p w14:paraId="71D8250B">
      <w:pPr>
        <w:pStyle w:val="31"/>
        <w:rPr>
          <w:color w:val="auto"/>
        </w:rPr>
      </w:pPr>
    </w:p>
    <w:p w14:paraId="5BFBD38D">
      <w:pPr>
        <w:pStyle w:val="31"/>
        <w:rPr>
          <w:color w:val="auto"/>
        </w:rPr>
      </w:pPr>
    </w:p>
    <w:p w14:paraId="575520DB">
      <w:pPr>
        <w:pStyle w:val="31"/>
        <w:rPr>
          <w:color w:val="auto"/>
        </w:rPr>
      </w:pPr>
    </w:p>
    <w:p w14:paraId="268ED67A">
      <w:pPr>
        <w:pStyle w:val="31"/>
        <w:ind w:left="0" w:leftChars="0" w:firstLine="0" w:firstLineChars="0"/>
        <w:rPr>
          <w:color w:val="auto"/>
        </w:rPr>
      </w:pPr>
    </w:p>
    <w:p w14:paraId="66D4F548">
      <w:pPr>
        <w:pStyle w:val="31"/>
        <w:rPr>
          <w:color w:val="auto"/>
        </w:rPr>
      </w:pPr>
    </w:p>
    <w:p w14:paraId="202AAD2D">
      <w:pPr>
        <w:pStyle w:val="31"/>
        <w:rPr>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415601E2">
      <w:pPr>
        <w:pStyle w:val="4"/>
        <w:spacing w:before="156" w:after="156"/>
        <w:rPr>
          <w:color w:val="auto"/>
        </w:rPr>
      </w:pPr>
      <w:bookmarkStart w:id="132" w:name="_Toc15783"/>
      <w:bookmarkStart w:id="133" w:name="_Toc476314997"/>
      <w:r>
        <w:rPr>
          <w:rFonts w:hint="eastAsia"/>
          <w:color w:val="auto"/>
        </w:rPr>
        <w:t>1</w:t>
      </w:r>
      <w:r>
        <w:rPr>
          <w:rFonts w:hint="eastAsia"/>
          <w:color w:val="auto"/>
          <w:lang w:val="en-US" w:eastAsia="zh-CN"/>
        </w:rPr>
        <w:t>0</w:t>
      </w:r>
      <w:r>
        <w:rPr>
          <w:rFonts w:hint="eastAsia"/>
          <w:color w:val="auto"/>
        </w:rPr>
        <w:t>奖惩</w:t>
      </w:r>
      <w:bookmarkEnd w:id="132"/>
      <w:bookmarkEnd w:id="133"/>
    </w:p>
    <w:p w14:paraId="04D8ECA4">
      <w:pPr>
        <w:pStyle w:val="5"/>
        <w:spacing w:before="156" w:after="156"/>
        <w:rPr>
          <w:color w:val="auto"/>
        </w:rPr>
      </w:pPr>
      <w:bookmarkStart w:id="134" w:name="_Toc16232"/>
      <w:bookmarkStart w:id="135" w:name="_Toc476314998"/>
      <w:r>
        <w:rPr>
          <w:rFonts w:hint="eastAsia"/>
          <w:color w:val="auto"/>
          <w:lang w:eastAsia="zh-CN"/>
        </w:rPr>
        <w:t>10.</w:t>
      </w:r>
      <w:r>
        <w:rPr>
          <w:rFonts w:hint="eastAsia"/>
          <w:color w:val="auto"/>
        </w:rPr>
        <w:t>1责任</w:t>
      </w:r>
      <w:bookmarkEnd w:id="134"/>
      <w:bookmarkEnd w:id="135"/>
    </w:p>
    <w:p w14:paraId="7677626E">
      <w:pPr>
        <w:pStyle w:val="31"/>
        <w:rPr>
          <w:color w:val="auto"/>
        </w:rPr>
      </w:pPr>
      <w:r>
        <w:rPr>
          <w:rFonts w:hint="eastAsia"/>
          <w:color w:val="auto"/>
          <w:lang w:eastAsia="zh-CN"/>
        </w:rPr>
        <w:t>江西洪城水业环保有限公司资溪县分公司</w:t>
      </w:r>
      <w:r>
        <w:rPr>
          <w:rFonts w:hint="eastAsia"/>
          <w:color w:val="auto"/>
        </w:rPr>
        <w:t>应急处置工作实行行政领导责任制和责任追究制。</w:t>
      </w:r>
    </w:p>
    <w:p w14:paraId="5703EDBE">
      <w:pPr>
        <w:pStyle w:val="5"/>
        <w:spacing w:before="156" w:after="156"/>
        <w:rPr>
          <w:color w:val="auto"/>
        </w:rPr>
      </w:pPr>
      <w:bookmarkStart w:id="136" w:name="_Toc476314999"/>
      <w:bookmarkStart w:id="137" w:name="_Toc10452"/>
      <w:r>
        <w:rPr>
          <w:rFonts w:hint="eastAsia"/>
          <w:color w:val="auto"/>
          <w:lang w:eastAsia="zh-CN"/>
        </w:rPr>
        <w:t>10.</w:t>
      </w:r>
      <w:r>
        <w:rPr>
          <w:rFonts w:hint="eastAsia"/>
          <w:color w:val="auto"/>
        </w:rPr>
        <w:t>2奖励</w:t>
      </w:r>
      <w:bookmarkEnd w:id="136"/>
      <w:bookmarkEnd w:id="137"/>
    </w:p>
    <w:p w14:paraId="2446D08A">
      <w:pPr>
        <w:pStyle w:val="31"/>
        <w:rPr>
          <w:color w:val="auto"/>
        </w:rPr>
      </w:pPr>
      <w:r>
        <w:rPr>
          <w:rFonts w:hint="eastAsia"/>
          <w:color w:val="auto"/>
        </w:rPr>
        <w:t>在突发环境事件应急救援工作中有下列表现之一的单位和个人，依据有关规定给予奖励：</w:t>
      </w:r>
    </w:p>
    <w:p w14:paraId="21882A89">
      <w:pPr>
        <w:pStyle w:val="31"/>
        <w:rPr>
          <w:color w:val="auto"/>
        </w:rPr>
      </w:pPr>
      <w:r>
        <w:rPr>
          <w:rFonts w:hint="eastAsia"/>
          <w:color w:val="auto"/>
        </w:rPr>
        <w:t>(1)出色完成应急处置任务，成绩显著的；</w:t>
      </w:r>
    </w:p>
    <w:p w14:paraId="191B432E">
      <w:pPr>
        <w:pStyle w:val="31"/>
        <w:rPr>
          <w:color w:val="auto"/>
        </w:rPr>
      </w:pPr>
      <w:r>
        <w:rPr>
          <w:rFonts w:hint="eastAsia"/>
          <w:color w:val="auto"/>
        </w:rPr>
        <w:t>(2)防止或抢救事故灾难有功，使国家、集体和人民群众的财产免受损失或者减少损失的；</w:t>
      </w:r>
    </w:p>
    <w:p w14:paraId="09EC4431">
      <w:pPr>
        <w:pStyle w:val="31"/>
        <w:rPr>
          <w:color w:val="auto"/>
        </w:rPr>
      </w:pPr>
      <w:r>
        <w:rPr>
          <w:rFonts w:hint="eastAsia"/>
          <w:color w:val="auto"/>
        </w:rPr>
        <w:t>(3)对应急救援工作提出重大建议，实施效果显著的；</w:t>
      </w:r>
    </w:p>
    <w:p w14:paraId="0833C0CD">
      <w:pPr>
        <w:pStyle w:val="31"/>
        <w:rPr>
          <w:color w:val="auto"/>
        </w:rPr>
      </w:pPr>
      <w:r>
        <w:rPr>
          <w:rFonts w:hint="eastAsia"/>
          <w:color w:val="auto"/>
        </w:rPr>
        <w:t>(4)有其它特殊贡献的。</w:t>
      </w:r>
    </w:p>
    <w:p w14:paraId="4D0CD2D3">
      <w:pPr>
        <w:pStyle w:val="5"/>
        <w:spacing w:before="156" w:after="156"/>
        <w:rPr>
          <w:color w:val="auto"/>
        </w:rPr>
      </w:pPr>
      <w:bookmarkStart w:id="138" w:name="_Toc476315000"/>
      <w:bookmarkStart w:id="139" w:name="_Toc17975"/>
      <w:r>
        <w:rPr>
          <w:rFonts w:hint="eastAsia"/>
          <w:color w:val="auto"/>
          <w:lang w:eastAsia="zh-CN"/>
        </w:rPr>
        <w:t>10.</w:t>
      </w:r>
      <w:r>
        <w:rPr>
          <w:rFonts w:hint="eastAsia"/>
          <w:color w:val="auto"/>
        </w:rPr>
        <w:t>3惩罚</w:t>
      </w:r>
      <w:bookmarkEnd w:id="138"/>
      <w:bookmarkEnd w:id="139"/>
    </w:p>
    <w:p w14:paraId="3DC9AC9B">
      <w:pPr>
        <w:pStyle w:val="31"/>
        <w:rPr>
          <w:color w:val="auto"/>
        </w:rPr>
      </w:pPr>
      <w:r>
        <w:rPr>
          <w:rFonts w:hint="eastAsia"/>
          <w:color w:val="auto"/>
          <w:lang w:eastAsia="zh-CN"/>
        </w:rPr>
        <w:t>江西洪城水业环保有限公司资溪县分公司应急指挥中心</w:t>
      </w:r>
      <w:r>
        <w:rPr>
          <w:rFonts w:hint="eastAsia"/>
          <w:color w:val="auto"/>
        </w:rPr>
        <w:t>对迟报、谎报、瞒报和漏报重特大突发环境事件重要情况或应急工作中有其他失职、渎职行为的，按照相关法规和</w:t>
      </w:r>
      <w:r>
        <w:rPr>
          <w:rFonts w:hint="eastAsia"/>
          <w:color w:val="auto"/>
          <w:lang w:eastAsia="zh-CN"/>
        </w:rPr>
        <w:t>江西洪城水业环保有限公司资溪县分公司</w:t>
      </w:r>
      <w:r>
        <w:rPr>
          <w:rFonts w:hint="eastAsia"/>
          <w:color w:val="auto"/>
        </w:rPr>
        <w:t>管理制度规定对有关责任单位和责任人进行处理；对构成犯罪的，移交司法机关，依法追究刑事责任。</w:t>
      </w:r>
    </w:p>
    <w:p w14:paraId="52CD3901">
      <w:pPr>
        <w:pStyle w:val="31"/>
        <w:rPr>
          <w:color w:val="auto"/>
        </w:rPr>
      </w:pPr>
    </w:p>
    <w:p w14:paraId="1C98CFE5">
      <w:pPr>
        <w:pStyle w:val="31"/>
        <w:rPr>
          <w:color w:val="auto"/>
        </w:rPr>
      </w:pPr>
    </w:p>
    <w:p w14:paraId="2B47FF11">
      <w:pPr>
        <w:pStyle w:val="31"/>
        <w:rPr>
          <w:color w:val="auto"/>
        </w:rPr>
      </w:pPr>
    </w:p>
    <w:p w14:paraId="36BEC905">
      <w:pPr>
        <w:pStyle w:val="31"/>
        <w:rPr>
          <w:color w:val="auto"/>
        </w:rPr>
      </w:pPr>
    </w:p>
    <w:p w14:paraId="5467B6CE">
      <w:pPr>
        <w:pStyle w:val="31"/>
        <w:rPr>
          <w:color w:val="auto"/>
        </w:rPr>
      </w:pPr>
    </w:p>
    <w:p w14:paraId="4B484946">
      <w:pPr>
        <w:pStyle w:val="31"/>
        <w:rPr>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5175CE6A">
      <w:pPr>
        <w:pStyle w:val="4"/>
        <w:spacing w:before="156" w:after="156"/>
        <w:rPr>
          <w:color w:val="auto"/>
        </w:rPr>
      </w:pPr>
      <w:bookmarkStart w:id="140" w:name="_Toc476315001"/>
      <w:bookmarkStart w:id="141" w:name="_Toc12296"/>
      <w:r>
        <w:rPr>
          <w:rFonts w:hint="eastAsia"/>
          <w:color w:val="auto"/>
        </w:rPr>
        <w:t>1</w:t>
      </w:r>
      <w:r>
        <w:rPr>
          <w:rFonts w:hint="eastAsia"/>
          <w:color w:val="auto"/>
          <w:lang w:val="en-US" w:eastAsia="zh-CN"/>
        </w:rPr>
        <w:t>1</w:t>
      </w:r>
      <w:r>
        <w:rPr>
          <w:rFonts w:hint="eastAsia"/>
          <w:color w:val="auto"/>
        </w:rPr>
        <w:t>预案的评审、发布和更新</w:t>
      </w:r>
      <w:bookmarkEnd w:id="140"/>
      <w:bookmarkEnd w:id="141"/>
    </w:p>
    <w:p w14:paraId="0005D45A">
      <w:pPr>
        <w:pStyle w:val="5"/>
        <w:spacing w:before="156" w:after="156"/>
        <w:rPr>
          <w:color w:val="auto"/>
        </w:rPr>
      </w:pPr>
      <w:bookmarkStart w:id="142" w:name="_Toc32724"/>
      <w:bookmarkStart w:id="143" w:name="_Toc476315002"/>
      <w:r>
        <w:rPr>
          <w:rFonts w:hint="eastAsia"/>
          <w:color w:val="auto"/>
          <w:lang w:eastAsia="zh-CN"/>
        </w:rPr>
        <w:t>11.</w:t>
      </w:r>
      <w:r>
        <w:rPr>
          <w:rFonts w:hint="eastAsia"/>
          <w:color w:val="auto"/>
        </w:rPr>
        <w:t>1预案评审、备案</w:t>
      </w:r>
      <w:bookmarkEnd w:id="142"/>
      <w:bookmarkEnd w:id="143"/>
    </w:p>
    <w:p w14:paraId="5EC887BC">
      <w:pPr>
        <w:pStyle w:val="31"/>
        <w:rPr>
          <w:color w:val="auto"/>
        </w:rPr>
      </w:pPr>
      <w:r>
        <w:rPr>
          <w:color w:val="auto"/>
        </w:rPr>
        <w:t>(1)内部评审</w:t>
      </w:r>
    </w:p>
    <w:p w14:paraId="0C420466">
      <w:pPr>
        <w:pStyle w:val="31"/>
        <w:rPr>
          <w:color w:val="auto"/>
        </w:rPr>
      </w:pPr>
      <w:r>
        <w:rPr>
          <w:rFonts w:hint="eastAsia"/>
          <w:color w:val="auto"/>
        </w:rPr>
        <w:t>由</w:t>
      </w:r>
      <w:r>
        <w:rPr>
          <w:rFonts w:hint="eastAsia"/>
          <w:color w:val="auto"/>
          <w:lang w:eastAsia="zh-CN"/>
        </w:rPr>
        <w:t>江西洪城水业环保有限公司资溪县分公司</w:t>
      </w:r>
      <w:r>
        <w:rPr>
          <w:rFonts w:hint="eastAsia"/>
          <w:color w:val="auto"/>
        </w:rPr>
        <w:t>根据应急演练的结果以及其他相关信息，组织有关部门和专家对应急预案进行评审，以确保预案的持续适宜性、有效性和科学性。评审时间和评审方式依具体情况而定。</w:t>
      </w:r>
    </w:p>
    <w:p w14:paraId="07B6C6B9">
      <w:pPr>
        <w:pStyle w:val="31"/>
        <w:rPr>
          <w:color w:val="auto"/>
        </w:rPr>
      </w:pPr>
      <w:r>
        <w:rPr>
          <w:color w:val="auto"/>
        </w:rPr>
        <w:t>(2)外部评审</w:t>
      </w:r>
    </w:p>
    <w:p w14:paraId="45A2D22D">
      <w:pPr>
        <w:pStyle w:val="31"/>
        <w:rPr>
          <w:color w:val="auto"/>
        </w:rPr>
      </w:pPr>
      <w:r>
        <w:rPr>
          <w:rFonts w:hint="eastAsia"/>
          <w:color w:val="auto"/>
        </w:rPr>
        <w:t>应急预案发布前，应报送</w:t>
      </w:r>
      <w:r>
        <w:rPr>
          <w:color w:val="auto"/>
        </w:rPr>
        <w:t>受理备案登记的环境保护主管部门</w:t>
      </w:r>
      <w:r>
        <w:rPr>
          <w:rFonts w:hint="eastAsia"/>
          <w:color w:val="auto"/>
        </w:rPr>
        <w:t>组织专家审查。</w:t>
      </w:r>
    </w:p>
    <w:p w14:paraId="59A74C74">
      <w:pPr>
        <w:pStyle w:val="31"/>
        <w:rPr>
          <w:color w:val="auto"/>
        </w:rPr>
      </w:pPr>
      <w:r>
        <w:rPr>
          <w:color w:val="auto"/>
        </w:rPr>
        <w:t>(</w:t>
      </w:r>
      <w:r>
        <w:rPr>
          <w:rFonts w:hint="eastAsia"/>
          <w:color w:val="auto"/>
        </w:rPr>
        <w:t>3</w:t>
      </w:r>
      <w:r>
        <w:rPr>
          <w:color w:val="auto"/>
        </w:rPr>
        <w:t>)</w:t>
      </w:r>
      <w:r>
        <w:rPr>
          <w:rFonts w:hint="eastAsia"/>
          <w:color w:val="auto"/>
        </w:rPr>
        <w:t>备案</w:t>
      </w:r>
    </w:p>
    <w:p w14:paraId="7B8CA7B4">
      <w:pPr>
        <w:pStyle w:val="31"/>
        <w:rPr>
          <w:color w:val="auto"/>
        </w:rPr>
      </w:pPr>
      <w:r>
        <w:rPr>
          <w:rFonts w:hint="eastAsia"/>
          <w:color w:val="auto"/>
        </w:rPr>
        <w:t>应急</w:t>
      </w:r>
      <w:r>
        <w:rPr>
          <w:color w:val="auto"/>
        </w:rPr>
        <w:t>预案经评审</w:t>
      </w:r>
      <w:r>
        <w:rPr>
          <w:rFonts w:hint="eastAsia"/>
          <w:color w:val="auto"/>
        </w:rPr>
        <w:t>修改</w:t>
      </w:r>
      <w:r>
        <w:rPr>
          <w:color w:val="auto"/>
        </w:rPr>
        <w:t>完善后，</w:t>
      </w:r>
      <w:r>
        <w:rPr>
          <w:rFonts w:hint="eastAsia"/>
          <w:color w:val="auto"/>
        </w:rPr>
        <w:t>由</w:t>
      </w:r>
      <w:r>
        <w:rPr>
          <w:rFonts w:hint="eastAsia"/>
          <w:color w:val="auto"/>
          <w:lang w:eastAsia="zh-CN"/>
        </w:rPr>
        <w:t>江西洪城水业环保有限公司资溪县分公司</w:t>
      </w:r>
      <w:r>
        <w:rPr>
          <w:rFonts w:hint="eastAsia"/>
          <w:color w:val="auto"/>
        </w:rPr>
        <w:t>总经理签发后正式</w:t>
      </w:r>
      <w:r>
        <w:rPr>
          <w:color w:val="auto"/>
        </w:rPr>
        <w:t>发布，</w:t>
      </w:r>
      <w:r>
        <w:rPr>
          <w:rFonts w:hint="eastAsia"/>
          <w:color w:val="auto"/>
        </w:rPr>
        <w:t>并抄送给有关部门、社区和政府部门，建立发放登记，记录发放时间、发放分数、接收部门、接收时间、签收人等有关信息。同时</w:t>
      </w:r>
      <w:r>
        <w:rPr>
          <w:color w:val="auto"/>
        </w:rPr>
        <w:t>按规定报有关部门备案。</w:t>
      </w:r>
    </w:p>
    <w:p w14:paraId="4499A1CA">
      <w:pPr>
        <w:pStyle w:val="31"/>
        <w:rPr>
          <w:color w:val="auto"/>
        </w:rPr>
      </w:pPr>
      <w:r>
        <w:rPr>
          <w:rFonts w:hint="eastAsia"/>
          <w:color w:val="auto"/>
        </w:rPr>
        <w:t>更新后的应急预案重新进行</w:t>
      </w:r>
      <w:r>
        <w:rPr>
          <w:color w:val="auto"/>
        </w:rPr>
        <w:t>评审发布并及时备案。</w:t>
      </w:r>
    </w:p>
    <w:p w14:paraId="0B8E7CBB">
      <w:pPr>
        <w:pStyle w:val="5"/>
        <w:spacing w:before="156" w:after="156"/>
        <w:rPr>
          <w:color w:val="auto"/>
        </w:rPr>
      </w:pPr>
      <w:bookmarkStart w:id="144" w:name="_Toc12069"/>
      <w:bookmarkStart w:id="145" w:name="_Toc476315003"/>
      <w:r>
        <w:rPr>
          <w:rFonts w:hint="eastAsia"/>
          <w:color w:val="auto"/>
          <w:lang w:eastAsia="zh-CN"/>
        </w:rPr>
        <w:t>11.</w:t>
      </w:r>
      <w:r>
        <w:rPr>
          <w:rFonts w:hint="eastAsia"/>
          <w:color w:val="auto"/>
        </w:rPr>
        <w:t>2预案更新</w:t>
      </w:r>
      <w:bookmarkEnd w:id="144"/>
      <w:bookmarkEnd w:id="145"/>
    </w:p>
    <w:p w14:paraId="4A4A794A">
      <w:pPr>
        <w:pStyle w:val="31"/>
        <w:rPr>
          <w:color w:val="auto"/>
        </w:rPr>
      </w:pPr>
      <w:r>
        <w:rPr>
          <w:rFonts w:hint="eastAsia"/>
          <w:color w:val="auto"/>
        </w:rPr>
        <w:t>应急预案每三年至少修订更新一次，有下列情况之一的，对应急预案进行及时更新：</w:t>
      </w:r>
    </w:p>
    <w:p w14:paraId="4C5C15A6">
      <w:pPr>
        <w:pStyle w:val="31"/>
        <w:rPr>
          <w:color w:val="auto"/>
        </w:rPr>
      </w:pPr>
      <w:r>
        <w:rPr>
          <w:rFonts w:hint="eastAsia"/>
          <w:color w:val="auto"/>
        </w:rPr>
        <w:t>(1)面临的环境风险发生重大变化，需要重新进行环境风险评估的；</w:t>
      </w:r>
    </w:p>
    <w:p w14:paraId="08B802A4">
      <w:pPr>
        <w:pStyle w:val="31"/>
        <w:rPr>
          <w:color w:val="auto"/>
        </w:rPr>
      </w:pPr>
      <w:r>
        <w:rPr>
          <w:rFonts w:hint="eastAsia"/>
          <w:color w:val="auto"/>
        </w:rPr>
        <w:t>(2)生产工序生产工艺和技术发生变化的；</w:t>
      </w:r>
    </w:p>
    <w:p w14:paraId="218A8955">
      <w:pPr>
        <w:pStyle w:val="31"/>
        <w:rPr>
          <w:color w:val="auto"/>
        </w:rPr>
      </w:pPr>
      <w:r>
        <w:rPr>
          <w:rFonts w:hint="eastAsia"/>
          <w:color w:val="auto"/>
        </w:rPr>
        <w:t>(3)应急管理组织指挥体系与职责发生重大变化的；</w:t>
      </w:r>
    </w:p>
    <w:p w14:paraId="35CE858B">
      <w:pPr>
        <w:pStyle w:val="31"/>
        <w:rPr>
          <w:color w:val="auto"/>
        </w:rPr>
      </w:pPr>
      <w:r>
        <w:rPr>
          <w:rFonts w:hint="eastAsia"/>
          <w:color w:val="auto"/>
        </w:rPr>
        <w:t>(4)环境应急监测预警及报告机制、应对流程和措施、应急保障措施发生重大变化的；</w:t>
      </w:r>
    </w:p>
    <w:p w14:paraId="11642EA6">
      <w:pPr>
        <w:pStyle w:val="31"/>
        <w:rPr>
          <w:color w:val="auto"/>
        </w:rPr>
      </w:pPr>
      <w:r>
        <w:rPr>
          <w:rFonts w:hint="eastAsia"/>
          <w:color w:val="auto"/>
        </w:rPr>
        <w:t>(5)重要应急资源发生重大变化的；</w:t>
      </w:r>
    </w:p>
    <w:p w14:paraId="5D4822AD">
      <w:pPr>
        <w:pStyle w:val="31"/>
        <w:rPr>
          <w:color w:val="auto"/>
        </w:rPr>
      </w:pPr>
      <w:r>
        <w:rPr>
          <w:rFonts w:hint="eastAsia"/>
          <w:color w:val="auto"/>
        </w:rPr>
        <w:t>(6)在突发事件实际应对和应急演练中发现问题，需要对环境应急预案作出重大调整的；</w:t>
      </w:r>
    </w:p>
    <w:p w14:paraId="76B3313E">
      <w:pPr>
        <w:pStyle w:val="31"/>
        <w:rPr>
          <w:color w:val="auto"/>
        </w:rPr>
      </w:pPr>
      <w:r>
        <w:rPr>
          <w:rFonts w:hint="eastAsia"/>
          <w:color w:val="auto"/>
        </w:rPr>
        <w:t>(7)周围环境或者环境敏感点发生变化的；</w:t>
      </w:r>
    </w:p>
    <w:p w14:paraId="61CDE3A9">
      <w:pPr>
        <w:pStyle w:val="31"/>
        <w:rPr>
          <w:color w:val="auto"/>
        </w:rPr>
      </w:pPr>
      <w:r>
        <w:rPr>
          <w:rFonts w:hint="eastAsia"/>
          <w:color w:val="auto"/>
        </w:rPr>
        <w:t>(8)环境应急预案依据的法律、法规、规章等发生变化的；</w:t>
      </w:r>
    </w:p>
    <w:p w14:paraId="5A85A35D">
      <w:pPr>
        <w:pStyle w:val="31"/>
        <w:rPr>
          <w:color w:val="auto"/>
        </w:rPr>
      </w:pPr>
      <w:r>
        <w:rPr>
          <w:rFonts w:hint="eastAsia"/>
          <w:color w:val="auto"/>
        </w:rPr>
        <w:t>(9)公司按照环境风险评估报告中整改计划整改后；</w:t>
      </w:r>
    </w:p>
    <w:p w14:paraId="38BA07FA">
      <w:pPr>
        <w:pStyle w:val="31"/>
        <w:rPr>
          <w:color w:val="auto"/>
        </w:rPr>
      </w:pPr>
      <w:r>
        <w:rPr>
          <w:rFonts w:hint="eastAsia"/>
          <w:color w:val="auto"/>
        </w:rPr>
        <w:t>(10)环境保护主管部门或者公司认为适时修订的其它情形。</w:t>
      </w:r>
    </w:p>
    <w:p w14:paraId="5666612B">
      <w:pPr>
        <w:pStyle w:val="31"/>
        <w:rPr>
          <w:color w:val="auto"/>
        </w:rPr>
      </w:pPr>
    </w:p>
    <w:p w14:paraId="56948C48">
      <w:pPr>
        <w:pStyle w:val="31"/>
        <w:rPr>
          <w:color w:val="auto"/>
        </w:rPr>
      </w:pPr>
    </w:p>
    <w:p w14:paraId="280A377A">
      <w:pPr>
        <w:pStyle w:val="31"/>
        <w:rPr>
          <w:color w:val="auto"/>
        </w:rPr>
      </w:pPr>
    </w:p>
    <w:p w14:paraId="5D595581">
      <w:pPr>
        <w:pStyle w:val="31"/>
        <w:rPr>
          <w:color w:val="auto"/>
        </w:rPr>
      </w:pPr>
    </w:p>
    <w:p w14:paraId="7477B651">
      <w:pPr>
        <w:pStyle w:val="31"/>
        <w:rPr>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1E5107A8">
      <w:pPr>
        <w:pStyle w:val="4"/>
        <w:spacing w:before="156" w:after="156"/>
        <w:rPr>
          <w:color w:val="auto"/>
        </w:rPr>
      </w:pPr>
      <w:bookmarkStart w:id="146" w:name="_Toc12743"/>
      <w:bookmarkStart w:id="147" w:name="_Toc476315004"/>
      <w:r>
        <w:rPr>
          <w:rFonts w:hint="eastAsia"/>
          <w:color w:val="auto"/>
        </w:rPr>
        <w:t>1</w:t>
      </w:r>
      <w:r>
        <w:rPr>
          <w:rFonts w:hint="eastAsia"/>
          <w:color w:val="auto"/>
          <w:lang w:val="en-US" w:eastAsia="zh-CN"/>
        </w:rPr>
        <w:t>2</w:t>
      </w:r>
      <w:r>
        <w:rPr>
          <w:rFonts w:hint="eastAsia"/>
          <w:color w:val="auto"/>
        </w:rPr>
        <w:t>预案的实施和生效的时间</w:t>
      </w:r>
      <w:bookmarkEnd w:id="146"/>
      <w:bookmarkEnd w:id="147"/>
    </w:p>
    <w:p w14:paraId="6E603A4F">
      <w:pPr>
        <w:pStyle w:val="31"/>
        <w:rPr>
          <w:color w:val="auto"/>
        </w:rPr>
      </w:pPr>
      <w:r>
        <w:rPr>
          <w:rFonts w:hint="eastAsia"/>
          <w:color w:val="auto"/>
        </w:rPr>
        <w:t>(1)</w:t>
      </w:r>
      <w:r>
        <w:rPr>
          <w:color w:val="auto"/>
        </w:rPr>
        <w:t>本预案由</w:t>
      </w:r>
      <w:r>
        <w:rPr>
          <w:rFonts w:hint="eastAsia"/>
          <w:color w:val="auto"/>
          <w:lang w:eastAsia="zh-CN"/>
        </w:rPr>
        <w:t>江西洪城水业环保有限公司资溪县分公司</w:t>
      </w:r>
      <w:r>
        <w:rPr>
          <w:color w:val="auto"/>
        </w:rPr>
        <w:t>制定发布，由</w:t>
      </w:r>
      <w:r>
        <w:rPr>
          <w:rFonts w:hint="eastAsia"/>
          <w:color w:val="auto"/>
          <w:lang w:eastAsia="zh-CN"/>
        </w:rPr>
        <w:t>江西洪城水业环保有限公司资溪县分公司</w:t>
      </w:r>
      <w:r>
        <w:rPr>
          <w:color w:val="auto"/>
        </w:rPr>
        <w:t>负责解释与组织实施。</w:t>
      </w:r>
    </w:p>
    <w:p w14:paraId="0800A428">
      <w:pPr>
        <w:pStyle w:val="31"/>
        <w:rPr>
          <w:color w:val="auto"/>
        </w:rPr>
      </w:pPr>
      <w:r>
        <w:rPr>
          <w:rFonts w:hint="eastAsia"/>
          <w:color w:val="auto"/>
        </w:rPr>
        <w:t>(2)</w:t>
      </w:r>
      <w:r>
        <w:rPr>
          <w:color w:val="auto"/>
        </w:rPr>
        <w:t>本预案自</w:t>
      </w:r>
      <w:r>
        <w:rPr>
          <w:rFonts w:hint="eastAsia"/>
          <w:color w:val="auto"/>
        </w:rPr>
        <w:t>发布之日起生效</w:t>
      </w:r>
      <w:r>
        <w:rPr>
          <w:color w:val="auto"/>
        </w:rPr>
        <w:t>。</w:t>
      </w:r>
    </w:p>
    <w:p w14:paraId="0C0401EB">
      <w:pPr>
        <w:rPr>
          <w:color w:val="auto"/>
        </w:rPr>
      </w:pPr>
      <w:r>
        <w:rPr>
          <w:color w:val="auto"/>
        </w:rPr>
        <w:br w:type="page"/>
      </w:r>
    </w:p>
    <w:p w14:paraId="242B29B4">
      <w:pPr>
        <w:adjustRightInd w:val="0"/>
        <w:snapToGrid w:val="0"/>
        <w:ind w:firstLine="0" w:firstLineChars="0"/>
        <w:jc w:val="center"/>
        <w:rPr>
          <w:rFonts w:hint="eastAsia" w:ascii="黑体" w:hAnsi="宋体" w:eastAsia="黑体"/>
          <w:b/>
          <w:bCs/>
          <w:color w:val="auto"/>
          <w:sz w:val="52"/>
          <w:szCs w:val="52"/>
          <w:lang w:eastAsia="zh-CN"/>
        </w:rPr>
      </w:pPr>
    </w:p>
    <w:p w14:paraId="38CE85D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0"/>
        <w:rPr>
          <w:rFonts w:hint="eastAsia" w:ascii="黑体" w:hAnsi="宋体" w:eastAsia="黑体"/>
          <w:b/>
          <w:bCs/>
          <w:color w:val="auto"/>
          <w:sz w:val="48"/>
          <w:szCs w:val="48"/>
        </w:rPr>
      </w:pPr>
      <w:bookmarkStart w:id="148" w:name="_Toc29200"/>
      <w:r>
        <w:rPr>
          <w:rFonts w:hint="eastAsia" w:ascii="黑体" w:hAnsi="宋体" w:eastAsia="黑体"/>
          <w:b/>
          <w:bCs/>
          <w:color w:val="auto"/>
          <w:sz w:val="48"/>
          <w:szCs w:val="48"/>
          <w:lang w:eastAsia="zh-CN"/>
        </w:rPr>
        <w:t>江西洪城水业环保有限公司资溪县分公司</w:t>
      </w:r>
      <w:r>
        <w:rPr>
          <w:rFonts w:hint="eastAsia" w:ascii="黑体" w:hAnsi="宋体" w:eastAsia="黑体"/>
          <w:b/>
          <w:bCs/>
          <w:color w:val="auto"/>
          <w:sz w:val="48"/>
          <w:szCs w:val="48"/>
        </w:rPr>
        <w:t>危险废物</w:t>
      </w:r>
      <w:r>
        <w:rPr>
          <w:rFonts w:hint="eastAsia" w:ascii="黑体" w:hAnsi="宋体" w:eastAsia="黑体"/>
          <w:b/>
          <w:bCs/>
          <w:color w:val="auto"/>
          <w:sz w:val="48"/>
          <w:szCs w:val="48"/>
          <w:lang w:eastAsia="zh-CN"/>
        </w:rPr>
        <w:t>（</w:t>
      </w:r>
      <w:r>
        <w:rPr>
          <w:rFonts w:hint="eastAsia" w:ascii="黑体" w:hAnsi="宋体" w:eastAsia="黑体"/>
          <w:b/>
          <w:bCs/>
          <w:color w:val="auto"/>
          <w:sz w:val="48"/>
          <w:szCs w:val="48"/>
          <w:lang w:val="en-US" w:eastAsia="zh-CN"/>
        </w:rPr>
        <w:t>固废</w:t>
      </w:r>
      <w:r>
        <w:rPr>
          <w:rFonts w:hint="eastAsia" w:ascii="黑体" w:hAnsi="宋体" w:eastAsia="黑体"/>
          <w:b/>
          <w:bCs/>
          <w:color w:val="auto"/>
          <w:sz w:val="48"/>
          <w:szCs w:val="48"/>
          <w:lang w:eastAsia="zh-CN"/>
        </w:rPr>
        <w:t>）</w:t>
      </w:r>
      <w:r>
        <w:rPr>
          <w:rFonts w:hint="eastAsia" w:ascii="黑体" w:hAnsi="宋体" w:eastAsia="黑体"/>
          <w:b/>
          <w:bCs/>
          <w:color w:val="auto"/>
          <w:sz w:val="48"/>
          <w:szCs w:val="48"/>
        </w:rPr>
        <w:t>专项应急预案</w:t>
      </w:r>
      <w:bookmarkEnd w:id="148"/>
    </w:p>
    <w:p w14:paraId="0A7BFD4D">
      <w:pPr>
        <w:widowControl/>
        <w:spacing w:line="375" w:lineRule="atLeast"/>
        <w:jc w:val="left"/>
        <w:rPr>
          <w:color w:val="auto"/>
          <w:kern w:val="0"/>
        </w:rPr>
      </w:pPr>
    </w:p>
    <w:p w14:paraId="0F9BDA29">
      <w:pPr>
        <w:adjustRightInd w:val="0"/>
        <w:snapToGrid w:val="0"/>
        <w:ind w:firstLine="482"/>
        <w:rPr>
          <w:rFonts w:hint="eastAsia"/>
          <w:b/>
          <w:bCs/>
          <w:color w:val="auto"/>
        </w:rPr>
      </w:pPr>
    </w:p>
    <w:p w14:paraId="59F2EE7A">
      <w:pPr>
        <w:adjustRightInd w:val="0"/>
        <w:snapToGrid w:val="0"/>
        <w:ind w:firstLine="482"/>
        <w:jc w:val="center"/>
        <w:rPr>
          <w:b/>
          <w:bCs/>
          <w:color w:val="auto"/>
        </w:rPr>
      </w:pPr>
    </w:p>
    <w:p w14:paraId="7B8666AD">
      <w:pPr>
        <w:adjustRightInd w:val="0"/>
        <w:snapToGrid w:val="0"/>
        <w:ind w:firstLine="482"/>
        <w:jc w:val="center"/>
        <w:rPr>
          <w:b/>
          <w:bCs/>
          <w:color w:val="auto"/>
        </w:rPr>
      </w:pPr>
    </w:p>
    <w:p w14:paraId="5BC64723">
      <w:pPr>
        <w:adjustRightInd w:val="0"/>
        <w:snapToGrid w:val="0"/>
        <w:ind w:firstLine="562"/>
        <w:jc w:val="center"/>
        <w:rPr>
          <w:rFonts w:hint="eastAsia"/>
          <w:b/>
          <w:bCs/>
          <w:color w:val="auto"/>
          <w:sz w:val="28"/>
          <w:szCs w:val="28"/>
        </w:rPr>
      </w:pPr>
    </w:p>
    <w:p w14:paraId="4ECCD4CA">
      <w:pPr>
        <w:adjustRightInd w:val="0"/>
        <w:snapToGrid w:val="0"/>
        <w:ind w:firstLine="562"/>
        <w:jc w:val="center"/>
        <w:rPr>
          <w:rFonts w:hint="eastAsia"/>
          <w:b/>
          <w:bCs/>
          <w:color w:val="auto"/>
          <w:sz w:val="28"/>
          <w:szCs w:val="28"/>
        </w:rPr>
      </w:pPr>
    </w:p>
    <w:p w14:paraId="11C285A7">
      <w:pPr>
        <w:adjustRightInd w:val="0"/>
        <w:snapToGrid w:val="0"/>
        <w:ind w:firstLine="562"/>
        <w:jc w:val="center"/>
        <w:rPr>
          <w:rFonts w:hint="eastAsia"/>
          <w:b/>
          <w:bCs/>
          <w:color w:val="auto"/>
          <w:sz w:val="28"/>
          <w:szCs w:val="28"/>
        </w:rPr>
      </w:pPr>
    </w:p>
    <w:p w14:paraId="413594DE">
      <w:pPr>
        <w:adjustRightInd w:val="0"/>
        <w:snapToGrid w:val="0"/>
        <w:ind w:firstLine="562"/>
        <w:jc w:val="center"/>
        <w:rPr>
          <w:rFonts w:hint="eastAsia"/>
          <w:b/>
          <w:bCs/>
          <w:color w:val="auto"/>
          <w:sz w:val="28"/>
          <w:szCs w:val="28"/>
        </w:rPr>
      </w:pPr>
    </w:p>
    <w:p w14:paraId="5113B0AD">
      <w:pPr>
        <w:adjustRightInd w:val="0"/>
        <w:snapToGrid w:val="0"/>
        <w:ind w:firstLine="562"/>
        <w:jc w:val="center"/>
        <w:rPr>
          <w:rFonts w:hint="eastAsia"/>
          <w:b/>
          <w:bCs/>
          <w:color w:val="auto"/>
          <w:sz w:val="28"/>
          <w:szCs w:val="28"/>
        </w:rPr>
      </w:pPr>
    </w:p>
    <w:p w14:paraId="7E152E7D">
      <w:pPr>
        <w:pStyle w:val="28"/>
        <w:rPr>
          <w:rFonts w:hint="eastAsia"/>
          <w:b/>
          <w:bCs/>
          <w:color w:val="auto"/>
          <w:sz w:val="28"/>
          <w:szCs w:val="28"/>
        </w:rPr>
      </w:pPr>
    </w:p>
    <w:p w14:paraId="61CA67EF">
      <w:pPr>
        <w:pStyle w:val="28"/>
        <w:rPr>
          <w:rFonts w:hint="eastAsia"/>
          <w:b/>
          <w:bCs/>
          <w:color w:val="auto"/>
          <w:sz w:val="28"/>
          <w:szCs w:val="28"/>
        </w:rPr>
      </w:pPr>
    </w:p>
    <w:p w14:paraId="2297D9E3">
      <w:pPr>
        <w:pStyle w:val="28"/>
        <w:rPr>
          <w:rFonts w:hint="eastAsia"/>
          <w:b/>
          <w:bCs/>
          <w:color w:val="auto"/>
          <w:sz w:val="28"/>
          <w:szCs w:val="28"/>
        </w:rPr>
      </w:pPr>
    </w:p>
    <w:p w14:paraId="5A071699">
      <w:pPr>
        <w:adjustRightInd w:val="0"/>
        <w:snapToGrid w:val="0"/>
        <w:ind w:firstLine="562"/>
        <w:jc w:val="center"/>
        <w:rPr>
          <w:rFonts w:hint="eastAsia"/>
          <w:b/>
          <w:bCs/>
          <w:color w:val="auto"/>
          <w:sz w:val="28"/>
          <w:szCs w:val="28"/>
        </w:rPr>
      </w:pPr>
    </w:p>
    <w:p w14:paraId="35B9181C">
      <w:pPr>
        <w:pStyle w:val="28"/>
        <w:rPr>
          <w:rFonts w:hint="eastAsia"/>
          <w:color w:val="auto"/>
        </w:rPr>
      </w:pPr>
    </w:p>
    <w:p w14:paraId="1FC13C36">
      <w:pPr>
        <w:adjustRightInd w:val="0"/>
        <w:snapToGrid w:val="0"/>
        <w:ind w:firstLine="562"/>
        <w:jc w:val="center"/>
        <w:rPr>
          <w:rFonts w:hint="eastAsia"/>
          <w:b/>
          <w:bCs/>
          <w:color w:val="auto"/>
          <w:sz w:val="28"/>
          <w:szCs w:val="28"/>
        </w:rPr>
      </w:pPr>
    </w:p>
    <w:tbl>
      <w:tblPr>
        <w:tblStyle w:val="23"/>
        <w:tblW w:w="8522" w:type="dxa"/>
        <w:jc w:val="center"/>
        <w:tblLayout w:type="fixed"/>
        <w:tblCellMar>
          <w:top w:w="0" w:type="dxa"/>
          <w:left w:w="108" w:type="dxa"/>
          <w:bottom w:w="0" w:type="dxa"/>
          <w:right w:w="108" w:type="dxa"/>
        </w:tblCellMar>
      </w:tblPr>
      <w:tblGrid>
        <w:gridCol w:w="8522"/>
      </w:tblGrid>
      <w:tr w14:paraId="633D1150">
        <w:tblPrEx>
          <w:tblCellMar>
            <w:top w:w="0" w:type="dxa"/>
            <w:left w:w="108" w:type="dxa"/>
            <w:bottom w:w="0" w:type="dxa"/>
            <w:right w:w="108" w:type="dxa"/>
          </w:tblCellMar>
        </w:tblPrEx>
        <w:trPr>
          <w:jc w:val="center"/>
        </w:trPr>
        <w:tc>
          <w:tcPr>
            <w:tcW w:w="8522" w:type="dxa"/>
            <w:vAlign w:val="center"/>
          </w:tcPr>
          <w:p w14:paraId="4C436DD6">
            <w:pPr>
              <w:adjustRightInd w:val="0"/>
              <w:snapToGrid w:val="0"/>
              <w:spacing w:after="60"/>
              <w:ind w:firstLine="0" w:firstLineChars="0"/>
              <w:jc w:val="center"/>
              <w:rPr>
                <w:rFonts w:hint="default" w:ascii="Times New Roman" w:hAnsi="Times New Roman" w:eastAsia="黑体" w:cs="Times New Roman"/>
                <w:b/>
                <w:bCs/>
                <w:color w:val="auto"/>
                <w:sz w:val="32"/>
                <w:szCs w:val="30"/>
                <w:lang w:eastAsia="zh-CN"/>
              </w:rPr>
            </w:pPr>
            <w:r>
              <w:rPr>
                <w:rFonts w:hint="eastAsia" w:ascii="Times New Roman" w:hAnsi="Times New Roman" w:eastAsia="黑体" w:cs="Times New Roman"/>
                <w:b/>
                <w:bCs/>
                <w:color w:val="auto"/>
                <w:sz w:val="32"/>
                <w:szCs w:val="30"/>
                <w:lang w:eastAsia="zh-CN"/>
              </w:rPr>
              <w:t>江西洪城水业环保有限公司</w:t>
            </w:r>
            <w:r>
              <w:rPr>
                <w:rFonts w:hint="eastAsia" w:eastAsia="黑体" w:cs="Times New Roman"/>
                <w:b/>
                <w:bCs/>
                <w:color w:val="auto"/>
                <w:sz w:val="32"/>
                <w:szCs w:val="30"/>
                <w:lang w:eastAsia="zh-CN"/>
              </w:rPr>
              <w:t>资溪</w:t>
            </w:r>
            <w:r>
              <w:rPr>
                <w:rFonts w:hint="eastAsia" w:ascii="Times New Roman" w:hAnsi="Times New Roman" w:eastAsia="黑体" w:cs="Times New Roman"/>
                <w:b/>
                <w:bCs/>
                <w:color w:val="auto"/>
                <w:sz w:val="32"/>
                <w:szCs w:val="30"/>
                <w:lang w:eastAsia="zh-CN"/>
              </w:rPr>
              <w:t>县分公司</w:t>
            </w:r>
          </w:p>
        </w:tc>
      </w:tr>
      <w:tr w14:paraId="0C506521">
        <w:tblPrEx>
          <w:tblCellMar>
            <w:top w:w="0" w:type="dxa"/>
            <w:left w:w="108" w:type="dxa"/>
            <w:bottom w:w="0" w:type="dxa"/>
            <w:right w:w="108" w:type="dxa"/>
          </w:tblCellMar>
        </w:tblPrEx>
        <w:trPr>
          <w:jc w:val="center"/>
        </w:trPr>
        <w:tc>
          <w:tcPr>
            <w:tcW w:w="8522" w:type="dxa"/>
            <w:vAlign w:val="center"/>
          </w:tcPr>
          <w:p w14:paraId="20B178EB">
            <w:pPr>
              <w:adjustRightInd w:val="0"/>
              <w:snapToGrid w:val="0"/>
              <w:spacing w:after="60"/>
              <w:ind w:firstLine="0" w:firstLineChars="0"/>
              <w:jc w:val="center"/>
              <w:rPr>
                <w:rFonts w:hint="default" w:ascii="Times New Roman" w:hAnsi="Times New Roman" w:eastAsia="黑体" w:cs="Times New Roman"/>
                <w:b/>
                <w:bCs/>
                <w:color w:val="auto"/>
                <w:sz w:val="32"/>
                <w:szCs w:val="30"/>
              </w:rPr>
            </w:pPr>
            <w:r>
              <w:rPr>
                <w:rFonts w:hint="default" w:ascii="Times New Roman" w:hAnsi="Times New Roman" w:eastAsia="黑体" w:cs="Times New Roman"/>
                <w:b/>
                <w:bCs/>
                <w:color w:val="auto"/>
                <w:sz w:val="32"/>
                <w:szCs w:val="30"/>
              </w:rPr>
              <w:t>202</w:t>
            </w:r>
            <w:r>
              <w:rPr>
                <w:rFonts w:hint="eastAsia" w:ascii="Times New Roman" w:hAnsi="Times New Roman" w:eastAsia="黑体" w:cs="Times New Roman"/>
                <w:b/>
                <w:bCs/>
                <w:color w:val="auto"/>
                <w:sz w:val="32"/>
                <w:szCs w:val="30"/>
                <w:lang w:val="en-US" w:eastAsia="zh-CN"/>
              </w:rPr>
              <w:t>4</w:t>
            </w:r>
            <w:r>
              <w:rPr>
                <w:rFonts w:hint="default" w:ascii="Times New Roman" w:hAnsi="Times New Roman" w:eastAsia="黑体" w:cs="Times New Roman"/>
                <w:b/>
                <w:bCs/>
                <w:color w:val="auto"/>
                <w:sz w:val="32"/>
                <w:szCs w:val="30"/>
              </w:rPr>
              <w:t>年</w:t>
            </w:r>
            <w:r>
              <w:rPr>
                <w:rFonts w:hint="eastAsia" w:eastAsia="黑体" w:cs="Times New Roman"/>
                <w:b/>
                <w:bCs/>
                <w:color w:val="auto"/>
                <w:sz w:val="32"/>
                <w:szCs w:val="30"/>
                <w:lang w:val="en-US" w:eastAsia="zh-CN"/>
              </w:rPr>
              <w:t>7</w:t>
            </w:r>
            <w:r>
              <w:rPr>
                <w:rFonts w:hint="default" w:ascii="Times New Roman" w:hAnsi="Times New Roman" w:eastAsia="黑体" w:cs="Times New Roman"/>
                <w:b/>
                <w:bCs/>
                <w:color w:val="auto"/>
                <w:sz w:val="32"/>
                <w:szCs w:val="30"/>
              </w:rPr>
              <w:t>月</w:t>
            </w:r>
          </w:p>
        </w:tc>
      </w:tr>
    </w:tbl>
    <w:p w14:paraId="5FD67704">
      <w:pPr>
        <w:rPr>
          <w:rFonts w:hint="default" w:ascii="Times New Roman" w:hAnsi="Times New Roman" w:cs="Times New Roman"/>
          <w:color w:val="auto"/>
        </w:rPr>
      </w:pPr>
      <w:r>
        <w:rPr>
          <w:rFonts w:hint="default" w:ascii="Times New Roman" w:hAnsi="Times New Roman" w:cs="Times New Roman"/>
          <w:color w:val="auto"/>
        </w:rPr>
        <w:br w:type="page"/>
      </w:r>
    </w:p>
    <w:p w14:paraId="7D9734BE">
      <w:pPr>
        <w:pStyle w:val="15"/>
        <w:tabs>
          <w:tab w:val="left" w:pos="840"/>
          <w:tab w:val="right" w:leader="dot" w:pos="8296"/>
        </w:tabs>
        <w:spacing w:before="0" w:line="240" w:lineRule="auto"/>
        <w:ind w:firstLine="0" w:firstLineChars="0"/>
        <w:rPr>
          <w:rFonts w:hint="eastAsia" w:ascii="Times New Roman" w:hAnsi="Times New Roman" w:eastAsia="宋体" w:cs="Times New Roman"/>
          <w:color w:val="auto"/>
          <w:lang w:eastAsia="zh-CN"/>
        </w:rPr>
      </w:pPr>
      <w:r>
        <w:rPr>
          <w:rFonts w:hint="default" w:ascii="Times New Roman" w:hAnsi="Times New Roman" w:cs="Times New Roman"/>
          <w:color w:val="auto"/>
        </w:rPr>
        <w:t>1、</w:t>
      </w:r>
      <w:r>
        <w:rPr>
          <w:rFonts w:hint="eastAsia" w:ascii="Times New Roman" w:hAnsi="Times New Roman" w:cs="Times New Roman"/>
          <w:color w:val="auto"/>
          <w:lang w:val="en-US" w:eastAsia="zh-CN"/>
        </w:rPr>
        <w:t>总则</w:t>
      </w:r>
    </w:p>
    <w:p w14:paraId="735EA86C">
      <w:pPr>
        <w:rPr>
          <w:rFonts w:ascii="Times New Roman" w:hAnsi="Times New Roman" w:eastAsia="新宋体"/>
          <w:color w:val="auto"/>
        </w:rPr>
      </w:pPr>
      <w:r>
        <w:rPr>
          <w:rFonts w:ascii="Times New Roman" w:hAnsi="Times New Roman" w:eastAsia="新宋体"/>
          <w:color w:val="auto"/>
          <w:lang w:val="en-US" w:eastAsia="zh-CN"/>
        </w:rPr>
        <w:t>为了健全企业危险废物污染事件应急机制，提高企业对危险废物突发性</w:t>
      </w:r>
      <w:r>
        <w:rPr>
          <w:rFonts w:hint="eastAsia" w:ascii="Times New Roman" w:hAnsi="Times New Roman" w:eastAsia="新宋体"/>
          <w:color w:val="auto"/>
          <w:lang w:val="en-US" w:eastAsia="zh-CN"/>
        </w:rPr>
        <w:t>意外事故的应对能力，确保危险废物在产生到最终处置过程中，发生突发性意外是能够快速响应，有序行动，高效处置，降低危害维护和保障公众健康和财产安全。根究国家法律、法规和省应急相关要求，特制订江西洪城水业环保有限公司</w:t>
      </w:r>
      <w:r>
        <w:rPr>
          <w:rFonts w:hint="eastAsia" w:eastAsia="新宋体"/>
          <w:color w:val="auto"/>
          <w:lang w:val="en-US" w:eastAsia="zh-CN"/>
        </w:rPr>
        <w:t>资溪</w:t>
      </w:r>
      <w:r>
        <w:rPr>
          <w:rFonts w:hint="eastAsia" w:ascii="Times New Roman" w:hAnsi="Times New Roman" w:eastAsia="新宋体"/>
          <w:color w:val="auto"/>
          <w:lang w:val="en-US" w:eastAsia="zh-CN"/>
        </w:rPr>
        <w:t>县分公司危险废物专项应急预案。</w:t>
      </w:r>
    </w:p>
    <w:p w14:paraId="3E934D33">
      <w:pPr>
        <w:pStyle w:val="62"/>
        <w:rPr>
          <w:rFonts w:hint="default" w:ascii="Times New Roman" w:hAnsi="Times New Roman" w:eastAsia="宋体" w:cs="Times New Roman"/>
          <w:b/>
          <w:bCs/>
          <w:caps/>
          <w:color w:val="auto"/>
          <w:kern w:val="2"/>
          <w:sz w:val="24"/>
          <w:szCs w:val="24"/>
          <w:lang w:val="en-US" w:eastAsia="zh-CN" w:bidi="ar-SA"/>
        </w:rPr>
      </w:pPr>
      <w:bookmarkStart w:id="149" w:name="_Toc25272"/>
      <w:bookmarkStart w:id="150" w:name="_Toc512179269"/>
      <w:bookmarkStart w:id="151" w:name="_Toc12170"/>
      <w:bookmarkStart w:id="152" w:name="_Toc4051"/>
      <w:bookmarkStart w:id="153" w:name="_Toc31317"/>
      <w:bookmarkStart w:id="154" w:name="_Toc512178669"/>
      <w:bookmarkStart w:id="155" w:name="_Toc28540"/>
      <w:bookmarkStart w:id="156" w:name="_Toc516480240"/>
      <w:bookmarkStart w:id="157" w:name="_Toc512179411"/>
      <w:bookmarkStart w:id="158" w:name="_Toc441764269"/>
      <w:bookmarkStart w:id="159" w:name="_Toc17642"/>
      <w:bookmarkStart w:id="160" w:name="_Toc512178896"/>
      <w:bookmarkStart w:id="161" w:name="_Toc10967"/>
      <w:bookmarkStart w:id="162" w:name="_Toc13756"/>
      <w:bookmarkStart w:id="163" w:name="_Toc512178051"/>
      <w:bookmarkStart w:id="164" w:name="_Toc520764880"/>
      <w:bookmarkStart w:id="165" w:name="_Toc441764163"/>
      <w:bookmarkStart w:id="166" w:name="_Toc59442893"/>
      <w:bookmarkStart w:id="167" w:name="_Toc173"/>
      <w:bookmarkStart w:id="168" w:name="_Toc512178979"/>
      <w:bookmarkStart w:id="169" w:name="_Toc18084"/>
      <w:bookmarkStart w:id="170" w:name="_Toc7945"/>
      <w:bookmarkStart w:id="171" w:name="_Toc520764200"/>
      <w:bookmarkStart w:id="172" w:name="_Toc516480100"/>
      <w:bookmarkStart w:id="173" w:name="_Toc441764270"/>
      <w:bookmarkStart w:id="174" w:name="_Toc443322004"/>
      <w:bookmarkStart w:id="175" w:name="_Toc441764164"/>
      <w:r>
        <w:rPr>
          <w:rFonts w:hint="default" w:ascii="Times New Roman" w:hAnsi="Times New Roman" w:eastAsia="宋体" w:cs="Times New Roman"/>
          <w:b/>
          <w:bCs/>
          <w:caps/>
          <w:color w:val="auto"/>
          <w:kern w:val="2"/>
          <w:sz w:val="24"/>
          <w:szCs w:val="24"/>
          <w:lang w:val="en-US" w:eastAsia="zh-CN" w:bidi="ar-SA"/>
        </w:rPr>
        <w:t>2、</w:t>
      </w:r>
      <w:r>
        <w:rPr>
          <w:rFonts w:hint="eastAsia" w:ascii="Times New Roman" w:hAnsi="Times New Roman" w:cs="Times New Roman"/>
          <w:b/>
          <w:bCs/>
          <w:caps/>
          <w:color w:val="auto"/>
          <w:kern w:val="2"/>
          <w:sz w:val="24"/>
          <w:szCs w:val="24"/>
          <w:lang w:val="en-US" w:eastAsia="zh-CN" w:bidi="ar-SA"/>
        </w:rPr>
        <w:t>适用范围</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bookmarkEnd w:id="173"/>
    <w:bookmarkEnd w:id="174"/>
    <w:bookmarkEnd w:id="175"/>
    <w:p w14:paraId="5C21F725">
      <w:pPr>
        <w:rPr>
          <w:rFonts w:hint="default" w:ascii="Times New Roman" w:hAnsi="Times New Roman" w:eastAsia="宋体" w:cs="Times New Roman"/>
          <w:b w:val="0"/>
          <w:bCs w:val="0"/>
          <w:caps/>
          <w:color w:val="auto"/>
          <w:kern w:val="2"/>
          <w:sz w:val="24"/>
          <w:szCs w:val="24"/>
          <w:lang w:val="en-US" w:eastAsia="zh-CN" w:bidi="ar-SA"/>
        </w:rPr>
      </w:pPr>
      <w:r>
        <w:rPr>
          <w:rFonts w:hint="default" w:ascii="Times New Roman" w:hAnsi="Times New Roman" w:eastAsia="宋体" w:cs="Times New Roman"/>
          <w:b w:val="0"/>
          <w:bCs w:val="0"/>
          <w:caps/>
          <w:color w:val="auto"/>
          <w:kern w:val="2"/>
          <w:sz w:val="24"/>
          <w:szCs w:val="24"/>
          <w:lang w:val="en-US" w:eastAsia="zh-CN" w:bidi="ar-SA"/>
        </w:rPr>
        <w:t>本专项应急预案适用于厂区内危险废物和危险废物渗滤液在产生、收集贮存</w:t>
      </w:r>
      <w:r>
        <w:rPr>
          <w:rFonts w:hint="eastAsia" w:ascii="Times New Roman" w:hAnsi="Times New Roman" w:eastAsia="宋体" w:cs="Times New Roman"/>
          <w:b w:val="0"/>
          <w:bCs w:val="0"/>
          <w:caps/>
          <w:color w:val="auto"/>
          <w:kern w:val="2"/>
          <w:sz w:val="24"/>
          <w:szCs w:val="24"/>
          <w:lang w:val="en-US" w:eastAsia="zh-CN" w:bidi="ar-SA"/>
        </w:rPr>
        <w:t>、利用和最终处置过程中发生的扬散、燃烧、泄露等事故。</w:t>
      </w:r>
    </w:p>
    <w:p w14:paraId="4E890D2E">
      <w:pPr>
        <w:pStyle w:val="62"/>
        <w:rPr>
          <w:rFonts w:hint="default" w:ascii="Times New Roman" w:hAnsi="Times New Roman" w:eastAsia="宋体" w:cs="Times New Roman"/>
          <w:b/>
          <w:bCs/>
          <w:caps/>
          <w:color w:val="auto"/>
          <w:kern w:val="2"/>
          <w:sz w:val="24"/>
          <w:szCs w:val="24"/>
          <w:lang w:val="en-US" w:eastAsia="zh-CN" w:bidi="ar-SA"/>
        </w:rPr>
      </w:pPr>
      <w:bookmarkStart w:id="176" w:name="_Toc23815"/>
      <w:r>
        <w:rPr>
          <w:rFonts w:hint="eastAsia" w:ascii="Times New Roman" w:hAnsi="Times New Roman" w:cs="Times New Roman"/>
          <w:b/>
          <w:bCs/>
          <w:caps/>
          <w:color w:val="auto"/>
          <w:kern w:val="2"/>
          <w:sz w:val="24"/>
          <w:szCs w:val="24"/>
          <w:lang w:val="en-US" w:eastAsia="zh-CN" w:bidi="ar-SA"/>
        </w:rPr>
        <w:t>3</w:t>
      </w:r>
      <w:r>
        <w:rPr>
          <w:rFonts w:hint="default" w:ascii="Times New Roman" w:hAnsi="Times New Roman" w:eastAsia="宋体" w:cs="Times New Roman"/>
          <w:b/>
          <w:bCs/>
          <w:caps/>
          <w:color w:val="auto"/>
          <w:kern w:val="2"/>
          <w:sz w:val="24"/>
          <w:szCs w:val="24"/>
          <w:lang w:val="en-US" w:eastAsia="zh-CN" w:bidi="ar-SA"/>
        </w:rPr>
        <w:t>、</w:t>
      </w:r>
      <w:r>
        <w:rPr>
          <w:rFonts w:hint="eastAsia" w:ascii="Times New Roman" w:hAnsi="Times New Roman" w:cs="Times New Roman"/>
          <w:b/>
          <w:bCs/>
          <w:caps/>
          <w:color w:val="auto"/>
          <w:kern w:val="2"/>
          <w:sz w:val="24"/>
          <w:szCs w:val="24"/>
          <w:lang w:val="en-US" w:eastAsia="zh-CN" w:bidi="ar-SA"/>
        </w:rPr>
        <w:t>危险废物产生情况</w:t>
      </w:r>
      <w:bookmarkEnd w:id="176"/>
    </w:p>
    <w:p w14:paraId="2031E6CC">
      <w:pPr>
        <w:pStyle w:val="63"/>
        <w:spacing w:line="360" w:lineRule="auto"/>
        <w:rPr>
          <w:rFonts w:hint="default" w:ascii="Times New Roman" w:hAnsi="Times New Roman" w:eastAsia="宋体" w:cs="Times New Roman"/>
          <w:color w:val="auto"/>
          <w:lang w:val="en-US" w:eastAsia="zh-CN"/>
        </w:rPr>
      </w:pPr>
      <w:r>
        <w:rPr>
          <w:rFonts w:hint="default" w:ascii="Times New Roman" w:hAnsi="Times New Roman" w:cs="Times New Roman"/>
          <w:color w:val="auto"/>
        </w:rPr>
        <w:t xml:space="preserve">表1 </w:t>
      </w:r>
      <w:r>
        <w:rPr>
          <w:rFonts w:hint="eastAsia" w:cs="Times New Roman"/>
          <w:bCs/>
          <w:color w:val="auto"/>
          <w:lang w:eastAsia="zh-CN"/>
        </w:rPr>
        <w:t>资溪</w:t>
      </w:r>
      <w:r>
        <w:rPr>
          <w:rFonts w:hint="eastAsia" w:hAnsi="Times New Roman" w:cs="Times New Roman"/>
          <w:bCs/>
          <w:color w:val="auto"/>
          <w:lang w:eastAsia="zh-CN"/>
        </w:rPr>
        <w:t>县污水处理厂生活污水处理线</w:t>
      </w:r>
      <w:r>
        <w:rPr>
          <w:rFonts w:hint="eastAsia" w:hAnsi="Times New Roman" w:cs="Times New Roman"/>
          <w:color w:val="auto"/>
          <w:lang w:val="en-US" w:eastAsia="zh-CN"/>
        </w:rPr>
        <w:t>主要危险废物明细表</w:t>
      </w:r>
    </w:p>
    <w:tbl>
      <w:tblPr>
        <w:tblStyle w:val="23"/>
        <w:tblW w:w="8333"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5" w:type="dxa"/>
          <w:bottom w:w="0" w:type="dxa"/>
          <w:right w:w="15" w:type="dxa"/>
        </w:tblCellMar>
      </w:tblPr>
      <w:tblGrid>
        <w:gridCol w:w="1292"/>
        <w:gridCol w:w="1430"/>
        <w:gridCol w:w="1571"/>
        <w:gridCol w:w="1921"/>
        <w:gridCol w:w="2119"/>
      </w:tblGrid>
      <w:tr w14:paraId="5C20DE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136" w:hRule="atLeast"/>
          <w:jc w:val="center"/>
        </w:trPr>
        <w:tc>
          <w:tcPr>
            <w:tcW w:w="1292" w:type="dxa"/>
            <w:tcBorders>
              <w:top w:val="single" w:color="auto" w:sz="12" w:space="0"/>
            </w:tcBorders>
            <w:vAlign w:val="center"/>
          </w:tcPr>
          <w:p w14:paraId="6E81C16D">
            <w:pPr>
              <w:pStyle w:val="6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废物名称</w:t>
            </w:r>
          </w:p>
        </w:tc>
        <w:tc>
          <w:tcPr>
            <w:tcW w:w="1430" w:type="dxa"/>
            <w:tcBorders>
              <w:top w:val="single" w:color="auto" w:sz="12" w:space="0"/>
            </w:tcBorders>
            <w:vAlign w:val="center"/>
          </w:tcPr>
          <w:p w14:paraId="5227F522">
            <w:pPr>
              <w:pStyle w:val="66"/>
              <w:keepNext w:val="0"/>
              <w:keepLines w:val="0"/>
              <w:pageBreakBefore w:val="0"/>
              <w:kinsoku/>
              <w:wordWrap/>
              <w:overflowPunct/>
              <w:topLinePunct w:val="0"/>
              <w:autoSpaceDE/>
              <w:autoSpaceDN/>
              <w:bidi w:val="0"/>
              <w:snapToGrid w:val="0"/>
              <w:spacing w:line="240" w:lineRule="auto"/>
              <w:ind w:firstLine="0" w:firstLineChars="0"/>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产生量（t/a）</w:t>
            </w:r>
          </w:p>
        </w:tc>
        <w:tc>
          <w:tcPr>
            <w:tcW w:w="1571" w:type="dxa"/>
            <w:tcBorders>
              <w:top w:val="single" w:color="auto" w:sz="12" w:space="0"/>
            </w:tcBorders>
            <w:vAlign w:val="center"/>
          </w:tcPr>
          <w:p w14:paraId="42FE158E">
            <w:pPr>
              <w:pStyle w:val="66"/>
              <w:keepNext w:val="0"/>
              <w:keepLines w:val="0"/>
              <w:pageBreakBefore w:val="0"/>
              <w:kinsoku/>
              <w:wordWrap/>
              <w:overflowPunct/>
              <w:topLinePunct w:val="0"/>
              <w:autoSpaceDE/>
              <w:autoSpaceDN/>
              <w:bidi w:val="0"/>
              <w:snapToGrid w:val="0"/>
              <w:spacing w:line="240" w:lineRule="auto"/>
              <w:ind w:firstLine="0" w:firstLineChars="0"/>
              <w:rPr>
                <w:rFonts w:hint="eastAsia" w:ascii="Times New Roman" w:hAnsi="Times New Roman" w:cs="Times New Roman"/>
                <w:color w:val="auto"/>
                <w:sz w:val="21"/>
                <w:szCs w:val="21"/>
                <w:lang w:val="en-US" w:eastAsia="zh-CN"/>
              </w:rPr>
            </w:pPr>
            <w:r>
              <w:rPr>
                <w:rFonts w:ascii="Times New Roman" w:hAnsi="Times New Roman" w:eastAsia="宋体" w:cs="Times New Roman"/>
                <w:b/>
                <w:bCs/>
                <w:color w:val="auto"/>
                <w:spacing w:val="-10"/>
                <w:sz w:val="21"/>
                <w:szCs w:val="21"/>
              </w:rPr>
              <w:t>最大存放量（t）</w:t>
            </w:r>
          </w:p>
        </w:tc>
        <w:tc>
          <w:tcPr>
            <w:tcW w:w="1921" w:type="dxa"/>
            <w:tcBorders>
              <w:top w:val="single" w:color="auto" w:sz="12" w:space="0"/>
            </w:tcBorders>
            <w:vAlign w:val="center"/>
          </w:tcPr>
          <w:p w14:paraId="13779673">
            <w:pPr>
              <w:pStyle w:val="6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处置方式</w:t>
            </w:r>
          </w:p>
        </w:tc>
        <w:tc>
          <w:tcPr>
            <w:tcW w:w="2119" w:type="dxa"/>
            <w:tcBorders>
              <w:top w:val="single" w:color="auto" w:sz="12" w:space="0"/>
            </w:tcBorders>
            <w:vAlign w:val="center"/>
          </w:tcPr>
          <w:p w14:paraId="01A1A077">
            <w:pPr>
              <w:pStyle w:val="6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危废代码</w:t>
            </w:r>
          </w:p>
        </w:tc>
      </w:tr>
      <w:tr w14:paraId="6A1278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684" w:hRule="atLeast"/>
          <w:jc w:val="center"/>
        </w:trPr>
        <w:tc>
          <w:tcPr>
            <w:tcW w:w="1292" w:type="dxa"/>
            <w:vAlign w:val="center"/>
          </w:tcPr>
          <w:p w14:paraId="63A269D8">
            <w:pPr>
              <w:keepNext w:val="0"/>
              <w:keepLines w:val="0"/>
              <w:pageBreakBefore w:val="0"/>
              <w:widowControl/>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rPr>
              <w:t>在线废液</w:t>
            </w:r>
          </w:p>
        </w:tc>
        <w:tc>
          <w:tcPr>
            <w:tcW w:w="1430" w:type="dxa"/>
            <w:vAlign w:val="center"/>
          </w:tcPr>
          <w:p w14:paraId="09381826">
            <w:pPr>
              <w:pStyle w:val="6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38</w:t>
            </w:r>
          </w:p>
        </w:tc>
        <w:tc>
          <w:tcPr>
            <w:tcW w:w="1571" w:type="dxa"/>
            <w:vAlign w:val="center"/>
          </w:tcPr>
          <w:p w14:paraId="4F46BEAA">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rPr>
              <w:t>0.</w:t>
            </w:r>
            <w:r>
              <w:rPr>
                <w:rFonts w:hint="eastAsia" w:cs="Times New Roman"/>
                <w:color w:val="auto"/>
                <w:kern w:val="0"/>
                <w:sz w:val="21"/>
                <w:szCs w:val="21"/>
                <w:lang w:val="en-US" w:eastAsia="zh-CN"/>
              </w:rPr>
              <w:t>19</w:t>
            </w:r>
          </w:p>
        </w:tc>
        <w:tc>
          <w:tcPr>
            <w:tcW w:w="1921" w:type="dxa"/>
            <w:vAlign w:val="center"/>
          </w:tcPr>
          <w:p w14:paraId="06F4AA52">
            <w:pPr>
              <w:pStyle w:val="6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eastAsia="zh-CN"/>
              </w:rPr>
              <w:t>委托</w:t>
            </w:r>
            <w:r>
              <w:rPr>
                <w:rFonts w:hint="eastAsia" w:cs="Times New Roman"/>
                <w:color w:val="auto"/>
                <w:sz w:val="21"/>
                <w:szCs w:val="21"/>
                <w:lang w:val="en-US" w:eastAsia="zh-CN"/>
              </w:rPr>
              <w:t>九江浦泽环保科技有限公司</w:t>
            </w:r>
            <w:r>
              <w:rPr>
                <w:rFonts w:hint="eastAsia" w:ascii="Times New Roman" w:hAnsi="Times New Roman" w:cs="Times New Roman"/>
                <w:color w:val="auto"/>
                <w:sz w:val="21"/>
                <w:szCs w:val="21"/>
                <w:lang w:eastAsia="zh-CN"/>
              </w:rPr>
              <w:t>处置</w:t>
            </w:r>
          </w:p>
        </w:tc>
        <w:tc>
          <w:tcPr>
            <w:tcW w:w="2119" w:type="dxa"/>
            <w:vAlign w:val="center"/>
          </w:tcPr>
          <w:p w14:paraId="28B2CEC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color w:val="auto"/>
                <w:sz w:val="21"/>
                <w:szCs w:val="21"/>
              </w:rPr>
              <w:t>HW</w:t>
            </w:r>
            <w:r>
              <w:rPr>
                <w:rFonts w:hint="eastAsia" w:ascii="Times New Roman" w:hAnsi="Times New Roman" w:eastAsia="宋体" w:cs="Times New Roman"/>
                <w:color w:val="auto"/>
                <w:kern w:val="2"/>
                <w:sz w:val="21"/>
                <w:szCs w:val="21"/>
                <w:lang w:val="en-US" w:eastAsia="zh-CN" w:bidi="ar-SA"/>
              </w:rPr>
              <w:t>49（900-047-49）</w:t>
            </w:r>
          </w:p>
        </w:tc>
      </w:tr>
      <w:tr w14:paraId="3FA78F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632" w:hRule="atLeast"/>
          <w:jc w:val="center"/>
        </w:trPr>
        <w:tc>
          <w:tcPr>
            <w:tcW w:w="1292" w:type="dxa"/>
            <w:vAlign w:val="center"/>
          </w:tcPr>
          <w:p w14:paraId="39EF2BF4">
            <w:pPr>
              <w:keepNext w:val="0"/>
              <w:keepLines w:val="0"/>
              <w:pageBreakBefore w:val="0"/>
              <w:widowControl/>
              <w:kinsoku/>
              <w:wordWrap/>
              <w:overflowPunct/>
              <w:topLinePunct w:val="0"/>
              <w:autoSpaceDE/>
              <w:autoSpaceDN/>
              <w:bidi w:val="0"/>
              <w:snapToGrid w:val="0"/>
              <w:spacing w:line="240" w:lineRule="auto"/>
              <w:ind w:firstLine="0" w:firstLineChars="0"/>
              <w:jc w:val="center"/>
              <w:rPr>
                <w:rFonts w:hint="eastAsia"/>
                <w:color w:val="auto"/>
                <w:sz w:val="21"/>
                <w:szCs w:val="21"/>
                <w:lang w:val="en-US" w:eastAsia="zh-CN"/>
              </w:rPr>
            </w:pPr>
            <w:r>
              <w:rPr>
                <w:rFonts w:hint="eastAsia" w:ascii="Times New Roman" w:hAnsi="Times New Roman" w:eastAsia="宋体" w:cs="Times New Roman"/>
                <w:color w:val="auto"/>
                <w:kern w:val="0"/>
                <w:sz w:val="21"/>
                <w:szCs w:val="21"/>
                <w:lang w:val="en-US" w:eastAsia="zh-CN"/>
              </w:rPr>
              <w:t>实验室废液</w:t>
            </w:r>
          </w:p>
        </w:tc>
        <w:tc>
          <w:tcPr>
            <w:tcW w:w="1430" w:type="dxa"/>
            <w:vAlign w:val="center"/>
          </w:tcPr>
          <w:p w14:paraId="7F37878C">
            <w:pPr>
              <w:pStyle w:val="6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38</w:t>
            </w:r>
          </w:p>
        </w:tc>
        <w:tc>
          <w:tcPr>
            <w:tcW w:w="1571" w:type="dxa"/>
            <w:vAlign w:val="center"/>
          </w:tcPr>
          <w:p w14:paraId="29A90159">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rPr>
              <w:t>0.</w:t>
            </w:r>
            <w:r>
              <w:rPr>
                <w:rFonts w:hint="eastAsia" w:cs="Times New Roman"/>
                <w:color w:val="auto"/>
                <w:kern w:val="0"/>
                <w:sz w:val="21"/>
                <w:szCs w:val="21"/>
                <w:lang w:val="en-US" w:eastAsia="zh-CN"/>
              </w:rPr>
              <w:t>19</w:t>
            </w:r>
          </w:p>
        </w:tc>
        <w:tc>
          <w:tcPr>
            <w:tcW w:w="1921" w:type="dxa"/>
            <w:vAlign w:val="center"/>
          </w:tcPr>
          <w:p w14:paraId="6627AB18">
            <w:pPr>
              <w:pStyle w:val="66"/>
              <w:keepNext w:val="0"/>
              <w:keepLines w:val="0"/>
              <w:pageBreakBefore w:val="0"/>
              <w:kinsoku/>
              <w:wordWrap/>
              <w:overflowPunct/>
              <w:topLinePunct w:val="0"/>
              <w:autoSpaceDE/>
              <w:autoSpaceDN/>
              <w:bidi w:val="0"/>
              <w:snapToGrid w:val="0"/>
              <w:spacing w:line="240" w:lineRule="auto"/>
              <w:ind w:firstLine="0" w:firstLineChars="0"/>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委托</w:t>
            </w:r>
            <w:r>
              <w:rPr>
                <w:rFonts w:hint="eastAsia" w:cs="Times New Roman"/>
                <w:color w:val="auto"/>
                <w:sz w:val="21"/>
                <w:szCs w:val="21"/>
                <w:lang w:val="en-US" w:eastAsia="zh-CN"/>
              </w:rPr>
              <w:t>九江浦泽环保科技有限公司</w:t>
            </w:r>
            <w:r>
              <w:rPr>
                <w:rFonts w:hint="eastAsia" w:ascii="Times New Roman" w:hAnsi="Times New Roman" w:cs="Times New Roman"/>
                <w:color w:val="auto"/>
                <w:sz w:val="21"/>
                <w:szCs w:val="21"/>
                <w:lang w:eastAsia="zh-CN"/>
              </w:rPr>
              <w:t>处置</w:t>
            </w:r>
          </w:p>
        </w:tc>
        <w:tc>
          <w:tcPr>
            <w:tcW w:w="2119" w:type="dxa"/>
            <w:vAlign w:val="center"/>
          </w:tcPr>
          <w:p w14:paraId="7287F53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sz w:val="21"/>
                <w:szCs w:val="21"/>
              </w:rPr>
              <w:t>HW</w:t>
            </w:r>
            <w:r>
              <w:rPr>
                <w:rFonts w:hint="eastAsia" w:ascii="Times New Roman" w:hAnsi="Times New Roman" w:eastAsia="宋体" w:cs="Times New Roman"/>
                <w:color w:val="auto"/>
                <w:kern w:val="2"/>
                <w:sz w:val="21"/>
                <w:szCs w:val="21"/>
                <w:lang w:val="en-US" w:eastAsia="zh-CN" w:bidi="ar-SA"/>
              </w:rPr>
              <w:t>49（900-047-49）</w:t>
            </w:r>
          </w:p>
        </w:tc>
      </w:tr>
      <w:tr w14:paraId="1481A3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597" w:hRule="atLeast"/>
          <w:jc w:val="center"/>
        </w:trPr>
        <w:tc>
          <w:tcPr>
            <w:tcW w:w="1292" w:type="dxa"/>
            <w:vAlign w:val="center"/>
          </w:tcPr>
          <w:p w14:paraId="36387462">
            <w:pPr>
              <w:keepNext w:val="0"/>
              <w:keepLines w:val="0"/>
              <w:pageBreakBefore w:val="0"/>
              <w:widowControl/>
              <w:kinsoku/>
              <w:wordWrap/>
              <w:overflowPunct/>
              <w:topLinePunct w:val="0"/>
              <w:autoSpaceDE/>
              <w:autoSpaceDN/>
              <w:bidi w:val="0"/>
              <w:snapToGrid w:val="0"/>
              <w:spacing w:line="240" w:lineRule="auto"/>
              <w:ind w:firstLine="0" w:firstLineChars="0"/>
              <w:jc w:val="center"/>
              <w:rPr>
                <w:rFonts w:hint="eastAsia"/>
                <w:color w:val="auto"/>
                <w:sz w:val="21"/>
                <w:szCs w:val="21"/>
                <w:lang w:val="en-US" w:eastAsia="zh-CN"/>
              </w:rPr>
            </w:pPr>
            <w:r>
              <w:rPr>
                <w:rFonts w:hint="eastAsia" w:ascii="Times New Roman" w:hAnsi="Times New Roman" w:eastAsia="宋体" w:cs="Times New Roman"/>
                <w:color w:val="auto"/>
                <w:kern w:val="0"/>
                <w:sz w:val="21"/>
                <w:szCs w:val="21"/>
                <w:lang w:val="en-US" w:eastAsia="zh-CN"/>
              </w:rPr>
              <w:t>废试剂瓶</w:t>
            </w:r>
          </w:p>
        </w:tc>
        <w:tc>
          <w:tcPr>
            <w:tcW w:w="1430" w:type="dxa"/>
            <w:vAlign w:val="center"/>
          </w:tcPr>
          <w:p w14:paraId="794A0CFB">
            <w:pPr>
              <w:pStyle w:val="6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08</w:t>
            </w:r>
          </w:p>
        </w:tc>
        <w:tc>
          <w:tcPr>
            <w:tcW w:w="1571" w:type="dxa"/>
            <w:vAlign w:val="center"/>
          </w:tcPr>
          <w:p w14:paraId="6C020954">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rPr>
              <w:t>0.</w:t>
            </w:r>
            <w:r>
              <w:rPr>
                <w:rFonts w:hint="eastAsia" w:cs="Times New Roman"/>
                <w:color w:val="auto"/>
                <w:kern w:val="0"/>
                <w:sz w:val="21"/>
                <w:szCs w:val="21"/>
                <w:lang w:val="en-US" w:eastAsia="zh-CN"/>
              </w:rPr>
              <w:t>04</w:t>
            </w:r>
          </w:p>
        </w:tc>
        <w:tc>
          <w:tcPr>
            <w:tcW w:w="1921" w:type="dxa"/>
            <w:vAlign w:val="center"/>
          </w:tcPr>
          <w:p w14:paraId="4AB3D8E6">
            <w:pPr>
              <w:pStyle w:val="66"/>
              <w:keepNext w:val="0"/>
              <w:keepLines w:val="0"/>
              <w:pageBreakBefore w:val="0"/>
              <w:kinsoku/>
              <w:wordWrap/>
              <w:overflowPunct/>
              <w:topLinePunct w:val="0"/>
              <w:autoSpaceDE/>
              <w:autoSpaceDN/>
              <w:bidi w:val="0"/>
              <w:snapToGrid w:val="0"/>
              <w:spacing w:line="240" w:lineRule="auto"/>
              <w:ind w:firstLine="0" w:firstLineChars="0"/>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委托</w:t>
            </w:r>
            <w:r>
              <w:rPr>
                <w:rFonts w:hint="eastAsia" w:cs="Times New Roman"/>
                <w:color w:val="auto"/>
                <w:sz w:val="21"/>
                <w:szCs w:val="21"/>
                <w:lang w:val="en-US" w:eastAsia="zh-CN"/>
              </w:rPr>
              <w:t>九江浦泽环保科技有限公司</w:t>
            </w:r>
            <w:r>
              <w:rPr>
                <w:rFonts w:hint="eastAsia" w:ascii="Times New Roman" w:hAnsi="Times New Roman" w:cs="Times New Roman"/>
                <w:color w:val="auto"/>
                <w:sz w:val="21"/>
                <w:szCs w:val="21"/>
                <w:lang w:eastAsia="zh-CN"/>
              </w:rPr>
              <w:t>处置</w:t>
            </w:r>
          </w:p>
        </w:tc>
        <w:tc>
          <w:tcPr>
            <w:tcW w:w="2119" w:type="dxa"/>
            <w:vAlign w:val="center"/>
          </w:tcPr>
          <w:p w14:paraId="787387E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ascii="Times New Roman" w:hAnsi="Times New Roman" w:eastAsia="宋体" w:cs="Times New Roman"/>
                <w:color w:val="auto"/>
                <w:kern w:val="2"/>
                <w:sz w:val="21"/>
                <w:szCs w:val="21"/>
                <w:lang w:val="en-US" w:eastAsia="zh-CN" w:bidi="ar-SA"/>
              </w:rPr>
              <w:t>HW49（900-041-49）</w:t>
            </w:r>
          </w:p>
        </w:tc>
      </w:tr>
      <w:tr w14:paraId="213F8D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662" w:hRule="atLeast"/>
          <w:jc w:val="center"/>
        </w:trPr>
        <w:tc>
          <w:tcPr>
            <w:tcW w:w="1292" w:type="dxa"/>
            <w:vAlign w:val="center"/>
          </w:tcPr>
          <w:p w14:paraId="3DD30833">
            <w:pPr>
              <w:keepNext w:val="0"/>
              <w:keepLines w:val="0"/>
              <w:pageBreakBefore w:val="0"/>
              <w:widowControl/>
              <w:kinsoku/>
              <w:wordWrap/>
              <w:overflowPunct/>
              <w:topLinePunct w:val="0"/>
              <w:autoSpaceDE/>
              <w:autoSpaceDN/>
              <w:bidi w:val="0"/>
              <w:snapToGrid w:val="0"/>
              <w:spacing w:line="240" w:lineRule="auto"/>
              <w:ind w:firstLine="0" w:firstLineChars="0"/>
              <w:jc w:val="center"/>
              <w:rPr>
                <w:rFonts w:hint="eastAsia"/>
                <w:color w:val="auto"/>
                <w:sz w:val="21"/>
                <w:szCs w:val="21"/>
                <w:lang w:val="en-US" w:eastAsia="zh-CN"/>
              </w:rPr>
            </w:pPr>
            <w:r>
              <w:rPr>
                <w:rFonts w:hint="eastAsia" w:ascii="Times New Roman" w:hAnsi="Times New Roman" w:eastAsia="宋体" w:cs="Times New Roman"/>
                <w:color w:val="auto"/>
                <w:kern w:val="0"/>
                <w:sz w:val="21"/>
                <w:szCs w:val="21"/>
                <w:lang w:val="en-US" w:eastAsia="zh-CN"/>
              </w:rPr>
              <w:t>废机油</w:t>
            </w:r>
          </w:p>
        </w:tc>
        <w:tc>
          <w:tcPr>
            <w:tcW w:w="1430" w:type="dxa"/>
            <w:vAlign w:val="center"/>
          </w:tcPr>
          <w:p w14:paraId="3612FDAE">
            <w:pPr>
              <w:pStyle w:val="6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w:t>
            </w:r>
          </w:p>
        </w:tc>
        <w:tc>
          <w:tcPr>
            <w:tcW w:w="1571" w:type="dxa"/>
            <w:vAlign w:val="center"/>
          </w:tcPr>
          <w:p w14:paraId="53377E4F">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rPr>
              <w:t>0.</w:t>
            </w:r>
            <w:r>
              <w:rPr>
                <w:rFonts w:hint="eastAsia" w:cs="Times New Roman"/>
                <w:color w:val="auto"/>
                <w:kern w:val="0"/>
                <w:sz w:val="21"/>
                <w:szCs w:val="21"/>
                <w:lang w:val="en-US" w:eastAsia="zh-CN"/>
              </w:rPr>
              <w:t>2</w:t>
            </w:r>
          </w:p>
        </w:tc>
        <w:tc>
          <w:tcPr>
            <w:tcW w:w="1921" w:type="dxa"/>
            <w:vAlign w:val="center"/>
          </w:tcPr>
          <w:p w14:paraId="3A37A911">
            <w:pPr>
              <w:pStyle w:val="66"/>
              <w:keepNext w:val="0"/>
              <w:keepLines w:val="0"/>
              <w:pageBreakBefore w:val="0"/>
              <w:kinsoku/>
              <w:wordWrap/>
              <w:overflowPunct/>
              <w:topLinePunct w:val="0"/>
              <w:autoSpaceDE/>
              <w:autoSpaceDN/>
              <w:bidi w:val="0"/>
              <w:snapToGrid w:val="0"/>
              <w:spacing w:line="240" w:lineRule="auto"/>
              <w:ind w:firstLine="0" w:firstLineChars="0"/>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委托</w:t>
            </w:r>
            <w:r>
              <w:rPr>
                <w:rFonts w:hint="eastAsia" w:cs="Times New Roman"/>
                <w:color w:val="auto"/>
                <w:sz w:val="21"/>
                <w:szCs w:val="21"/>
                <w:lang w:val="en-US" w:eastAsia="zh-CN"/>
              </w:rPr>
              <w:t>新余福盛石油化工有限公司</w:t>
            </w:r>
            <w:r>
              <w:rPr>
                <w:rFonts w:hint="eastAsia" w:ascii="Times New Roman" w:hAnsi="Times New Roman" w:cs="Times New Roman"/>
                <w:color w:val="auto"/>
                <w:sz w:val="21"/>
                <w:szCs w:val="21"/>
                <w:lang w:eastAsia="zh-CN"/>
              </w:rPr>
              <w:t>处置</w:t>
            </w:r>
          </w:p>
        </w:tc>
        <w:tc>
          <w:tcPr>
            <w:tcW w:w="2119" w:type="dxa"/>
            <w:vAlign w:val="center"/>
          </w:tcPr>
          <w:p w14:paraId="4DE63BE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ascii="Times New Roman" w:hAnsi="Times New Roman" w:eastAsia="宋体" w:cs="Times New Roman"/>
                <w:color w:val="auto"/>
                <w:kern w:val="2"/>
                <w:sz w:val="21"/>
                <w:szCs w:val="21"/>
                <w:lang w:val="en-US" w:eastAsia="zh-CN" w:bidi="ar-SA"/>
              </w:rPr>
              <w:t>HW08（900-249-08）</w:t>
            </w:r>
          </w:p>
        </w:tc>
      </w:tr>
    </w:tbl>
    <w:p w14:paraId="4D3428E1">
      <w:pPr>
        <w:pStyle w:val="62"/>
        <w:rPr>
          <w:rFonts w:hint="default" w:ascii="Times New Roman" w:hAnsi="Times New Roman" w:eastAsia="宋体" w:cs="Times New Roman"/>
          <w:b/>
          <w:bCs/>
          <w:caps/>
          <w:color w:val="auto"/>
          <w:kern w:val="2"/>
          <w:sz w:val="24"/>
          <w:szCs w:val="24"/>
          <w:lang w:val="en-US" w:eastAsia="zh-CN" w:bidi="ar-SA"/>
        </w:rPr>
      </w:pPr>
      <w:bookmarkStart w:id="177" w:name="_Toc5273"/>
      <w:r>
        <w:rPr>
          <w:rFonts w:hint="eastAsia" w:ascii="Times New Roman" w:hAnsi="Times New Roman" w:cs="Times New Roman"/>
          <w:b/>
          <w:bCs/>
          <w:caps/>
          <w:color w:val="auto"/>
          <w:kern w:val="2"/>
          <w:sz w:val="24"/>
          <w:szCs w:val="24"/>
          <w:lang w:val="en-US" w:eastAsia="zh-CN" w:bidi="ar-SA"/>
        </w:rPr>
        <w:t>4</w:t>
      </w:r>
      <w:r>
        <w:rPr>
          <w:rFonts w:hint="default" w:ascii="Times New Roman" w:hAnsi="Times New Roman" w:eastAsia="宋体" w:cs="Times New Roman"/>
          <w:b/>
          <w:bCs/>
          <w:caps/>
          <w:color w:val="auto"/>
          <w:kern w:val="2"/>
          <w:sz w:val="24"/>
          <w:szCs w:val="24"/>
          <w:lang w:val="en-US" w:eastAsia="zh-CN" w:bidi="ar-SA"/>
        </w:rPr>
        <w:t>、</w:t>
      </w:r>
      <w:r>
        <w:rPr>
          <w:rFonts w:hint="eastAsia" w:ascii="Times New Roman" w:hAnsi="Times New Roman" w:cs="Times New Roman"/>
          <w:b/>
          <w:bCs/>
          <w:caps/>
          <w:color w:val="auto"/>
          <w:kern w:val="2"/>
          <w:sz w:val="24"/>
          <w:szCs w:val="24"/>
          <w:lang w:val="en-US" w:eastAsia="zh-CN" w:bidi="ar-SA"/>
        </w:rPr>
        <w:t>组织体系</w:t>
      </w:r>
      <w:bookmarkEnd w:id="177"/>
    </w:p>
    <w:p w14:paraId="72DB5326">
      <w:pPr>
        <w:rPr>
          <w:rFonts w:hint="default" w:ascii="Times New Roman" w:hAnsi="Times New Roman" w:eastAsia="宋体" w:cs="Times New Roman"/>
          <w:b w:val="0"/>
          <w:bCs w:val="0"/>
          <w:caps/>
          <w:color w:val="auto"/>
          <w:kern w:val="2"/>
          <w:sz w:val="24"/>
          <w:szCs w:val="24"/>
          <w:lang w:val="en-US" w:eastAsia="zh-CN" w:bidi="ar-SA"/>
        </w:rPr>
      </w:pPr>
      <w:r>
        <w:rPr>
          <w:rFonts w:hint="default" w:ascii="Times New Roman" w:hAnsi="Times New Roman" w:eastAsia="宋体" w:cs="Times New Roman"/>
          <w:b w:val="0"/>
          <w:bCs w:val="0"/>
          <w:caps/>
          <w:color w:val="auto"/>
          <w:kern w:val="2"/>
          <w:sz w:val="24"/>
          <w:szCs w:val="24"/>
          <w:lang w:val="en-US" w:eastAsia="zh-CN" w:bidi="ar-SA"/>
        </w:rPr>
        <w:t>公司设置危险废物管理小组，人员组成如下</w:t>
      </w:r>
      <w:r>
        <w:rPr>
          <w:rFonts w:hint="eastAsia" w:ascii="Times New Roman" w:hAnsi="Times New Roman" w:eastAsia="宋体" w:cs="Times New Roman"/>
          <w:b w:val="0"/>
          <w:bCs w:val="0"/>
          <w:caps/>
          <w:color w:val="auto"/>
          <w:kern w:val="2"/>
          <w:sz w:val="24"/>
          <w:szCs w:val="24"/>
          <w:lang w:val="en-US" w:eastAsia="zh-CN" w:bidi="ar-SA"/>
        </w:rPr>
        <w:t>：</w:t>
      </w:r>
    </w:p>
    <w:p w14:paraId="72BB8E3B">
      <w:pPr>
        <w:pStyle w:val="63"/>
        <w:spacing w:line="360" w:lineRule="auto"/>
        <w:rPr>
          <w:rFonts w:hint="default" w:ascii="Times New Roman" w:hAnsi="Times New Roman" w:eastAsia="宋体" w:cs="Times New Roman"/>
          <w:color w:val="auto"/>
          <w:lang w:val="en-US" w:eastAsia="zh-CN"/>
        </w:rPr>
      </w:pPr>
      <w:r>
        <w:rPr>
          <w:rFonts w:hint="default" w:ascii="Times New Roman" w:hAnsi="Times New Roman" w:cs="Times New Roman"/>
          <w:color w:val="auto"/>
        </w:rPr>
        <w:t>表</w:t>
      </w:r>
      <w:r>
        <w:rPr>
          <w:rFonts w:hint="eastAsia" w:hAnsi="Times New Roman" w:cs="Times New Roman"/>
          <w:color w:val="auto"/>
          <w:lang w:val="en-US" w:eastAsia="zh-CN"/>
        </w:rPr>
        <w:t>2</w:t>
      </w:r>
      <w:r>
        <w:rPr>
          <w:rFonts w:hint="default" w:ascii="Times New Roman" w:hAnsi="Times New Roman" w:cs="Times New Roman"/>
          <w:color w:val="auto"/>
        </w:rPr>
        <w:t xml:space="preserve"> </w:t>
      </w:r>
      <w:r>
        <w:rPr>
          <w:rFonts w:hint="eastAsia" w:hAnsi="Times New Roman" w:cs="Times New Roman"/>
          <w:color w:val="auto"/>
          <w:lang w:val="en-US" w:eastAsia="zh-CN"/>
        </w:rPr>
        <w:t>危险废物管理成员及联系方式</w:t>
      </w:r>
    </w:p>
    <w:tbl>
      <w:tblPr>
        <w:tblStyle w:val="23"/>
        <w:tblW w:w="8363"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5" w:type="dxa"/>
          <w:bottom w:w="0" w:type="dxa"/>
          <w:right w:w="15" w:type="dxa"/>
        </w:tblCellMar>
      </w:tblPr>
      <w:tblGrid>
        <w:gridCol w:w="1688"/>
        <w:gridCol w:w="2142"/>
        <w:gridCol w:w="2311"/>
        <w:gridCol w:w="2222"/>
      </w:tblGrid>
      <w:tr w14:paraId="1894BB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399" w:hRule="atLeast"/>
          <w:jc w:val="center"/>
        </w:trPr>
        <w:tc>
          <w:tcPr>
            <w:tcW w:w="1688" w:type="dxa"/>
            <w:tcBorders>
              <w:top w:val="single" w:color="auto" w:sz="12" w:space="0"/>
            </w:tcBorders>
            <w:vAlign w:val="center"/>
          </w:tcPr>
          <w:p w14:paraId="4724044B">
            <w:pPr>
              <w:pStyle w:val="66"/>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序号</w:t>
            </w:r>
          </w:p>
        </w:tc>
        <w:tc>
          <w:tcPr>
            <w:tcW w:w="2142" w:type="dxa"/>
            <w:tcBorders>
              <w:top w:val="single" w:color="auto" w:sz="12" w:space="0"/>
            </w:tcBorders>
            <w:vAlign w:val="center"/>
          </w:tcPr>
          <w:p w14:paraId="6861EBF0">
            <w:pPr>
              <w:pStyle w:val="66"/>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应急救援人员</w:t>
            </w:r>
          </w:p>
        </w:tc>
        <w:tc>
          <w:tcPr>
            <w:tcW w:w="2311" w:type="dxa"/>
            <w:tcBorders>
              <w:top w:val="single" w:color="auto" w:sz="12" w:space="0"/>
            </w:tcBorders>
            <w:vAlign w:val="center"/>
          </w:tcPr>
          <w:p w14:paraId="4470612B">
            <w:pPr>
              <w:pStyle w:val="66"/>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职务</w:t>
            </w:r>
          </w:p>
        </w:tc>
        <w:tc>
          <w:tcPr>
            <w:tcW w:w="2222" w:type="dxa"/>
            <w:tcBorders>
              <w:top w:val="single" w:color="auto" w:sz="12" w:space="0"/>
            </w:tcBorders>
            <w:vAlign w:val="center"/>
          </w:tcPr>
          <w:p w14:paraId="48F34275">
            <w:pPr>
              <w:pStyle w:val="66"/>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联系方式</w:t>
            </w:r>
          </w:p>
        </w:tc>
      </w:tr>
      <w:tr w14:paraId="326A88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362" w:hRule="atLeast"/>
          <w:jc w:val="center"/>
        </w:trPr>
        <w:tc>
          <w:tcPr>
            <w:tcW w:w="1688" w:type="dxa"/>
            <w:tcBorders>
              <w:top w:val="single" w:color="auto" w:sz="12" w:space="0"/>
            </w:tcBorders>
            <w:vAlign w:val="center"/>
          </w:tcPr>
          <w:p w14:paraId="2FF23294">
            <w:pPr>
              <w:pStyle w:val="66"/>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2142" w:type="dxa"/>
            <w:tcBorders>
              <w:top w:val="single" w:color="auto" w:sz="12" w:space="0"/>
            </w:tcBorders>
            <w:vAlign w:val="center"/>
          </w:tcPr>
          <w:p w14:paraId="0C60419E">
            <w:pPr>
              <w:pStyle w:val="42"/>
              <w:ind w:firstLine="0" w:firstLineChars="0"/>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bidi="ar-SA"/>
              </w:rPr>
              <w:t>汪桂萍</w:t>
            </w:r>
          </w:p>
        </w:tc>
        <w:tc>
          <w:tcPr>
            <w:tcW w:w="2311" w:type="dxa"/>
            <w:tcBorders>
              <w:top w:val="single" w:color="auto" w:sz="12" w:space="0"/>
            </w:tcBorders>
            <w:vAlign w:val="center"/>
          </w:tcPr>
          <w:p w14:paraId="52999821">
            <w:pPr>
              <w:pStyle w:val="42"/>
              <w:ind w:firstLine="0" w:firstLineChars="0"/>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厂长</w:t>
            </w:r>
          </w:p>
        </w:tc>
        <w:tc>
          <w:tcPr>
            <w:tcW w:w="2222" w:type="dxa"/>
            <w:tcBorders>
              <w:top w:val="single" w:color="auto" w:sz="12" w:space="0"/>
            </w:tcBorders>
            <w:vAlign w:val="center"/>
          </w:tcPr>
          <w:p w14:paraId="667CFB04">
            <w:pPr>
              <w:pStyle w:val="42"/>
              <w:ind w:firstLine="0" w:firstLineChars="0"/>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13879466693</w:t>
            </w:r>
          </w:p>
        </w:tc>
      </w:tr>
      <w:tr w14:paraId="108C28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412" w:hRule="atLeast"/>
          <w:jc w:val="center"/>
        </w:trPr>
        <w:tc>
          <w:tcPr>
            <w:tcW w:w="1688" w:type="dxa"/>
            <w:vAlign w:val="center"/>
          </w:tcPr>
          <w:p w14:paraId="442C5D0C">
            <w:pPr>
              <w:pStyle w:val="66"/>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2142" w:type="dxa"/>
            <w:vAlign w:val="center"/>
          </w:tcPr>
          <w:p w14:paraId="2C32650D">
            <w:pPr>
              <w:pStyle w:val="42"/>
              <w:ind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bidi="ar-SA"/>
              </w:rPr>
              <w:t>余健敏</w:t>
            </w:r>
          </w:p>
        </w:tc>
        <w:tc>
          <w:tcPr>
            <w:tcW w:w="2311" w:type="dxa"/>
            <w:vAlign w:val="center"/>
          </w:tcPr>
          <w:p w14:paraId="3FD89584">
            <w:pPr>
              <w:pStyle w:val="42"/>
              <w:ind w:firstLine="0" w:firstLineChars="0"/>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生产技术部长</w:t>
            </w:r>
          </w:p>
        </w:tc>
        <w:tc>
          <w:tcPr>
            <w:tcW w:w="2222" w:type="dxa"/>
            <w:vAlign w:val="center"/>
          </w:tcPr>
          <w:p w14:paraId="5DC78D41">
            <w:pPr>
              <w:pStyle w:val="42"/>
              <w:ind w:firstLine="0" w:firstLineChars="0"/>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15216257357</w:t>
            </w:r>
          </w:p>
        </w:tc>
      </w:tr>
      <w:tr w14:paraId="18340D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410" w:hRule="atLeast"/>
          <w:jc w:val="center"/>
        </w:trPr>
        <w:tc>
          <w:tcPr>
            <w:tcW w:w="1688" w:type="dxa"/>
            <w:vAlign w:val="center"/>
          </w:tcPr>
          <w:p w14:paraId="2F752F9E">
            <w:pPr>
              <w:pStyle w:val="66"/>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2142" w:type="dxa"/>
            <w:vAlign w:val="center"/>
          </w:tcPr>
          <w:p w14:paraId="42B1A524">
            <w:pPr>
              <w:spacing w:line="240" w:lineRule="auto"/>
              <w:ind w:firstLine="0" w:firstLineChars="0"/>
              <w:jc w:val="center"/>
              <w:rPr>
                <w:rFonts w:hint="eastAsia" w:cs="Times New Roman"/>
                <w:color w:val="auto"/>
                <w:sz w:val="21"/>
                <w:szCs w:val="21"/>
                <w:lang w:val="en-US" w:eastAsia="zh-CN" w:bidi="ar-SA"/>
              </w:rPr>
            </w:pPr>
            <w:r>
              <w:rPr>
                <w:rFonts w:hint="eastAsia" w:eastAsiaTheme="minorEastAsia"/>
                <w:color w:val="auto"/>
                <w:sz w:val="21"/>
                <w:szCs w:val="21"/>
                <w:lang w:val="en-US" w:eastAsia="zh-CN"/>
              </w:rPr>
              <w:t>吴 波</w:t>
            </w:r>
          </w:p>
        </w:tc>
        <w:tc>
          <w:tcPr>
            <w:tcW w:w="2311" w:type="dxa"/>
            <w:vAlign w:val="center"/>
          </w:tcPr>
          <w:p w14:paraId="047C8EEF">
            <w:pPr>
              <w:pStyle w:val="42"/>
              <w:ind w:firstLine="0" w:firstLineChars="0"/>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综合部长</w:t>
            </w:r>
          </w:p>
        </w:tc>
        <w:tc>
          <w:tcPr>
            <w:tcW w:w="2222" w:type="dxa"/>
            <w:vAlign w:val="center"/>
          </w:tcPr>
          <w:p w14:paraId="24496BBA">
            <w:pPr>
              <w:pStyle w:val="42"/>
              <w:ind w:firstLine="0" w:firstLineChars="0"/>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18979465899</w:t>
            </w:r>
          </w:p>
        </w:tc>
      </w:tr>
    </w:tbl>
    <w:p w14:paraId="346C853D">
      <w:pPr>
        <w:pStyle w:val="62"/>
        <w:rPr>
          <w:rFonts w:hint="default" w:ascii="Times New Roman" w:hAnsi="Times New Roman" w:eastAsia="宋体" w:cs="Times New Roman"/>
          <w:b/>
          <w:bCs/>
          <w:caps/>
          <w:color w:val="auto"/>
          <w:kern w:val="2"/>
          <w:sz w:val="24"/>
          <w:szCs w:val="24"/>
          <w:lang w:val="en-US" w:eastAsia="zh-CN" w:bidi="ar-SA"/>
        </w:rPr>
      </w:pPr>
      <w:bookmarkStart w:id="178" w:name="_Toc6259"/>
      <w:r>
        <w:rPr>
          <w:rFonts w:hint="eastAsia" w:ascii="Times New Roman" w:hAnsi="Times New Roman" w:cs="Times New Roman"/>
          <w:b/>
          <w:bCs/>
          <w:caps/>
          <w:color w:val="auto"/>
          <w:kern w:val="2"/>
          <w:sz w:val="24"/>
          <w:szCs w:val="24"/>
          <w:lang w:val="en-US" w:eastAsia="zh-CN" w:bidi="ar-SA"/>
        </w:rPr>
        <w:t>5</w:t>
      </w:r>
      <w:r>
        <w:rPr>
          <w:rFonts w:hint="default" w:ascii="Times New Roman" w:hAnsi="Times New Roman" w:eastAsia="宋体" w:cs="Times New Roman"/>
          <w:b/>
          <w:bCs/>
          <w:caps/>
          <w:color w:val="auto"/>
          <w:kern w:val="2"/>
          <w:sz w:val="24"/>
          <w:szCs w:val="24"/>
          <w:lang w:val="en-US" w:eastAsia="zh-CN" w:bidi="ar-SA"/>
        </w:rPr>
        <w:t>、</w:t>
      </w:r>
      <w:r>
        <w:rPr>
          <w:rFonts w:hint="eastAsia" w:ascii="Times New Roman" w:hAnsi="Times New Roman" w:cs="Times New Roman"/>
          <w:b/>
          <w:bCs/>
          <w:caps/>
          <w:color w:val="auto"/>
          <w:kern w:val="2"/>
          <w:sz w:val="24"/>
          <w:szCs w:val="24"/>
          <w:lang w:val="en-US" w:eastAsia="zh-CN" w:bidi="ar-SA"/>
        </w:rPr>
        <w:t>日常管理</w:t>
      </w:r>
      <w:bookmarkEnd w:id="178"/>
    </w:p>
    <w:p w14:paraId="57BF1BE2">
      <w:pPr>
        <w:pStyle w:val="64"/>
        <w:ind w:firstLine="480"/>
        <w:rPr>
          <w:rFonts w:hint="default" w:ascii="Times New Roman" w:hAnsi="Times New Roman" w:cs="Times New Roman"/>
          <w:color w:val="auto"/>
        </w:rPr>
      </w:pPr>
      <w:r>
        <w:rPr>
          <w:rFonts w:hint="default" w:ascii="Times New Roman" w:hAnsi="Times New Roman" w:cs="Times New Roman"/>
          <w:color w:val="auto"/>
          <w:lang w:val="en-US" w:eastAsia="zh-CN"/>
        </w:rPr>
        <w:t xml:space="preserve">A、危险废物管理 </w:t>
      </w:r>
    </w:p>
    <w:p w14:paraId="07F84DC5">
      <w:pPr>
        <w:pStyle w:val="64"/>
        <w:ind w:firstLine="480"/>
        <w:rPr>
          <w:rFonts w:hint="default" w:ascii="Times New Roman" w:hAnsi="Times New Roman" w:cs="Times New Roman"/>
          <w:color w:val="auto"/>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 xml:space="preserve">）公司生产部对本公司的危险废物环境污染防治工作实施统一监督管理。 </w:t>
      </w:r>
    </w:p>
    <w:p w14:paraId="25805F81">
      <w:pPr>
        <w:pStyle w:val="64"/>
        <w:ind w:firstLine="480"/>
        <w:rPr>
          <w:rFonts w:hint="default" w:ascii="Times New Roman" w:hAnsi="Times New Roman" w:cs="Times New Roman"/>
          <w:color w:val="auto"/>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2</w:t>
      </w:r>
      <w:r>
        <w:rPr>
          <w:rFonts w:hint="eastAsia" w:ascii="Times New Roman" w:hAnsi="Times New Roman" w:cs="Times New Roman"/>
          <w:color w:val="auto"/>
          <w:lang w:val="en-US" w:eastAsia="zh-CN"/>
        </w:rPr>
        <w:t xml:space="preserve">）危险废物实行分类管理，集中处置的原则，实现危险废物的减量化、资源化和无害化。 </w:t>
      </w:r>
    </w:p>
    <w:p w14:paraId="78109CD1">
      <w:pPr>
        <w:pStyle w:val="64"/>
        <w:ind w:firstLine="480"/>
        <w:rPr>
          <w:rFonts w:hint="default" w:ascii="Times New Roman" w:hAnsi="Times New Roman" w:cs="Times New Roman"/>
          <w:color w:val="auto"/>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3</w:t>
      </w:r>
      <w:r>
        <w:rPr>
          <w:rFonts w:hint="eastAsia" w:ascii="Times New Roman" w:hAnsi="Times New Roman" w:cs="Times New Roman"/>
          <w:color w:val="auto"/>
          <w:lang w:val="en-US" w:eastAsia="zh-CN"/>
        </w:rPr>
        <w:t xml:space="preserve">）公司应当将危险废物的污染防治工作纳入公司发展计划，组织建设符合环保要求的储存场所。 </w:t>
      </w:r>
    </w:p>
    <w:p w14:paraId="4B9FD8DD">
      <w:pPr>
        <w:pStyle w:val="64"/>
        <w:ind w:firstLine="480"/>
        <w:rPr>
          <w:rFonts w:hint="default" w:ascii="Times New Roman" w:hAnsi="Times New Roman" w:cs="Times New Roman"/>
          <w:color w:val="auto"/>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4</w:t>
      </w:r>
      <w:r>
        <w:rPr>
          <w:rFonts w:hint="eastAsia" w:ascii="Times New Roman" w:hAnsi="Times New Roman" w:cs="Times New Roman"/>
          <w:color w:val="auto"/>
          <w:lang w:val="en-US" w:eastAsia="zh-CN"/>
        </w:rPr>
        <w:t xml:space="preserve">）任何单位和个人有权对擅自转移、处置危险废物和污染环境的行为投诉和举报。 </w:t>
      </w:r>
    </w:p>
    <w:p w14:paraId="74FFEDEE">
      <w:pPr>
        <w:pStyle w:val="64"/>
        <w:ind w:firstLine="480"/>
        <w:rPr>
          <w:rFonts w:hint="default" w:ascii="Times New Roman" w:hAnsi="Times New Roman" w:cs="Times New Roman"/>
          <w:color w:val="auto"/>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5</w:t>
      </w:r>
      <w:r>
        <w:rPr>
          <w:rFonts w:hint="eastAsia" w:ascii="Times New Roman" w:hAnsi="Times New Roman" w:cs="Times New Roman"/>
          <w:color w:val="auto"/>
          <w:lang w:val="en-US" w:eastAsia="zh-CN"/>
        </w:rPr>
        <w:t xml:space="preserve">）公司环保管理岗应对危险废物的相关情况及时应向市环保局已申报登记。 </w:t>
      </w:r>
    </w:p>
    <w:p w14:paraId="773D0DB8">
      <w:pPr>
        <w:pStyle w:val="64"/>
        <w:ind w:firstLine="480"/>
        <w:rPr>
          <w:rFonts w:hint="default" w:ascii="Times New Roman" w:hAnsi="Times New Roman" w:cs="Times New Roman"/>
          <w:color w:val="auto"/>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6</w:t>
      </w:r>
      <w:r>
        <w:rPr>
          <w:rFonts w:hint="eastAsia" w:ascii="Times New Roman" w:hAnsi="Times New Roman" w:cs="Times New Roman"/>
          <w:color w:val="auto"/>
          <w:lang w:val="en-US" w:eastAsia="zh-CN"/>
        </w:rPr>
        <w:t>）登记事项发生变化的，应当在变化前</w:t>
      </w:r>
      <w:r>
        <w:rPr>
          <w:rFonts w:hint="default" w:ascii="Times New Roman" w:hAnsi="Times New Roman" w:cs="Times New Roman"/>
          <w:color w:val="auto"/>
          <w:lang w:val="en-US" w:eastAsia="zh-CN"/>
        </w:rPr>
        <w:t>15</w:t>
      </w:r>
      <w:r>
        <w:rPr>
          <w:rFonts w:hint="eastAsia" w:ascii="Times New Roman" w:hAnsi="Times New Roman" w:cs="Times New Roman"/>
          <w:color w:val="auto"/>
          <w:lang w:val="en-US" w:eastAsia="zh-CN"/>
        </w:rPr>
        <w:t xml:space="preserve">日内向原登记部门重新申报登记。 </w:t>
      </w:r>
    </w:p>
    <w:p w14:paraId="48D41410">
      <w:pPr>
        <w:pStyle w:val="64"/>
        <w:ind w:firstLine="480"/>
        <w:rPr>
          <w:rFonts w:hint="default" w:ascii="Times New Roman" w:hAnsi="Times New Roman" w:cs="Times New Roman"/>
          <w:color w:val="auto"/>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7</w:t>
      </w:r>
      <w:r>
        <w:rPr>
          <w:rFonts w:hint="eastAsia" w:ascii="Times New Roman" w:hAnsi="Times New Roman" w:cs="Times New Roman"/>
          <w:color w:val="auto"/>
          <w:lang w:val="en-US" w:eastAsia="zh-CN"/>
        </w:rPr>
        <w:t xml:space="preserve">）公司生产部应做好每年一次的危险废物处置设施的运行维护工作。 </w:t>
      </w:r>
    </w:p>
    <w:p w14:paraId="6A3B84E8">
      <w:pPr>
        <w:pStyle w:val="64"/>
        <w:ind w:firstLine="480"/>
        <w:rPr>
          <w:rFonts w:hint="default" w:ascii="Times New Roman" w:hAnsi="Times New Roman" w:cs="Times New Roman"/>
          <w:color w:val="auto"/>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8</w:t>
      </w:r>
      <w:r>
        <w:rPr>
          <w:rFonts w:hint="eastAsia" w:ascii="Times New Roman" w:hAnsi="Times New Roman" w:cs="Times New Roman"/>
          <w:color w:val="auto"/>
          <w:lang w:val="en-US" w:eastAsia="zh-CN"/>
        </w:rPr>
        <w:t xml:space="preserve">）禁止将危险废物和其它废物混合收集、贮存。已经混合的，应当全部按照危险废物处置。 </w:t>
      </w:r>
    </w:p>
    <w:p w14:paraId="7D52E6F8">
      <w:pPr>
        <w:pStyle w:val="64"/>
        <w:ind w:firstLine="480"/>
        <w:rPr>
          <w:rFonts w:hint="default" w:ascii="Times New Roman" w:hAnsi="Times New Roman" w:cs="Times New Roman"/>
          <w:color w:val="auto"/>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9</w:t>
      </w:r>
      <w:r>
        <w:rPr>
          <w:rFonts w:hint="eastAsia" w:ascii="Times New Roman" w:hAnsi="Times New Roman" w:cs="Times New Roman"/>
          <w:color w:val="auto"/>
          <w:lang w:val="en-US" w:eastAsia="zh-CN"/>
        </w:rPr>
        <w:t xml:space="preserve">）禁止向未经许可的区域内倾倒、堆放、填埋和排放危险废物。 </w:t>
      </w:r>
    </w:p>
    <w:p w14:paraId="09FF8700">
      <w:pPr>
        <w:pStyle w:val="64"/>
        <w:ind w:firstLine="480"/>
        <w:rPr>
          <w:rFonts w:hint="default" w:ascii="Times New Roman" w:hAnsi="Times New Roman" w:cs="Times New Roman"/>
          <w:color w:val="auto"/>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10</w:t>
      </w:r>
      <w:r>
        <w:rPr>
          <w:rFonts w:hint="eastAsia" w:ascii="Times New Roman" w:hAnsi="Times New Roman" w:cs="Times New Roman"/>
          <w:color w:val="auto"/>
          <w:lang w:val="en-US" w:eastAsia="zh-CN"/>
        </w:rPr>
        <w:t xml:space="preserve">）公司不得将危险废物提供或者委托给无经营许可证的单位收集、贮存、运送和处置。 </w:t>
      </w:r>
    </w:p>
    <w:p w14:paraId="3D15CF3F">
      <w:pPr>
        <w:pStyle w:val="64"/>
        <w:ind w:firstLine="480"/>
        <w:rPr>
          <w:rFonts w:hint="default" w:ascii="Times New Roman" w:hAnsi="Times New Roman" w:cs="Times New Roman"/>
          <w:color w:val="auto"/>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11</w:t>
      </w:r>
      <w:r>
        <w:rPr>
          <w:rFonts w:hint="eastAsia" w:ascii="Times New Roman" w:hAnsi="Times New Roman" w:cs="Times New Roman"/>
          <w:color w:val="auto"/>
          <w:lang w:val="en-US" w:eastAsia="zh-CN"/>
        </w:rPr>
        <w:t>）产废单位在转移危险废物前，须向环保部门报送危险废物转移计划，填写并领取危险废物转移联单。在转移前</w:t>
      </w:r>
      <w:r>
        <w:rPr>
          <w:rFonts w:hint="default" w:ascii="Times New Roman" w:hAnsi="Times New Roman" w:cs="Times New Roman"/>
          <w:color w:val="auto"/>
          <w:lang w:val="en-US" w:eastAsia="zh-CN"/>
        </w:rPr>
        <w:t>3</w:t>
      </w:r>
      <w:r>
        <w:rPr>
          <w:rFonts w:hint="eastAsia" w:ascii="Times New Roman" w:hAnsi="Times New Roman" w:cs="Times New Roman"/>
          <w:color w:val="auto"/>
          <w:lang w:val="en-US" w:eastAsia="zh-CN"/>
        </w:rPr>
        <w:t xml:space="preserve">日内报告移出地环保部门 ，同时将到达时间报告移入地环保部门。 </w:t>
      </w:r>
    </w:p>
    <w:p w14:paraId="6101689A">
      <w:pPr>
        <w:pStyle w:val="64"/>
        <w:ind w:firstLine="480"/>
        <w:rPr>
          <w:rFonts w:hint="default" w:ascii="Times New Roman" w:hAnsi="Times New Roman" w:cs="Times New Roman"/>
          <w:color w:val="auto"/>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12</w:t>
      </w:r>
      <w:r>
        <w:rPr>
          <w:rFonts w:hint="eastAsia" w:ascii="Times New Roman" w:hAnsi="Times New Roman" w:cs="Times New Roman"/>
          <w:color w:val="auto"/>
          <w:lang w:val="en-US" w:eastAsia="zh-CN"/>
        </w:rPr>
        <w:t xml:space="preserve">）危险废物接受场所的边界应当用墙体或者其它安全遮蔽物封闭，并在进出口设置明显的危险废物标志。 </w:t>
      </w:r>
    </w:p>
    <w:p w14:paraId="7F353A77">
      <w:pPr>
        <w:pStyle w:val="64"/>
        <w:ind w:firstLine="480"/>
        <w:rPr>
          <w:rFonts w:hint="default" w:ascii="Times New Roman" w:hAnsi="Times New Roman" w:cs="Times New Roman"/>
          <w:color w:val="auto"/>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13</w:t>
      </w:r>
      <w:r>
        <w:rPr>
          <w:rFonts w:hint="eastAsia" w:ascii="Times New Roman" w:hAnsi="Times New Roman" w:cs="Times New Roman"/>
          <w:color w:val="auto"/>
          <w:lang w:val="en-US" w:eastAsia="zh-CN"/>
        </w:rPr>
        <w:t xml:space="preserve">）产废单位、处置单位应当采取有效的职业防护措施，并制定发生事故时的应急方案。 </w:t>
      </w:r>
    </w:p>
    <w:p w14:paraId="4E8E36C4">
      <w:pPr>
        <w:pStyle w:val="64"/>
        <w:ind w:firstLine="480"/>
        <w:rPr>
          <w:rFonts w:hint="default" w:ascii="Times New Roman" w:hAnsi="Times New Roman" w:cs="Times New Roman"/>
          <w:color w:val="auto"/>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14</w:t>
      </w:r>
      <w:r>
        <w:rPr>
          <w:rFonts w:hint="eastAsia" w:ascii="Times New Roman" w:hAnsi="Times New Roman" w:cs="Times New Roman"/>
          <w:color w:val="auto"/>
          <w:lang w:val="en-US" w:eastAsia="zh-CN"/>
        </w:rPr>
        <w:t xml:space="preserve">）从事危险废物的收集、贮存、经营、运送、接收和处置的工作人员和管理人员， 应当配备必要的防护用品，定期进行健康检查。 </w:t>
      </w:r>
    </w:p>
    <w:p w14:paraId="305A3DE1">
      <w:pPr>
        <w:pStyle w:val="64"/>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15</w:t>
      </w:r>
      <w:r>
        <w:rPr>
          <w:rFonts w:hint="eastAsia" w:ascii="Times New Roman" w:hAnsi="Times New Roman" w:cs="Times New Roman"/>
          <w:color w:val="auto"/>
          <w:lang w:val="en-US" w:eastAsia="zh-CN"/>
        </w:rPr>
        <w:t xml:space="preserve">）从事危险废物的收集、贮存、经营、运送、接收和处置的工作人员和管理人员， 应当接受相关法律、专业技术、安全防护以及紧急处理等知识的培训。 </w:t>
      </w:r>
    </w:p>
    <w:p w14:paraId="6F721819">
      <w:pPr>
        <w:pStyle w:val="64"/>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16</w:t>
      </w:r>
      <w:r>
        <w:rPr>
          <w:rFonts w:hint="eastAsia" w:ascii="Times New Roman" w:hAnsi="Times New Roman" w:cs="Times New Roman"/>
          <w:color w:val="auto"/>
          <w:lang w:val="en-US" w:eastAsia="zh-CN"/>
        </w:rPr>
        <w:t xml:space="preserve">）危险废物焚烧处理的，其排放的烟气应当达到国家规定的危险废物焚烧污染控制标准。 </w:t>
      </w:r>
    </w:p>
    <w:p w14:paraId="5DB8B758">
      <w:pPr>
        <w:pStyle w:val="64"/>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17</w:t>
      </w:r>
      <w:r>
        <w:rPr>
          <w:rFonts w:hint="eastAsia" w:ascii="Times New Roman" w:hAnsi="Times New Roman" w:cs="Times New Roman"/>
          <w:color w:val="auto"/>
          <w:lang w:val="en-US" w:eastAsia="zh-CN"/>
        </w:rPr>
        <w:t xml:space="preserve">）危险废物在收集、运送、贮存、利用和处置过程中发生污染事故或者其他突发性污染事故时，有关单位和个人应当立即采取防止或者减轻污染危害的措施，及时向可能受到污染危害的单位和居民通报情况，同时向事故发生地环保部门报告。 </w:t>
      </w:r>
    </w:p>
    <w:p w14:paraId="2B14E023">
      <w:pPr>
        <w:pStyle w:val="64"/>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18</w:t>
      </w:r>
      <w:r>
        <w:rPr>
          <w:rFonts w:hint="eastAsia" w:ascii="Times New Roman" w:hAnsi="Times New Roman" w:cs="Times New Roman"/>
          <w:color w:val="auto"/>
          <w:lang w:val="en-US" w:eastAsia="zh-CN"/>
        </w:rPr>
        <w:t>）危险废物污染防治设施、设备和场所应当保证其正常运行和使用，不得擅自关闭、拆除或者停用；确有必要关闭、拆除或者停用的，必须在实施关闭、拆除或者停用前</w:t>
      </w:r>
      <w:r>
        <w:rPr>
          <w:rFonts w:hint="default" w:ascii="Times New Roman" w:hAnsi="Times New Roman" w:cs="Times New Roman"/>
          <w:color w:val="auto"/>
          <w:lang w:val="en-US" w:eastAsia="zh-CN"/>
        </w:rPr>
        <w:t>20</w:t>
      </w:r>
      <w:r>
        <w:rPr>
          <w:rFonts w:hint="eastAsia" w:ascii="Times New Roman" w:hAnsi="Times New Roman" w:cs="Times New Roman"/>
          <w:color w:val="auto"/>
          <w:lang w:val="en-US" w:eastAsia="zh-CN"/>
        </w:rPr>
        <w:t>日内报所在地环保部门批准。环保部门自接到书面申请之日起</w:t>
      </w:r>
      <w:r>
        <w:rPr>
          <w:rFonts w:hint="default" w:ascii="Times New Roman" w:hAnsi="Times New Roman" w:cs="Times New Roman"/>
          <w:color w:val="auto"/>
          <w:lang w:val="en-US" w:eastAsia="zh-CN"/>
        </w:rPr>
        <w:t>15</w:t>
      </w:r>
      <w:r>
        <w:rPr>
          <w:rFonts w:hint="eastAsia" w:ascii="Times New Roman" w:hAnsi="Times New Roman" w:cs="Times New Roman"/>
          <w:color w:val="auto"/>
          <w:lang w:val="en-US" w:eastAsia="zh-CN"/>
        </w:rPr>
        <w:t>日内应当作出决定。</w:t>
      </w:r>
    </w:p>
    <w:p w14:paraId="4042C842">
      <w:pPr>
        <w:pStyle w:val="64"/>
        <w:ind w:firstLine="480"/>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B </w:t>
      </w:r>
      <w:r>
        <w:rPr>
          <w:rFonts w:hint="eastAsia" w:ascii="Times New Roman" w:hAnsi="Times New Roman" w:cs="Times New Roman"/>
          <w:color w:val="auto"/>
          <w:lang w:val="en-US" w:eastAsia="zh-CN"/>
        </w:rPr>
        <w:t xml:space="preserve">危险废物运输管理 </w:t>
      </w:r>
    </w:p>
    <w:p w14:paraId="042E0CE0">
      <w:pPr>
        <w:pStyle w:val="64"/>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 xml:space="preserve">）运送危险废物应配专用车辆，没有专运车辆的应当在危险废物集中处置场所内及时进行消毒和清洁。 </w:t>
      </w:r>
    </w:p>
    <w:p w14:paraId="2CE9255D">
      <w:pPr>
        <w:pStyle w:val="64"/>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2</w:t>
      </w:r>
      <w:r>
        <w:rPr>
          <w:rFonts w:hint="eastAsia" w:ascii="Times New Roman" w:hAnsi="Times New Roman" w:cs="Times New Roman"/>
          <w:color w:val="auto"/>
          <w:lang w:val="en-US" w:eastAsia="zh-CN"/>
        </w:rPr>
        <w:t xml:space="preserve">）生产部应与运输单位或个人签订防止车辆运输泄漏、遗撒协议书，对运输单位和运输车辆进行督促检查。 </w:t>
      </w:r>
    </w:p>
    <w:p w14:paraId="1882233B">
      <w:pPr>
        <w:pStyle w:val="64"/>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3</w:t>
      </w:r>
      <w:r>
        <w:rPr>
          <w:rFonts w:hint="eastAsia" w:ascii="Times New Roman" w:hAnsi="Times New Roman" w:cs="Times New Roman"/>
          <w:color w:val="auto"/>
          <w:lang w:val="en-US" w:eastAsia="zh-CN"/>
        </w:rPr>
        <w:t xml:space="preserve">）设专人负责运输车辆的管理，制定责任制度并组织实施，严禁使用不符合条件的车辆运输。 </w:t>
      </w:r>
    </w:p>
    <w:p w14:paraId="3015AEB3">
      <w:pPr>
        <w:pStyle w:val="64"/>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4</w:t>
      </w:r>
      <w:r>
        <w:rPr>
          <w:rFonts w:hint="eastAsia" w:ascii="Times New Roman" w:hAnsi="Times New Roman" w:cs="Times New Roman"/>
          <w:color w:val="auto"/>
          <w:lang w:val="en-US" w:eastAsia="zh-CN"/>
        </w:rPr>
        <w:t xml:space="preserve">）运输车辆不得超量装载。 </w:t>
      </w:r>
    </w:p>
    <w:p w14:paraId="706FDACF">
      <w:pPr>
        <w:pStyle w:val="64"/>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5</w:t>
      </w:r>
      <w:r>
        <w:rPr>
          <w:rFonts w:hint="eastAsia" w:ascii="Times New Roman" w:hAnsi="Times New Roman" w:cs="Times New Roman"/>
          <w:color w:val="auto"/>
          <w:lang w:val="en-US" w:eastAsia="zh-CN"/>
        </w:rPr>
        <w:t xml:space="preserve">）运输车辆必须按公司危废管理部门和公司保卫部门批准的运输线路和时间运输， 按接收单位指定的场地倾倒。 </w:t>
      </w:r>
    </w:p>
    <w:p w14:paraId="7DE92FC0">
      <w:pPr>
        <w:pStyle w:val="64"/>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6</w:t>
      </w:r>
      <w:r>
        <w:rPr>
          <w:rFonts w:hint="eastAsia" w:ascii="Times New Roman" w:hAnsi="Times New Roman" w:cs="Times New Roman"/>
          <w:color w:val="auto"/>
          <w:lang w:val="en-US" w:eastAsia="zh-CN"/>
        </w:rPr>
        <w:t xml:space="preserve">）运输车辆在运输过程中，必须密封、包扎、苫盖，并将车厢槽帮、车轮清洗干净， 保证在运输线路中不泄漏、遗撒、带泥上路。下雨、雪后、道路泥泞时，禁止车辆进出污染道路。 </w:t>
      </w:r>
    </w:p>
    <w:p w14:paraId="08DB8E6A">
      <w:pPr>
        <w:pStyle w:val="64"/>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7</w:t>
      </w:r>
      <w:r>
        <w:rPr>
          <w:rFonts w:hint="eastAsia" w:ascii="Times New Roman" w:hAnsi="Times New Roman" w:cs="Times New Roman"/>
          <w:color w:val="auto"/>
          <w:lang w:val="en-US" w:eastAsia="zh-CN"/>
        </w:rPr>
        <w:t>）违反上述规定的将按照公司相关制度进行处罚。</w:t>
      </w:r>
    </w:p>
    <w:p w14:paraId="2C7A15CF">
      <w:pPr>
        <w:pStyle w:val="62"/>
        <w:rPr>
          <w:rFonts w:hint="default" w:ascii="Times New Roman" w:hAnsi="Times New Roman" w:eastAsia="宋体" w:cs="Times New Roman"/>
          <w:b/>
          <w:bCs/>
          <w:caps/>
          <w:color w:val="auto"/>
          <w:kern w:val="2"/>
          <w:sz w:val="24"/>
          <w:szCs w:val="24"/>
          <w:lang w:val="en-US" w:eastAsia="zh-CN" w:bidi="ar-SA"/>
        </w:rPr>
      </w:pPr>
      <w:bookmarkStart w:id="179" w:name="_Toc3688"/>
      <w:r>
        <w:rPr>
          <w:rFonts w:hint="eastAsia" w:ascii="Times New Roman" w:hAnsi="Times New Roman" w:cs="Times New Roman"/>
          <w:b/>
          <w:bCs/>
          <w:caps/>
          <w:color w:val="auto"/>
          <w:kern w:val="2"/>
          <w:sz w:val="24"/>
          <w:szCs w:val="24"/>
          <w:lang w:val="en-US" w:eastAsia="zh-CN" w:bidi="ar-SA"/>
        </w:rPr>
        <w:t>6</w:t>
      </w:r>
      <w:r>
        <w:rPr>
          <w:rFonts w:hint="default" w:ascii="Times New Roman" w:hAnsi="Times New Roman" w:eastAsia="宋体" w:cs="Times New Roman"/>
          <w:b/>
          <w:bCs/>
          <w:caps/>
          <w:color w:val="auto"/>
          <w:kern w:val="2"/>
          <w:sz w:val="24"/>
          <w:szCs w:val="24"/>
          <w:lang w:val="en-US" w:eastAsia="zh-CN" w:bidi="ar-SA"/>
        </w:rPr>
        <w:t>、</w:t>
      </w:r>
      <w:r>
        <w:rPr>
          <w:rFonts w:hint="eastAsia" w:ascii="Times New Roman" w:hAnsi="Times New Roman" w:cs="Times New Roman"/>
          <w:b/>
          <w:bCs/>
          <w:caps/>
          <w:color w:val="auto"/>
          <w:kern w:val="2"/>
          <w:sz w:val="24"/>
          <w:szCs w:val="24"/>
          <w:lang w:val="en-US" w:eastAsia="zh-CN" w:bidi="ar-SA"/>
        </w:rPr>
        <w:t>应急措施</w:t>
      </w:r>
      <w:bookmarkEnd w:id="179"/>
    </w:p>
    <w:p w14:paraId="1BFADD38">
      <w:pPr>
        <w:keepNext w:val="0"/>
        <w:keepLines w:val="0"/>
        <w:widowControl/>
        <w:suppressLineNumbers w:val="0"/>
        <w:jc w:val="left"/>
        <w:rPr>
          <w:rFonts w:hint="eastAsia" w:ascii="Times New Roman" w:hAnsi="Times New Roman" w:eastAsia="宋体" w:cs="Times New Roman"/>
          <w:bCs w:val="0"/>
          <w:color w:val="auto"/>
          <w:kern w:val="2"/>
          <w:sz w:val="24"/>
          <w:szCs w:val="24"/>
          <w:lang w:val="en-US" w:eastAsia="zh-CN" w:bidi="ar-SA"/>
        </w:rPr>
      </w:pPr>
      <w:r>
        <w:rPr>
          <w:rFonts w:hint="eastAsia" w:ascii="Times New Roman" w:hAnsi="Times New Roman" w:eastAsia="宋体" w:cs="Times New Roman"/>
          <w:bCs w:val="0"/>
          <w:color w:val="auto"/>
          <w:kern w:val="2"/>
          <w:sz w:val="24"/>
          <w:szCs w:val="24"/>
          <w:lang w:val="en-US" w:eastAsia="zh-CN" w:bidi="ar-SA"/>
        </w:rPr>
        <w:t>危险废物在产生、收集及转运过程中可能发生泄露、火灾爆炸等突发环境事件，应采取如下措施：</w:t>
      </w:r>
    </w:p>
    <w:p w14:paraId="267649C0">
      <w:pPr>
        <w:pStyle w:val="64"/>
        <w:ind w:firstLine="480"/>
        <w:rPr>
          <w:rFonts w:hint="eastAsia" w:ascii="Times New Roman" w:hAnsi="Times New Roman" w:cs="Times New Roman"/>
          <w:color w:val="auto"/>
          <w:lang w:val="en-US" w:eastAsia="zh-CN"/>
        </w:rPr>
      </w:pPr>
      <w:r>
        <w:rPr>
          <w:rFonts w:hint="eastAsia" w:hAnsi="Times New Roman" w:cs="Times New Roman"/>
          <w:b/>
          <w:bCs/>
          <w:color w:val="auto"/>
          <w:lang w:val="en-US" w:eastAsia="zh-CN"/>
        </w:rPr>
        <w:t>A、</w:t>
      </w:r>
      <w:r>
        <w:rPr>
          <w:rFonts w:hint="eastAsia" w:ascii="Times New Roman" w:hAnsi="Times New Roman" w:cs="Times New Roman"/>
          <w:b/>
          <w:bCs/>
          <w:color w:val="auto"/>
          <w:lang w:val="en-US" w:eastAsia="zh-CN"/>
        </w:rPr>
        <w:t>危险废物泄漏事故应急处理措施</w:t>
      </w:r>
      <w:r>
        <w:rPr>
          <w:rFonts w:hint="eastAsia" w:ascii="Times New Roman" w:hAnsi="Times New Roman" w:cs="Times New Roman"/>
          <w:color w:val="auto"/>
          <w:lang w:val="en-US" w:eastAsia="zh-CN"/>
        </w:rPr>
        <w:t xml:space="preserve"> </w:t>
      </w:r>
    </w:p>
    <w:p w14:paraId="5B8CD39D">
      <w:pPr>
        <w:pStyle w:val="64"/>
        <w:ind w:firstLine="480"/>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 xml:space="preserve">、应从上风处接近现场，严禁盲目进入。 </w:t>
      </w:r>
    </w:p>
    <w:p w14:paraId="2016555F">
      <w:pPr>
        <w:pStyle w:val="64"/>
        <w:ind w:firstLine="480"/>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2</w:t>
      </w:r>
      <w:r>
        <w:rPr>
          <w:rFonts w:hint="eastAsia" w:ascii="Times New Roman" w:hAnsi="Times New Roman" w:cs="Times New Roman"/>
          <w:color w:val="auto"/>
          <w:lang w:val="en-US" w:eastAsia="zh-CN"/>
        </w:rPr>
        <w:t xml:space="preserve">、严禁火种，避免一切因磨擦、碰撞而引起的静电或火花。扑灭任何明火及任何其它形式的热源和火源，以降低发生火灾爆炸危险性。 </w:t>
      </w:r>
    </w:p>
    <w:p w14:paraId="2EFDA892">
      <w:pPr>
        <w:pStyle w:val="64"/>
        <w:ind w:firstLine="480"/>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3</w:t>
      </w:r>
      <w:r>
        <w:rPr>
          <w:rFonts w:hint="eastAsia" w:ascii="Times New Roman" w:hAnsi="Times New Roman" w:cs="Times New Roman"/>
          <w:color w:val="auto"/>
          <w:lang w:val="en-US" w:eastAsia="zh-CN"/>
        </w:rPr>
        <w:t xml:space="preserve">、使用不产生冲击、静电火花的工具把泄漏物回收至密闭的容器中，移至安全场所。 </w:t>
      </w:r>
    </w:p>
    <w:p w14:paraId="622C052C">
      <w:pPr>
        <w:pStyle w:val="64"/>
        <w:ind w:firstLine="480"/>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4</w:t>
      </w:r>
      <w:r>
        <w:rPr>
          <w:rFonts w:hint="eastAsia" w:ascii="Times New Roman" w:hAnsi="Times New Roman" w:cs="Times New Roman"/>
          <w:color w:val="auto"/>
          <w:lang w:val="en-US" w:eastAsia="zh-CN"/>
        </w:rPr>
        <w:t xml:space="preserve">、切断火源，小量泄漏：及时清扫。大量泄漏：项目危险废物产生量较小，不会发生大量泄露情况。 </w:t>
      </w:r>
    </w:p>
    <w:p w14:paraId="42A12F7F">
      <w:pPr>
        <w:pStyle w:val="64"/>
        <w:ind w:firstLine="480"/>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5</w:t>
      </w:r>
      <w:r>
        <w:rPr>
          <w:rFonts w:hint="eastAsia" w:ascii="Times New Roman" w:hAnsi="Times New Roman" w:cs="Times New Roman"/>
          <w:color w:val="auto"/>
          <w:lang w:val="en-US" w:eastAsia="zh-CN"/>
        </w:rPr>
        <w:t xml:space="preserve">、保持空气流通，减少挥发性溶剂聚集，避免发生安全事故。 </w:t>
      </w:r>
    </w:p>
    <w:p w14:paraId="4C2B8221">
      <w:pPr>
        <w:pStyle w:val="64"/>
        <w:ind w:firstLine="480"/>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6</w:t>
      </w:r>
      <w:r>
        <w:rPr>
          <w:rFonts w:hint="eastAsia" w:ascii="Times New Roman" w:hAnsi="Times New Roman" w:cs="Times New Roman"/>
          <w:color w:val="auto"/>
          <w:lang w:val="en-US" w:eastAsia="zh-CN"/>
        </w:rPr>
        <w:t xml:space="preserve">、应急处理时严禁单独行动，要有协同人，必要时用消防水龙带喷水掩护。 </w:t>
      </w:r>
    </w:p>
    <w:p w14:paraId="103BE546">
      <w:pPr>
        <w:pStyle w:val="64"/>
        <w:ind w:firstLine="480"/>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7</w:t>
      </w:r>
      <w:r>
        <w:rPr>
          <w:rFonts w:hint="eastAsia" w:ascii="Times New Roman" w:hAnsi="Times New Roman" w:cs="Times New Roman"/>
          <w:color w:val="auto"/>
          <w:lang w:val="en-US" w:eastAsia="zh-CN"/>
        </w:rPr>
        <w:t>、作好相关泄漏记录，及时查明原因和追究相关责任。</w:t>
      </w:r>
    </w:p>
    <w:p w14:paraId="622E79CE">
      <w:pPr>
        <w:pStyle w:val="64"/>
        <w:ind w:firstLine="480"/>
        <w:rPr>
          <w:rFonts w:hint="default" w:ascii="Times New Roman" w:hAnsi="Times New Roman" w:cs="Times New Roman"/>
          <w:b/>
          <w:bCs/>
          <w:color w:val="auto"/>
          <w:lang w:val="en-US" w:eastAsia="zh-CN"/>
        </w:rPr>
      </w:pPr>
      <w:r>
        <w:rPr>
          <w:rFonts w:hint="eastAsia" w:hAnsi="Times New Roman" w:cs="Times New Roman"/>
          <w:b/>
          <w:bCs/>
          <w:color w:val="auto"/>
          <w:lang w:val="en-US" w:eastAsia="zh-CN"/>
        </w:rPr>
        <w:t>B</w:t>
      </w:r>
      <w:r>
        <w:rPr>
          <w:rFonts w:hint="default" w:ascii="Times New Roman" w:hAnsi="Times New Roman" w:cs="Times New Roman"/>
          <w:b/>
          <w:bCs/>
          <w:color w:val="auto"/>
          <w:lang w:val="en-US" w:eastAsia="zh-CN"/>
        </w:rPr>
        <w:t xml:space="preserve"> 危废中毒事故应急处理措施 </w:t>
      </w:r>
    </w:p>
    <w:p w14:paraId="3C851438">
      <w:pPr>
        <w:pStyle w:val="64"/>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 xml:space="preserve">、迅速脱离有害环境：中毒人员应迅速脱离有害环境，已昏迷不能自行脱离的，医护室救护人员应迅速帮助中毒者离开现场，但救护人员必须做好自身及协同人员的保护措施， 进入有害化学品区要注意佩带诸如防护服、防护鞋、防毒面具等防护用品，以免造成更多的人员中毒。 </w:t>
      </w:r>
    </w:p>
    <w:p w14:paraId="5D8AE5F1">
      <w:pPr>
        <w:pStyle w:val="64"/>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w:t>
      </w:r>
      <w:r>
        <w:rPr>
          <w:rFonts w:hint="eastAsia" w:ascii="Times New Roman" w:hAnsi="Times New Roman" w:cs="Times New Roman"/>
          <w:color w:val="auto"/>
          <w:lang w:val="en-US" w:eastAsia="zh-CN"/>
        </w:rPr>
        <w:t xml:space="preserve">、截断中毒源：消除泄漏的源头，堵漏，避免毒害范围的扩大。 </w:t>
      </w:r>
    </w:p>
    <w:p w14:paraId="4C81FA8C">
      <w:pPr>
        <w:pStyle w:val="64"/>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w:t>
      </w:r>
      <w:r>
        <w:rPr>
          <w:rFonts w:hint="eastAsia" w:ascii="Times New Roman" w:hAnsi="Times New Roman" w:cs="Times New Roman"/>
          <w:color w:val="auto"/>
          <w:lang w:val="en-US" w:eastAsia="zh-CN"/>
        </w:rPr>
        <w:t xml:space="preserve">、紧急救护措施：因吸入或食入有毒物质而出现流涎、恶心、呕吐、昏迷、腹痛、腹泻、多汗、双瞳孔缩小、流泪、视物模糊、流涕、呼吸困难、其它不适等中毒现象时，其它员工有责任对其进行抢救，并视不同情况采取如下急救措施： </w:t>
      </w:r>
    </w:p>
    <w:p w14:paraId="1C709E21">
      <w:pPr>
        <w:pStyle w:val="64"/>
        <w:ind w:firstLine="48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）皮肤接触：皮肤受到有毒物质污染后要尽快脱去被污染的衣物，包括内衣裤。污染的皮肤要尽快用肥皂水清洗，再用清水冲洗干净。</w:t>
      </w:r>
    </w:p>
    <w:p w14:paraId="2AE0CD68">
      <w:pPr>
        <w:pStyle w:val="64"/>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w:t>
      </w:r>
      <w:r>
        <w:rPr>
          <w:rFonts w:hint="eastAsia" w:ascii="Times New Roman" w:hAnsi="Times New Roman" w:cs="Times New Roman"/>
          <w:color w:val="auto"/>
          <w:lang w:val="en-US" w:eastAsia="zh-CN"/>
        </w:rPr>
        <w:t>）眼睛接触：立即翻开上下眼睑，用流动清水冲洗至少要持续</w:t>
      </w:r>
      <w:r>
        <w:rPr>
          <w:rFonts w:hint="default" w:ascii="Times New Roman" w:hAnsi="Times New Roman" w:cs="Times New Roman"/>
          <w:color w:val="auto"/>
          <w:lang w:val="en-US" w:eastAsia="zh-CN"/>
        </w:rPr>
        <w:t>10-20</w:t>
      </w:r>
      <w:r>
        <w:rPr>
          <w:rFonts w:hint="eastAsia" w:ascii="Times New Roman" w:hAnsi="Times New Roman" w:cs="Times New Roman"/>
          <w:color w:val="auto"/>
          <w:lang w:val="en-US" w:eastAsia="zh-CN"/>
        </w:rPr>
        <w:t xml:space="preserve">分钟，就医。 </w:t>
      </w:r>
    </w:p>
    <w:p w14:paraId="75BFD4D2">
      <w:pPr>
        <w:pStyle w:val="64"/>
        <w:ind w:firstLine="48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3</w:t>
      </w:r>
      <w:r>
        <w:rPr>
          <w:rFonts w:hint="eastAsia" w:ascii="Times New Roman" w:hAnsi="Times New Roman" w:cs="Times New Roman"/>
          <w:color w:val="auto"/>
          <w:lang w:val="en-US" w:eastAsia="zh-CN"/>
        </w:rPr>
        <w:t xml:space="preserve">）吸入：迅速脱离现场至空气新鲜处，令其平躺，清除口腔、鼻腔分泌物等，维护呼吸道畅通；若出现呼吸困难补氧，可采用人工呼吸、吸氧，或指压人中、内关、足三里等方法。 </w:t>
      </w:r>
    </w:p>
    <w:p w14:paraId="560A2B22">
      <w:pPr>
        <w:pStyle w:val="64"/>
        <w:ind w:firstLine="48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4</w:t>
      </w:r>
      <w:r>
        <w:rPr>
          <w:rFonts w:hint="eastAsia" w:ascii="Times New Roman" w:hAnsi="Times New Roman" w:cs="Times New Roman"/>
          <w:color w:val="auto"/>
          <w:lang w:val="en-US" w:eastAsia="zh-CN"/>
        </w:rPr>
        <w:t>）食入：误食入者，用软物、手指刺激中毒员工咽后壁手法催吐。每次催吐后，口服清水或温淡盐水</w:t>
      </w:r>
      <w:r>
        <w:rPr>
          <w:rFonts w:hint="default" w:ascii="Times New Roman" w:hAnsi="Times New Roman" w:cs="Times New Roman"/>
          <w:color w:val="auto"/>
          <w:lang w:val="en-US" w:eastAsia="zh-CN"/>
        </w:rPr>
        <w:t>100-200</w:t>
      </w:r>
      <w:r>
        <w:rPr>
          <w:rFonts w:hint="eastAsia" w:ascii="Times New Roman" w:hAnsi="Times New Roman" w:cs="Times New Roman"/>
          <w:color w:val="auto"/>
          <w:lang w:val="en-US" w:eastAsia="zh-CN"/>
        </w:rPr>
        <w:t>毫升，隔</w:t>
      </w:r>
      <w:r>
        <w:rPr>
          <w:rFonts w:hint="default" w:ascii="Times New Roman" w:hAnsi="Times New Roman" w:cs="Times New Roman"/>
          <w:color w:val="auto"/>
          <w:lang w:val="en-US" w:eastAsia="zh-CN"/>
        </w:rPr>
        <w:t>3-5</w:t>
      </w:r>
      <w:r>
        <w:rPr>
          <w:rFonts w:hint="eastAsia" w:ascii="Times New Roman" w:hAnsi="Times New Roman" w:cs="Times New Roman"/>
          <w:color w:val="auto"/>
          <w:lang w:val="en-US" w:eastAsia="zh-CN"/>
        </w:rPr>
        <w:t>分钟后再次催吐，直至呕吐物变清、无异味为止。服食腐蚀性毒物及抽搐尚未控制者不宜催吐。催吐后，不论其效果如何或不宜催吐者，都应及时充分的洗胃，以便稀释毒物 ，消除毒物，保护机体，减轻损害。现场可采用刺激呕吐洗胃法，即先让中 毒者喝下适量的洗胃剂（约</w:t>
      </w:r>
      <w:r>
        <w:rPr>
          <w:rFonts w:hint="default" w:ascii="Times New Roman" w:hAnsi="Times New Roman" w:cs="Times New Roman"/>
          <w:color w:val="auto"/>
          <w:lang w:val="en-US" w:eastAsia="zh-CN"/>
        </w:rPr>
        <w:t>500</w:t>
      </w:r>
      <w:r>
        <w:rPr>
          <w:rFonts w:hint="eastAsia" w:ascii="Times New Roman" w:hAnsi="Times New Roman" w:cs="Times New Roman"/>
          <w:color w:val="auto"/>
          <w:lang w:val="en-US" w:eastAsia="zh-CN"/>
        </w:rPr>
        <w:t xml:space="preserve">毫升左右），然后刺激咽喉使其呕吐， 吐后再饮再使之呕吐，反复几次至呕吐物清澈为止。常用的洗胃液有：清水、淡盐水、淡肥皂水、茶水等。 </w:t>
      </w:r>
    </w:p>
    <w:p w14:paraId="35113403">
      <w:pPr>
        <w:pStyle w:val="64"/>
        <w:ind w:firstLine="48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5</w:t>
      </w:r>
      <w:r>
        <w:rPr>
          <w:rFonts w:hint="eastAsia" w:ascii="Times New Roman" w:hAnsi="Times New Roman" w:cs="Times New Roman"/>
          <w:color w:val="auto"/>
          <w:lang w:val="en-US" w:eastAsia="zh-CN"/>
        </w:rPr>
        <w:t xml:space="preserve">）昏迷：员工在现场抢救和运送途中要防止因咽喉周围组织松弛造成的窒息，同时也要防止胃内容物涌出造成窒息及吸入性肺炎。对昏睡及神志不清的员工要采用昏睡体位。昏睡体位为：左侧躺下，左手过头伸直，头枕在左手上，右手弯曲支住下巴；右腿稍微前曲。 </w:t>
      </w:r>
    </w:p>
    <w:p w14:paraId="75AFEB65">
      <w:pPr>
        <w:pStyle w:val="64"/>
        <w:ind w:firstLine="48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6</w:t>
      </w:r>
      <w:r>
        <w:rPr>
          <w:rFonts w:hint="eastAsia" w:ascii="Times New Roman" w:hAnsi="Times New Roman" w:cs="Times New Roman"/>
          <w:color w:val="auto"/>
          <w:lang w:val="en-US" w:eastAsia="zh-CN"/>
        </w:rPr>
        <w:t>）不论哪种形式的中毒，经现场抢救后都应送往医院就医。拨打</w:t>
      </w:r>
      <w:r>
        <w:rPr>
          <w:rFonts w:hint="default" w:ascii="Times New Roman" w:hAnsi="Times New Roman" w:cs="Times New Roman"/>
          <w:color w:val="auto"/>
          <w:lang w:val="en-US" w:eastAsia="zh-CN"/>
        </w:rPr>
        <w:t>120</w:t>
      </w:r>
      <w:r>
        <w:rPr>
          <w:rFonts w:hint="eastAsia" w:ascii="Times New Roman" w:hAnsi="Times New Roman" w:cs="Times New Roman"/>
          <w:color w:val="auto"/>
          <w:lang w:val="en-US" w:eastAsia="zh-CN"/>
        </w:rPr>
        <w:t>急救中心电话， 就近送医院作进一步的抢救、治疗。</w:t>
      </w:r>
    </w:p>
    <w:p w14:paraId="404AB819">
      <w:pPr>
        <w:pStyle w:val="64"/>
        <w:ind w:firstLine="480"/>
        <w:rPr>
          <w:rFonts w:hint="default" w:ascii="Times New Roman" w:hAnsi="Times New Roman" w:cs="Times New Roman"/>
          <w:color w:val="auto"/>
          <w:lang w:val="en-US" w:eastAsia="zh-CN"/>
        </w:rPr>
      </w:pPr>
      <w:r>
        <w:rPr>
          <w:rFonts w:hint="eastAsia" w:hAnsi="Times New Roman" w:cs="Times New Roman"/>
          <w:b/>
          <w:bCs/>
          <w:color w:val="auto"/>
          <w:lang w:val="en-US" w:eastAsia="zh-CN"/>
        </w:rPr>
        <w:t>C、</w:t>
      </w:r>
      <w:r>
        <w:rPr>
          <w:rFonts w:hint="default" w:ascii="Times New Roman" w:hAnsi="Times New Roman" w:cs="Times New Roman"/>
          <w:b/>
          <w:bCs/>
          <w:color w:val="auto"/>
          <w:lang w:val="en-US" w:eastAsia="zh-CN"/>
        </w:rPr>
        <w:t xml:space="preserve"> 危废火灾事故处理措施</w:t>
      </w:r>
      <w:r>
        <w:rPr>
          <w:rFonts w:hint="default" w:ascii="Times New Roman" w:hAnsi="Times New Roman" w:cs="Times New Roman"/>
          <w:color w:val="auto"/>
          <w:lang w:val="en-US" w:eastAsia="zh-CN"/>
        </w:rPr>
        <w:t xml:space="preserve"> </w:t>
      </w:r>
    </w:p>
    <w:p w14:paraId="0166E46B">
      <w:pPr>
        <w:pStyle w:val="64"/>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 xml:space="preserve">、火灾发生初期时，首先由目击者切断火灾现场电源，同时通知危管应急小分队负责人，危管应急小分队负责人通知公司应急指挥部，组织人员进行扑救。 </w:t>
      </w:r>
    </w:p>
    <w:p w14:paraId="290AD5FD">
      <w:pPr>
        <w:pStyle w:val="64"/>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w:t>
      </w:r>
      <w:r>
        <w:rPr>
          <w:rFonts w:hint="eastAsia" w:ascii="Times New Roman" w:hAnsi="Times New Roman" w:cs="Times New Roman"/>
          <w:color w:val="auto"/>
          <w:lang w:val="en-US" w:eastAsia="zh-CN"/>
        </w:rPr>
        <w:t>、危险应立刻判断火势情况，拔打</w:t>
      </w:r>
      <w:r>
        <w:rPr>
          <w:rFonts w:hint="default" w:ascii="Times New Roman" w:hAnsi="Times New Roman" w:cs="Times New Roman"/>
          <w:color w:val="auto"/>
          <w:lang w:val="en-US" w:eastAsia="zh-CN"/>
        </w:rPr>
        <w:t>“119”</w:t>
      </w:r>
      <w:r>
        <w:rPr>
          <w:rFonts w:hint="eastAsia" w:ascii="Times New Roman" w:hAnsi="Times New Roman" w:cs="Times New Roman"/>
          <w:color w:val="auto"/>
          <w:lang w:val="en-US" w:eastAsia="zh-CN"/>
        </w:rPr>
        <w:t>火警报警电话；如有人员伤亡，应立刻打</w:t>
      </w:r>
      <w:r>
        <w:rPr>
          <w:rFonts w:hint="default" w:ascii="Times New Roman" w:hAnsi="Times New Roman" w:cs="Times New Roman"/>
          <w:color w:val="auto"/>
          <w:lang w:val="en-US" w:eastAsia="zh-CN"/>
        </w:rPr>
        <w:t>“120”</w:t>
      </w:r>
      <w:r>
        <w:rPr>
          <w:rFonts w:hint="eastAsia" w:ascii="Times New Roman" w:hAnsi="Times New Roman" w:cs="Times New Roman"/>
          <w:color w:val="auto"/>
          <w:lang w:val="en-US" w:eastAsia="zh-CN"/>
        </w:rPr>
        <w:t xml:space="preserve">救护车，由信息联络组派人在路口接应消防车和救护车。 </w:t>
      </w:r>
    </w:p>
    <w:p w14:paraId="32B2B5FF">
      <w:pPr>
        <w:pStyle w:val="64"/>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w:t>
      </w:r>
      <w:r>
        <w:rPr>
          <w:rFonts w:hint="eastAsia" w:ascii="Times New Roman" w:hAnsi="Times New Roman" w:cs="Times New Roman"/>
          <w:color w:val="auto"/>
          <w:lang w:val="en-US" w:eastAsia="zh-CN"/>
        </w:rPr>
        <w:t>、在火灾尚未扩大到不可控制之前，应使用适当移动式灭火器，我公司一般使用干粉灭火器来控制火灾，时间不宜超过</w:t>
      </w:r>
      <w:r>
        <w:rPr>
          <w:rFonts w:hint="default" w:ascii="Times New Roman" w:hAnsi="Times New Roman" w:cs="Times New Roman"/>
          <w:color w:val="auto"/>
          <w:lang w:val="en-US" w:eastAsia="zh-CN"/>
        </w:rPr>
        <w:t>7</w:t>
      </w:r>
      <w:r>
        <w:rPr>
          <w:rFonts w:hint="eastAsia" w:ascii="Times New Roman" w:hAnsi="Times New Roman" w:cs="Times New Roman"/>
          <w:color w:val="auto"/>
          <w:lang w:val="en-US" w:eastAsia="zh-CN"/>
        </w:rPr>
        <w:t xml:space="preserve">分钟。 </w:t>
      </w:r>
    </w:p>
    <w:p w14:paraId="6F0B0813">
      <w:pPr>
        <w:pStyle w:val="64"/>
        <w:ind w:firstLine="480"/>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4</w:t>
      </w:r>
      <w:r>
        <w:rPr>
          <w:rFonts w:hint="eastAsia" w:ascii="Times New Roman" w:hAnsi="Times New Roman" w:cs="Times New Roman"/>
          <w:color w:val="auto"/>
          <w:lang w:val="en-US" w:eastAsia="zh-CN"/>
        </w:rPr>
        <w:t xml:space="preserve">、迅速关闭流向火点的可燃液体开关，用消防沙盖住地面流淌的可燃 液体，或挖沟导流将流淌的可燃液体导向安全地点。另外，用毛毡堵住下水井等处，防止火焰蔓延。 </w:t>
      </w:r>
    </w:p>
    <w:p w14:paraId="04D727EF">
      <w:pPr>
        <w:pStyle w:val="64"/>
        <w:ind w:firstLine="480"/>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5</w:t>
      </w:r>
      <w:r>
        <w:rPr>
          <w:rFonts w:hint="eastAsia" w:ascii="Times New Roman" w:hAnsi="Times New Roman" w:cs="Times New Roman"/>
          <w:color w:val="auto"/>
          <w:lang w:val="en-US" w:eastAsia="zh-CN"/>
        </w:rPr>
        <w:t xml:space="preserve">、为防止火灾危及相邻设施，必须即使采取冷却保护措施，用冷水淋湿装有易燃易爆物体的容器，并迅速移走火点周围的易燃、易爆物及贵重物。 </w:t>
      </w:r>
    </w:p>
    <w:p w14:paraId="47D8AF03">
      <w:pPr>
        <w:pStyle w:val="64"/>
        <w:ind w:firstLine="480"/>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6</w:t>
      </w:r>
      <w:r>
        <w:rPr>
          <w:rFonts w:hint="eastAsia" w:ascii="Times New Roman" w:hAnsi="Times New Roman" w:cs="Times New Roman"/>
          <w:color w:val="auto"/>
          <w:lang w:val="en-US" w:eastAsia="zh-CN"/>
        </w:rPr>
        <w:t xml:space="preserve">、注意观察火灾四周情况，避免出现伴随的人员中毒、建筑物倒塌、物体坠落等事件。 </w:t>
      </w:r>
    </w:p>
    <w:p w14:paraId="218C5E81">
      <w:pPr>
        <w:pStyle w:val="64"/>
        <w:ind w:firstLine="480"/>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7</w:t>
      </w:r>
      <w:r>
        <w:rPr>
          <w:rFonts w:hint="eastAsia" w:ascii="Times New Roman" w:hAnsi="Times New Roman" w:cs="Times New Roman"/>
          <w:color w:val="auto"/>
          <w:lang w:val="en-US" w:eastAsia="zh-CN"/>
        </w:rPr>
        <w:t>、各部门应安排留守保卫人员，防止有人乘机作案。</w:t>
      </w:r>
    </w:p>
    <w:p w14:paraId="254C8BB4">
      <w:pPr>
        <w:pStyle w:val="62"/>
        <w:rPr>
          <w:rFonts w:hint="default" w:ascii="Times New Roman" w:hAnsi="Times New Roman" w:eastAsia="宋体" w:cs="Times New Roman"/>
          <w:b/>
          <w:bCs/>
          <w:caps/>
          <w:color w:val="auto"/>
          <w:kern w:val="2"/>
          <w:sz w:val="24"/>
          <w:szCs w:val="24"/>
          <w:lang w:val="en-US" w:eastAsia="zh-CN" w:bidi="ar-SA"/>
        </w:rPr>
      </w:pPr>
      <w:bookmarkStart w:id="180" w:name="_Toc25708"/>
      <w:r>
        <w:rPr>
          <w:rFonts w:hint="eastAsia" w:ascii="Times New Roman" w:hAnsi="Times New Roman" w:cs="Times New Roman"/>
          <w:b/>
          <w:bCs/>
          <w:caps/>
          <w:color w:val="auto"/>
          <w:kern w:val="2"/>
          <w:sz w:val="24"/>
          <w:szCs w:val="24"/>
          <w:lang w:val="en-US" w:eastAsia="zh-CN" w:bidi="ar-SA"/>
        </w:rPr>
        <w:t>7</w:t>
      </w:r>
      <w:r>
        <w:rPr>
          <w:rFonts w:hint="default" w:ascii="Times New Roman" w:hAnsi="Times New Roman" w:eastAsia="宋体" w:cs="Times New Roman"/>
          <w:b/>
          <w:bCs/>
          <w:caps/>
          <w:color w:val="auto"/>
          <w:kern w:val="2"/>
          <w:sz w:val="24"/>
          <w:szCs w:val="24"/>
          <w:lang w:val="en-US" w:eastAsia="zh-CN" w:bidi="ar-SA"/>
        </w:rPr>
        <w:t>、</w:t>
      </w:r>
      <w:r>
        <w:rPr>
          <w:rFonts w:hint="eastAsia" w:ascii="Times New Roman" w:hAnsi="Times New Roman" w:cs="Times New Roman"/>
          <w:b/>
          <w:bCs/>
          <w:caps/>
          <w:color w:val="auto"/>
          <w:kern w:val="2"/>
          <w:sz w:val="24"/>
          <w:szCs w:val="24"/>
          <w:lang w:val="en-US" w:eastAsia="zh-CN" w:bidi="ar-SA"/>
        </w:rPr>
        <w:t>应急监测</w:t>
      </w:r>
      <w:bookmarkEnd w:id="180"/>
    </w:p>
    <w:p w14:paraId="628B86CF">
      <w:pPr>
        <w:pStyle w:val="64"/>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当发生突发环境事件后，应急指挥部</w:t>
      </w:r>
      <w:r>
        <w:rPr>
          <w:rFonts w:hint="eastAsia" w:ascii="Times New Roman" w:hAnsi="Times New Roman" w:cs="Times New Roman"/>
          <w:color w:val="auto"/>
          <w:lang w:val="en-US" w:eastAsia="zh-CN"/>
        </w:rPr>
        <w:t>要</w:t>
      </w:r>
      <w:r>
        <w:rPr>
          <w:rFonts w:hint="eastAsia" w:hAnsi="Times New Roman" w:cs="Times New Roman"/>
          <w:color w:val="auto"/>
          <w:lang w:val="en-US" w:eastAsia="zh-CN"/>
        </w:rPr>
        <w:t>启动应急预案，安排厂区应急监测组对受污染因素进行采样监测，当不能满足监测要求时，</w:t>
      </w:r>
      <w:r>
        <w:rPr>
          <w:rFonts w:hint="eastAsia" w:ascii="Times New Roman" w:hAnsi="Times New Roman" w:cs="Times New Roman"/>
          <w:color w:val="auto"/>
          <w:lang w:val="en-US" w:eastAsia="zh-CN"/>
        </w:rPr>
        <w:t>立即请求</w:t>
      </w:r>
      <w:r>
        <w:rPr>
          <w:rFonts w:hint="eastAsia" w:cs="宋体"/>
          <w:bCs/>
          <w:color w:val="auto"/>
          <w:highlight w:val="none"/>
          <w:lang w:val="en-US" w:eastAsia="zh-CN" w:bidi="ar"/>
        </w:rPr>
        <w:t>资溪县环境监测站或签订协议的第三方监测单位</w:t>
      </w:r>
      <w:r>
        <w:rPr>
          <w:rFonts w:hint="eastAsia" w:ascii="Times New Roman" w:hAnsi="Times New Roman" w:cs="Times New Roman"/>
          <w:color w:val="auto"/>
          <w:lang w:val="en-US" w:eastAsia="zh-CN"/>
        </w:rPr>
        <w:t>对公司的环境应急监测工作进行援助。</w:t>
      </w:r>
      <w:r>
        <w:rPr>
          <w:rFonts w:hint="eastAsia" w:cs="宋体"/>
          <w:bCs/>
          <w:color w:val="auto"/>
          <w:highlight w:val="none"/>
          <w:lang w:val="en-US" w:eastAsia="zh-CN" w:bidi="ar"/>
        </w:rPr>
        <w:t>资溪县环境监测站或其他监测单位</w:t>
      </w:r>
      <w:r>
        <w:rPr>
          <w:rFonts w:hint="eastAsia" w:ascii="Times New Roman" w:hAnsi="Times New Roman" w:cs="Times New Roman"/>
          <w:color w:val="auto"/>
          <w:lang w:val="en-US" w:eastAsia="zh-CN"/>
        </w:rPr>
        <w:t>在</w:t>
      </w:r>
      <w:r>
        <w:rPr>
          <w:rFonts w:hint="eastAsia" w:ascii="Times New Roman" w:eastAsia="宋体" w:cs="宋体"/>
          <w:bCs/>
          <w:color w:val="auto"/>
          <w:highlight w:val="none"/>
          <w:lang w:val="en-US" w:eastAsia="zh-CN" w:bidi="ar"/>
        </w:rPr>
        <w:t>公司应急监测组</w:t>
      </w:r>
      <w:r>
        <w:rPr>
          <w:rFonts w:hint="eastAsia" w:ascii="Times New Roman" w:hAnsi="Times New Roman" w:cs="Times New Roman"/>
          <w:color w:val="auto"/>
          <w:lang w:val="en-US" w:eastAsia="zh-CN"/>
        </w:rPr>
        <w:t>的引导下，携采样器具、防护设备赶赴事故现场和监测点位进行调查、采样和分析，并在事故结束后进行跟踪监测，环境</w:t>
      </w:r>
      <w:r>
        <w:rPr>
          <w:rFonts w:hint="eastAsia" w:hAnsi="Times New Roman" w:cs="Times New Roman"/>
          <w:color w:val="auto"/>
          <w:lang w:val="en-US" w:eastAsia="zh-CN"/>
        </w:rPr>
        <w:t>应急</w:t>
      </w:r>
      <w:r>
        <w:rPr>
          <w:rFonts w:hint="eastAsia" w:ascii="Times New Roman" w:hAnsi="Times New Roman" w:cs="Times New Roman"/>
          <w:color w:val="auto"/>
          <w:lang w:val="en-US" w:eastAsia="zh-CN"/>
        </w:rPr>
        <w:t>监测组全力配合</w:t>
      </w:r>
      <w:r>
        <w:rPr>
          <w:rFonts w:hint="eastAsia" w:cs="宋体"/>
          <w:bCs/>
          <w:color w:val="auto"/>
          <w:highlight w:val="none"/>
          <w:lang w:val="en-US" w:eastAsia="zh-CN" w:bidi="ar"/>
        </w:rPr>
        <w:t>资溪县环境监测站或其他监测单位</w:t>
      </w:r>
      <w:r>
        <w:rPr>
          <w:rFonts w:hint="eastAsia" w:ascii="Times New Roman" w:hAnsi="Times New Roman" w:cs="Times New Roman"/>
          <w:color w:val="auto"/>
          <w:lang w:val="en-US" w:eastAsia="zh-CN"/>
        </w:rPr>
        <w:t xml:space="preserve">的监测工作。 </w:t>
      </w:r>
    </w:p>
    <w:p w14:paraId="0290C9D8">
      <w:pPr>
        <w:pStyle w:val="64"/>
        <w:ind w:firstLine="48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地表水环境监测因子为 </w:t>
      </w:r>
      <w:r>
        <w:rPr>
          <w:rFonts w:hint="default" w:ascii="Times New Roman" w:hAnsi="Times New Roman" w:cs="Times New Roman"/>
          <w:color w:val="auto"/>
          <w:lang w:val="en-US" w:eastAsia="zh-CN"/>
        </w:rPr>
        <w:t>pH</w:t>
      </w:r>
      <w:r>
        <w:rPr>
          <w:rFonts w:hint="eastAsia" w:ascii="Times New Roman" w:hAnsi="Times New Roman" w:cs="Times New Roman"/>
          <w:color w:val="auto"/>
          <w:lang w:val="en-US" w:eastAsia="zh-CN"/>
        </w:rPr>
        <w:t>、</w:t>
      </w:r>
      <w:r>
        <w:rPr>
          <w:rFonts w:hint="eastAsia" w:hAnsi="Times New Roman" w:cs="Times New Roman"/>
          <w:color w:val="auto"/>
          <w:lang w:val="en-US" w:eastAsia="zh-CN"/>
        </w:rPr>
        <w:t>COD、石油类等</w:t>
      </w:r>
      <w:r>
        <w:rPr>
          <w:rFonts w:hint="eastAsia" w:ascii="Times New Roman" w:hAnsi="Times New Roman" w:cs="Times New Roman"/>
          <w:color w:val="auto"/>
          <w:lang w:val="en-US" w:eastAsia="zh-CN"/>
        </w:rPr>
        <w:t xml:space="preserve">。 </w:t>
      </w:r>
    </w:p>
    <w:p w14:paraId="7D5C0690">
      <w:pPr>
        <w:pStyle w:val="64"/>
        <w:ind w:firstLine="480"/>
        <w:rPr>
          <w:rFonts w:hint="default" w:ascii="Times New Roman" w:hAnsi="Times New Roman" w:cs="Times New Roman"/>
          <w:color w:val="auto"/>
          <w:lang w:val="en-US" w:eastAsia="zh-CN"/>
        </w:rPr>
      </w:pPr>
      <w:r>
        <w:rPr>
          <w:rFonts w:hint="eastAsia" w:hAnsi="Times New Roman" w:cs="Times New Roman"/>
          <w:color w:val="auto"/>
          <w:lang w:val="en-US" w:eastAsia="zh-CN"/>
        </w:rPr>
        <w:t>1</w:t>
      </w:r>
      <w:r>
        <w:rPr>
          <w:rFonts w:hint="eastAsia" w:ascii="Times New Roman" w:hAnsi="Times New Roman" w:cs="Times New Roman"/>
          <w:color w:val="auto"/>
          <w:lang w:val="en-US" w:eastAsia="zh-CN"/>
        </w:rPr>
        <w:t xml:space="preserve">、需注意的安全事项 </w:t>
      </w:r>
    </w:p>
    <w:p w14:paraId="63EF599C">
      <w:pPr>
        <w:pStyle w:val="64"/>
        <w:ind w:firstLine="48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 xml:space="preserve">）应急监测，至少二人同行。 </w:t>
      </w:r>
    </w:p>
    <w:p w14:paraId="5B05696B">
      <w:pPr>
        <w:pStyle w:val="64"/>
        <w:ind w:firstLine="48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2</w:t>
      </w:r>
      <w:r>
        <w:rPr>
          <w:rFonts w:hint="eastAsia" w:ascii="Times New Roman" w:hAnsi="Times New Roman" w:cs="Times New Roman"/>
          <w:color w:val="auto"/>
          <w:lang w:val="en-US" w:eastAsia="zh-CN"/>
        </w:rPr>
        <w:t>）进入事故现场进行采样监测，应经现场指挥</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 xml:space="preserve">警戒人员许可，在确认安全的情况下， 按规定佩戴必需的防护设备（如防护服、防毒呼吸器等）。 </w:t>
      </w:r>
    </w:p>
    <w:p w14:paraId="487DFD13">
      <w:pPr>
        <w:pStyle w:val="64"/>
        <w:ind w:firstLine="48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3</w:t>
      </w:r>
      <w:r>
        <w:rPr>
          <w:rFonts w:hint="eastAsia" w:ascii="Times New Roman" w:hAnsi="Times New Roman" w:cs="Times New Roman"/>
          <w:color w:val="auto"/>
          <w:lang w:val="en-US" w:eastAsia="zh-CN"/>
        </w:rPr>
        <w:t xml:space="preserve">）进入事故现场的应急监测车辆有防火、防爆安全装置，应使用防爆的现场应急监测仪器设备（包括附件如电源等）进行现场监测，或在确认安全的情况下使用现场应急监测仪器设备进行现场监测。 </w:t>
      </w:r>
    </w:p>
    <w:p w14:paraId="09530FA0">
      <w:pPr>
        <w:pStyle w:val="64"/>
        <w:ind w:firstLine="480"/>
        <w:rPr>
          <w:rFonts w:hint="default" w:ascii="Times New Roman" w:hAnsi="Times New Roman" w:cs="Times New Roman"/>
          <w:color w:val="auto"/>
          <w:lang w:val="en-US" w:eastAsia="zh-CN"/>
        </w:rPr>
      </w:pPr>
      <w:r>
        <w:rPr>
          <w:rFonts w:hint="eastAsia" w:hAnsi="Times New Roman" w:cs="Times New Roman"/>
          <w:color w:val="auto"/>
          <w:lang w:val="en-US" w:eastAsia="zh-CN"/>
        </w:rPr>
        <w:t>2</w:t>
      </w:r>
      <w:r>
        <w:rPr>
          <w:rFonts w:hint="eastAsia" w:ascii="Times New Roman" w:hAnsi="Times New Roman" w:cs="Times New Roman"/>
          <w:color w:val="auto"/>
          <w:lang w:val="en-US" w:eastAsia="zh-CN"/>
        </w:rPr>
        <w:t xml:space="preserve">、监测报告 </w:t>
      </w:r>
    </w:p>
    <w:p w14:paraId="65954E6F">
      <w:pPr>
        <w:pStyle w:val="64"/>
        <w:ind w:firstLine="48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 xml:space="preserve">）报告原则 </w:t>
      </w:r>
    </w:p>
    <w:p w14:paraId="51207A4A">
      <w:pPr>
        <w:pStyle w:val="64"/>
        <w:ind w:firstLine="48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突发环境事件应急监测报告以及时、快速报送为原则。 </w:t>
      </w:r>
    </w:p>
    <w:p w14:paraId="316832E8">
      <w:pPr>
        <w:pStyle w:val="64"/>
        <w:ind w:firstLine="48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2</w:t>
      </w:r>
      <w:r>
        <w:rPr>
          <w:rFonts w:hint="eastAsia" w:ascii="Times New Roman" w:hAnsi="Times New Roman" w:cs="Times New Roman"/>
          <w:color w:val="auto"/>
          <w:lang w:val="en-US" w:eastAsia="zh-CN"/>
        </w:rPr>
        <w:t xml:space="preserve">）报告形式 </w:t>
      </w:r>
    </w:p>
    <w:p w14:paraId="1F0F587A">
      <w:pPr>
        <w:pStyle w:val="64"/>
        <w:ind w:firstLine="48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为及时上报突发环境事件应急监测的监测结果，可采用电话、传真、电子邮件、监测快报、简报等形式报送监测结果等简要信息。 </w:t>
      </w:r>
    </w:p>
    <w:p w14:paraId="783F9B82">
      <w:pPr>
        <w:pStyle w:val="64"/>
        <w:ind w:firstLine="48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3</w:t>
      </w:r>
      <w:r>
        <w:rPr>
          <w:rFonts w:hint="eastAsia" w:ascii="Times New Roman" w:hAnsi="Times New Roman" w:cs="Times New Roman"/>
          <w:color w:val="auto"/>
          <w:lang w:val="en-US" w:eastAsia="zh-CN"/>
        </w:rPr>
        <w:t xml:space="preserve">）报告内容 </w:t>
      </w:r>
    </w:p>
    <w:p w14:paraId="5DA9EAB1">
      <w:pPr>
        <w:pStyle w:val="64"/>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a</w:t>
      </w:r>
      <w:r>
        <w:rPr>
          <w:rFonts w:hint="eastAsia" w:ascii="Times New Roman" w:hAnsi="Times New Roman" w:cs="Times New Roman"/>
          <w:color w:val="auto"/>
          <w:lang w:val="en-US" w:eastAsia="zh-CN"/>
        </w:rPr>
        <w:t xml:space="preserve">．标题名称； </w:t>
      </w:r>
    </w:p>
    <w:p w14:paraId="5B6DD0AD">
      <w:pPr>
        <w:pStyle w:val="64"/>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b</w:t>
      </w:r>
      <w:r>
        <w:rPr>
          <w:rFonts w:hint="eastAsia" w:ascii="Times New Roman" w:hAnsi="Times New Roman" w:cs="Times New Roman"/>
          <w:color w:val="auto"/>
          <w:lang w:val="en-US" w:eastAsia="zh-CN"/>
        </w:rPr>
        <w:t>．监测单位名称和地址，进行测试的地点（当测试地点不在本</w:t>
      </w:r>
      <w:r>
        <w:rPr>
          <w:rFonts w:hint="eastAsia" w:hAnsi="Times New Roman" w:cs="Times New Roman"/>
          <w:color w:val="auto"/>
          <w:lang w:val="en-US" w:eastAsia="zh-CN"/>
        </w:rPr>
        <w:t>厂</w:t>
      </w:r>
      <w:r>
        <w:rPr>
          <w:rFonts w:hint="eastAsia" w:ascii="Times New Roman" w:hAnsi="Times New Roman" w:cs="Times New Roman"/>
          <w:color w:val="auto"/>
          <w:lang w:val="en-US" w:eastAsia="zh-CN"/>
        </w:rPr>
        <w:t>时，应注明测试地点）；</w:t>
      </w:r>
    </w:p>
    <w:p w14:paraId="092A8BEB">
      <w:pPr>
        <w:pStyle w:val="64"/>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c．监测报告的唯一性编号和每一页与总页数的标志； </w:t>
      </w:r>
    </w:p>
    <w:p w14:paraId="13EFA8A9">
      <w:pPr>
        <w:pStyle w:val="64"/>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w:t>
      </w:r>
      <w:r>
        <w:rPr>
          <w:rFonts w:hint="eastAsia" w:ascii="Times New Roman" w:hAnsi="Times New Roman" w:cs="Times New Roman"/>
          <w:color w:val="auto"/>
          <w:lang w:val="en-US" w:eastAsia="zh-CN"/>
        </w:rPr>
        <w:t xml:space="preserve">．事故发生的时间、地点，监测断面（点位）示意图，发生原因，污染来源，主要污染物污染范围，必要的水文气象参数等； </w:t>
      </w:r>
    </w:p>
    <w:p w14:paraId="1994A3C3">
      <w:pPr>
        <w:pStyle w:val="64"/>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e</w:t>
      </w:r>
      <w:r>
        <w:rPr>
          <w:rFonts w:hint="eastAsia" w:ascii="Times New Roman" w:hAnsi="Times New Roman" w:cs="Times New Roman"/>
          <w:color w:val="auto"/>
          <w:lang w:val="en-US" w:eastAsia="zh-CN"/>
        </w:rPr>
        <w:t xml:space="preserve">．所用方法的标志（名称和编号）； </w:t>
      </w:r>
    </w:p>
    <w:p w14:paraId="6E51FA7F">
      <w:pPr>
        <w:pStyle w:val="64"/>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f</w:t>
      </w:r>
      <w:r>
        <w:rPr>
          <w:rFonts w:hint="eastAsia" w:ascii="Times New Roman" w:hAnsi="Times New Roman" w:cs="Times New Roman"/>
          <w:color w:val="auto"/>
          <w:lang w:val="en-US" w:eastAsia="zh-CN"/>
        </w:rPr>
        <w:t xml:space="preserve">．样品的描述、状态和明确的标志； </w:t>
      </w:r>
    </w:p>
    <w:p w14:paraId="4D1154B3">
      <w:pPr>
        <w:pStyle w:val="64"/>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g</w:t>
      </w:r>
      <w:r>
        <w:rPr>
          <w:rFonts w:hint="eastAsia" w:ascii="Times New Roman" w:hAnsi="Times New Roman" w:cs="Times New Roman"/>
          <w:color w:val="auto"/>
          <w:lang w:val="en-US" w:eastAsia="zh-CN"/>
        </w:rPr>
        <w:t xml:space="preserve">．样品采样日期、接收日期、监测日期； </w:t>
      </w:r>
    </w:p>
    <w:p w14:paraId="49D055AA">
      <w:pPr>
        <w:pStyle w:val="64"/>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h</w:t>
      </w:r>
      <w:r>
        <w:rPr>
          <w:rFonts w:hint="eastAsia" w:ascii="Times New Roman" w:hAnsi="Times New Roman" w:cs="Times New Roman"/>
          <w:color w:val="auto"/>
          <w:lang w:val="en-US" w:eastAsia="zh-CN"/>
        </w:rPr>
        <w:t xml:space="preserve">．监测结果和结果评价（必要时）； </w:t>
      </w:r>
    </w:p>
    <w:p w14:paraId="33AFAF1E">
      <w:pPr>
        <w:pStyle w:val="64"/>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i</w:t>
      </w:r>
      <w:r>
        <w:rPr>
          <w:rFonts w:hint="eastAsia" w:ascii="Times New Roman" w:hAnsi="Times New Roman" w:cs="Times New Roman"/>
          <w:color w:val="auto"/>
          <w:lang w:val="en-US" w:eastAsia="zh-CN"/>
        </w:rPr>
        <w:t xml:space="preserve">．审核人、授权签字人签字等。 </w:t>
      </w:r>
    </w:p>
    <w:p w14:paraId="552237E1">
      <w:pPr>
        <w:pStyle w:val="64"/>
        <w:ind w:firstLine="48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4</w:t>
      </w:r>
      <w:r>
        <w:rPr>
          <w:rFonts w:hint="eastAsia" w:ascii="Times New Roman" w:hAnsi="Times New Roman" w:cs="Times New Roman"/>
          <w:color w:val="auto"/>
          <w:lang w:val="en-US" w:eastAsia="zh-CN"/>
        </w:rPr>
        <w:t xml:space="preserve">）报送范围 </w:t>
      </w:r>
    </w:p>
    <w:p w14:paraId="3C81F0D6">
      <w:pPr>
        <w:pStyle w:val="64"/>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II </w:t>
      </w:r>
      <w:r>
        <w:rPr>
          <w:rFonts w:hint="eastAsia" w:ascii="Times New Roman" w:hAnsi="Times New Roman" w:cs="Times New Roman"/>
          <w:color w:val="auto"/>
          <w:lang w:val="en-US" w:eastAsia="zh-CN"/>
        </w:rPr>
        <w:t>级突发环境事件监测报告应报告给应急指挥部；</w:t>
      </w:r>
      <w:r>
        <w:rPr>
          <w:rFonts w:hint="default" w:ascii="Times New Roman" w:hAnsi="Times New Roman" w:cs="Times New Roman"/>
          <w:color w:val="auto"/>
          <w:lang w:val="en-US" w:eastAsia="zh-CN"/>
        </w:rPr>
        <w:t xml:space="preserve">I </w:t>
      </w:r>
      <w:r>
        <w:rPr>
          <w:rFonts w:hint="eastAsia" w:ascii="Times New Roman" w:hAnsi="Times New Roman" w:cs="Times New Roman"/>
          <w:color w:val="auto"/>
          <w:lang w:val="en-US" w:eastAsia="zh-CN"/>
        </w:rPr>
        <w:t>级突发环境事件除上报给突发环境事件应急指挥部外，还应上报给抚州市</w:t>
      </w:r>
      <w:r>
        <w:rPr>
          <w:rFonts w:hint="eastAsia" w:cs="Times New Roman"/>
          <w:color w:val="auto"/>
          <w:lang w:val="en-US" w:eastAsia="zh-CN"/>
        </w:rPr>
        <w:t>资溪</w:t>
      </w:r>
      <w:r>
        <w:rPr>
          <w:rFonts w:hint="eastAsia" w:ascii="Times New Roman" w:hAnsi="Times New Roman" w:cs="Times New Roman"/>
          <w:color w:val="auto"/>
          <w:lang w:val="en-US" w:eastAsia="zh-CN"/>
        </w:rPr>
        <w:t>生态环境局应急办。</w:t>
      </w:r>
    </w:p>
    <w:p w14:paraId="63298BCA">
      <w:pPr>
        <w:pStyle w:val="62"/>
        <w:rPr>
          <w:rFonts w:hint="default" w:ascii="Times New Roman" w:hAnsi="Times New Roman" w:eastAsia="宋体" w:cs="Times New Roman"/>
          <w:b/>
          <w:bCs/>
          <w:caps/>
          <w:color w:val="auto"/>
          <w:kern w:val="2"/>
          <w:sz w:val="24"/>
          <w:szCs w:val="24"/>
          <w:lang w:val="en-US" w:eastAsia="zh-CN" w:bidi="ar-SA"/>
        </w:rPr>
      </w:pPr>
      <w:bookmarkStart w:id="181" w:name="_Toc17767"/>
      <w:r>
        <w:rPr>
          <w:rFonts w:hint="eastAsia" w:ascii="Times New Roman" w:hAnsi="Times New Roman" w:cs="Times New Roman"/>
          <w:b/>
          <w:bCs/>
          <w:caps/>
          <w:color w:val="auto"/>
          <w:kern w:val="2"/>
          <w:sz w:val="24"/>
          <w:szCs w:val="24"/>
          <w:lang w:val="en-US" w:eastAsia="zh-CN" w:bidi="ar-SA"/>
        </w:rPr>
        <w:t>8</w:t>
      </w:r>
      <w:r>
        <w:rPr>
          <w:rFonts w:hint="default" w:ascii="Times New Roman" w:hAnsi="Times New Roman" w:eastAsia="宋体" w:cs="Times New Roman"/>
          <w:b/>
          <w:bCs/>
          <w:caps/>
          <w:color w:val="auto"/>
          <w:kern w:val="2"/>
          <w:sz w:val="24"/>
          <w:szCs w:val="24"/>
          <w:lang w:val="en-US" w:eastAsia="zh-CN" w:bidi="ar-SA"/>
        </w:rPr>
        <w:t>、</w:t>
      </w:r>
      <w:r>
        <w:rPr>
          <w:rFonts w:hint="eastAsia" w:ascii="Times New Roman" w:hAnsi="Times New Roman" w:cs="Times New Roman"/>
          <w:b/>
          <w:bCs/>
          <w:caps/>
          <w:color w:val="auto"/>
          <w:kern w:val="2"/>
          <w:sz w:val="24"/>
          <w:szCs w:val="24"/>
          <w:lang w:val="en-US" w:eastAsia="zh-CN" w:bidi="ar-SA"/>
        </w:rPr>
        <w:t>有关保障</w:t>
      </w:r>
      <w:bookmarkEnd w:id="181"/>
    </w:p>
    <w:p w14:paraId="278F1ABA">
      <w:pPr>
        <w:pStyle w:val="64"/>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A、保障措施 </w:t>
      </w:r>
    </w:p>
    <w:p w14:paraId="6B3C6618">
      <w:pPr>
        <w:pStyle w:val="64"/>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 xml:space="preserve">、义务消防救援队：由公司保卫部人员组成，由保卫部负责领导。义务消防队员定期进行培训和演练。 </w:t>
      </w:r>
    </w:p>
    <w:p w14:paraId="4B159D2B">
      <w:pPr>
        <w:pStyle w:val="64"/>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w:t>
      </w:r>
      <w:r>
        <w:rPr>
          <w:rFonts w:hint="eastAsia" w:ascii="Times New Roman" w:hAnsi="Times New Roman" w:cs="Times New Roman"/>
          <w:color w:val="auto"/>
          <w:lang w:val="en-US" w:eastAsia="zh-CN"/>
        </w:rPr>
        <w:t xml:space="preserve">、公司各部门场所的消防设施由保卫部定期检查，储运部负责应急救援物资的储备， 采购部负责购买。 </w:t>
      </w:r>
    </w:p>
    <w:p w14:paraId="636A13F1">
      <w:pPr>
        <w:pStyle w:val="64"/>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w:t>
      </w:r>
      <w:r>
        <w:rPr>
          <w:rFonts w:hint="eastAsia" w:ascii="Times New Roman" w:hAnsi="Times New Roman" w:cs="Times New Roman"/>
          <w:color w:val="auto"/>
          <w:lang w:val="en-US" w:eastAsia="zh-CN"/>
        </w:rPr>
        <w:t xml:space="preserve">、行政部负责日常基础救援医疗设备设施的保管。 </w:t>
      </w:r>
    </w:p>
    <w:p w14:paraId="64751FB0">
      <w:pPr>
        <w:pStyle w:val="64"/>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w:t>
      </w:r>
      <w:r>
        <w:rPr>
          <w:rFonts w:hint="eastAsia" w:ascii="Times New Roman" w:hAnsi="Times New Roman" w:cs="Times New Roman"/>
          <w:color w:val="auto"/>
          <w:lang w:val="en-US" w:eastAsia="zh-CN"/>
        </w:rPr>
        <w:t xml:space="preserve">、环境应急指挥部备用一辆应急交通运输车辆，或备用的车辆只承担距单位较近的运输任务，并留好司机手机电话，一旦应急事故发生，通知司机速回。 </w:t>
      </w:r>
    </w:p>
    <w:p w14:paraId="0AADBD32">
      <w:pPr>
        <w:pStyle w:val="64"/>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w:t>
      </w:r>
      <w:r>
        <w:rPr>
          <w:rFonts w:hint="eastAsia" w:ascii="Times New Roman" w:hAnsi="Times New Roman" w:cs="Times New Roman"/>
          <w:color w:val="auto"/>
          <w:lang w:val="en-US" w:eastAsia="zh-CN"/>
        </w:rPr>
        <w:t xml:space="preserve">、公司部门根据突发安全事件应急需要，提出项目支出预算报财务部审批后执行。 </w:t>
      </w:r>
    </w:p>
    <w:p w14:paraId="1C481FCB">
      <w:pPr>
        <w:pStyle w:val="64"/>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w:t>
      </w:r>
      <w:r>
        <w:rPr>
          <w:rFonts w:hint="eastAsia" w:ascii="Times New Roman" w:hAnsi="Times New Roman" w:cs="Times New Roman"/>
          <w:color w:val="auto"/>
          <w:lang w:val="en-US" w:eastAsia="zh-CN"/>
        </w:rPr>
        <w:t xml:space="preserve">、急救援小组人员的电话必须 </w:t>
      </w:r>
      <w:r>
        <w:rPr>
          <w:rFonts w:hint="default" w:ascii="Times New Roman" w:hAnsi="Times New Roman" w:cs="Times New Roman"/>
          <w:color w:val="auto"/>
          <w:lang w:val="en-US" w:eastAsia="zh-CN"/>
        </w:rPr>
        <w:t xml:space="preserve">24 </w:t>
      </w:r>
      <w:r>
        <w:rPr>
          <w:rFonts w:hint="eastAsia" w:ascii="Times New Roman" w:hAnsi="Times New Roman" w:cs="Times New Roman"/>
          <w:color w:val="auto"/>
          <w:lang w:val="en-US" w:eastAsia="zh-CN"/>
        </w:rPr>
        <w:t>小时开机，禁止随意更换电话号码的行为。特殊情况下，电话号码发生变更，必须在变更之日起</w:t>
      </w:r>
      <w:r>
        <w:rPr>
          <w:rFonts w:hint="default" w:ascii="Times New Roman" w:hAnsi="Times New Roman" w:cs="Times New Roman"/>
          <w:color w:val="auto"/>
          <w:lang w:val="en-US" w:eastAsia="zh-CN"/>
        </w:rPr>
        <w:t>48</w:t>
      </w:r>
      <w:r>
        <w:rPr>
          <w:rFonts w:hint="eastAsia" w:ascii="Times New Roman" w:hAnsi="Times New Roman" w:cs="Times New Roman"/>
          <w:color w:val="auto"/>
          <w:lang w:val="en-US" w:eastAsia="zh-CN"/>
        </w:rPr>
        <w:t>小时内向安环办报备。</w:t>
      </w:r>
    </w:p>
    <w:p w14:paraId="5C7EC465">
      <w:pPr>
        <w:pStyle w:val="64"/>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B、保障物资 </w:t>
      </w:r>
    </w:p>
    <w:p w14:paraId="6611F310">
      <w:pPr>
        <w:pStyle w:val="64"/>
        <w:ind w:firstLine="48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危险废物库设置灭火器</w:t>
      </w:r>
      <w:r>
        <w:rPr>
          <w:rFonts w:hint="default" w:ascii="Times New Roman" w:hAnsi="Times New Roman" w:cs="Times New Roman"/>
          <w:color w:val="auto"/>
          <w:lang w:val="en-US" w:eastAsia="zh-CN"/>
        </w:rPr>
        <w:t>2</w:t>
      </w:r>
      <w:r>
        <w:rPr>
          <w:rFonts w:hint="eastAsia" w:ascii="Times New Roman" w:hAnsi="Times New Roman" w:cs="Times New Roman"/>
          <w:color w:val="auto"/>
          <w:lang w:val="en-US" w:eastAsia="zh-CN"/>
        </w:rPr>
        <w:t>个、事故必要的安全工具，能有效地预防和减轻中毒、火灾及爆炸事故的发生与伤害。</w:t>
      </w:r>
    </w:p>
    <w:p w14:paraId="7FC92AB5">
      <w:pPr>
        <w:pStyle w:val="64"/>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C、应急方案的修改 </w:t>
      </w:r>
    </w:p>
    <w:p w14:paraId="5E030ED7">
      <w:pPr>
        <w:pStyle w:val="64"/>
        <w:ind w:firstLine="48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应急方案的修改分为定期修改和随时修改，本应急方案每</w:t>
      </w:r>
      <w:r>
        <w:rPr>
          <w:rFonts w:hint="eastAsia" w:hAnsi="Times New Roman" w:cs="Times New Roman"/>
          <w:color w:val="auto"/>
          <w:lang w:val="en-US" w:eastAsia="zh-CN"/>
        </w:rPr>
        <w:t>三</w:t>
      </w:r>
      <w:r>
        <w:rPr>
          <w:rFonts w:hint="eastAsia" w:ascii="Times New Roman" w:hAnsi="Times New Roman" w:cs="Times New Roman"/>
          <w:color w:val="auto"/>
          <w:lang w:val="en-US" w:eastAsia="zh-CN"/>
        </w:rPr>
        <w:t xml:space="preserve">年修改一次。 </w:t>
      </w:r>
    </w:p>
    <w:p w14:paraId="19405F99">
      <w:pPr>
        <w:rPr>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Times New Roman" w:hAnsi="Times New Roman" w:cs="Times New Roman"/>
          <w:color w:val="auto"/>
          <w:lang w:val="en-US" w:eastAsia="zh-CN"/>
        </w:rPr>
        <w:t>随时修改是指根据应急时发现的问题或不足，随时进行修改完善，或者是随着科学技术 的进步和社会环境的变迁，适时修改预案中某些过时的方面的内容</w:t>
      </w:r>
      <w:r>
        <w:rPr>
          <w:rFonts w:hint="eastAsia" w:cs="Times New Roman"/>
          <w:color w:val="auto"/>
          <w:lang w:val="en-US" w:eastAsia="zh-CN"/>
        </w:rPr>
        <w:t>。</w:t>
      </w:r>
    </w:p>
    <w:p w14:paraId="0C168C27">
      <w:pPr>
        <w:rPr>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color w:val="auto"/>
        </w:rPr>
        <w:drawing>
          <wp:anchor distT="0" distB="0" distL="114300" distR="114300" simplePos="0" relativeHeight="251697152" behindDoc="1" locked="0" layoutInCell="1" allowOverlap="1">
            <wp:simplePos x="0" y="0"/>
            <wp:positionH relativeFrom="column">
              <wp:posOffset>-214630</wp:posOffset>
            </wp:positionH>
            <wp:positionV relativeFrom="paragraph">
              <wp:posOffset>615315</wp:posOffset>
            </wp:positionV>
            <wp:extent cx="5788025" cy="6990080"/>
            <wp:effectExtent l="0" t="0" r="3175" b="1270"/>
            <wp:wrapNone/>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22" cstate="print"/>
                    <a:stretch>
                      <a:fillRect/>
                    </a:stretch>
                  </pic:blipFill>
                  <pic:spPr>
                    <a:xfrm>
                      <a:off x="0" y="0"/>
                      <a:ext cx="5788025" cy="6990080"/>
                    </a:xfrm>
                    <a:prstGeom prst="rect">
                      <a:avLst/>
                    </a:prstGeom>
                    <a:noFill/>
                    <a:ln>
                      <a:noFill/>
                    </a:ln>
                  </pic:spPr>
                </pic:pic>
              </a:graphicData>
            </a:graphic>
          </wp:anchor>
        </w:drawing>
      </w:r>
    </w:p>
    <w:p w14:paraId="7679E4D2">
      <w:pPr>
        <w:rPr>
          <w:color w:val="auto"/>
        </w:rPr>
      </w:pPr>
      <w:r>
        <w:rPr>
          <w:color w:val="auto"/>
        </w:rPr>
        <w:drawing>
          <wp:anchor distT="0" distB="0" distL="114300" distR="114300" simplePos="0" relativeHeight="251698176" behindDoc="1" locked="0" layoutInCell="1" allowOverlap="1">
            <wp:simplePos x="0" y="0"/>
            <wp:positionH relativeFrom="column">
              <wp:posOffset>467995</wp:posOffset>
            </wp:positionH>
            <wp:positionV relativeFrom="paragraph">
              <wp:posOffset>-276860</wp:posOffset>
            </wp:positionV>
            <wp:extent cx="8121650" cy="5489575"/>
            <wp:effectExtent l="0" t="0" r="12700" b="15875"/>
            <wp:wrapNone/>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23" cstate="print"/>
                    <a:stretch>
                      <a:fillRect/>
                    </a:stretch>
                  </pic:blipFill>
                  <pic:spPr>
                    <a:xfrm>
                      <a:off x="0" y="0"/>
                      <a:ext cx="8121650" cy="5489575"/>
                    </a:xfrm>
                    <a:prstGeom prst="rect">
                      <a:avLst/>
                    </a:prstGeom>
                    <a:noFill/>
                    <a:ln>
                      <a:noFill/>
                    </a:ln>
                  </pic:spPr>
                </pic:pic>
              </a:graphicData>
            </a:graphic>
          </wp:anchor>
        </w:drawing>
      </w:r>
    </w:p>
    <w:p w14:paraId="60E90C76">
      <w:pPr>
        <w:pStyle w:val="31"/>
        <w:rPr>
          <w:color w:val="auto"/>
        </w:rPr>
      </w:pPr>
    </w:p>
    <w:p w14:paraId="7AFA2510">
      <w:pPr>
        <w:pStyle w:val="31"/>
        <w:rPr>
          <w:color w:val="auto"/>
        </w:rPr>
      </w:pPr>
    </w:p>
    <w:p w14:paraId="245B37A2">
      <w:pPr>
        <w:pStyle w:val="31"/>
        <w:rPr>
          <w:color w:val="auto"/>
        </w:rPr>
      </w:pPr>
    </w:p>
    <w:p w14:paraId="7A3860FA">
      <w:pPr>
        <w:pStyle w:val="31"/>
        <w:rPr>
          <w:color w:val="auto"/>
        </w:rPr>
      </w:pPr>
    </w:p>
    <w:p w14:paraId="3CE78C9B">
      <w:pPr>
        <w:pStyle w:val="31"/>
        <w:rPr>
          <w:color w:val="auto"/>
        </w:rPr>
      </w:pPr>
    </w:p>
    <w:p w14:paraId="3F8CA615">
      <w:pPr>
        <w:pStyle w:val="31"/>
        <w:rPr>
          <w:color w:val="auto"/>
        </w:rPr>
      </w:pPr>
    </w:p>
    <w:p w14:paraId="7A33E81F">
      <w:pPr>
        <w:pStyle w:val="31"/>
        <w:rPr>
          <w:color w:val="auto"/>
        </w:rPr>
      </w:pPr>
    </w:p>
    <w:p w14:paraId="487754FB">
      <w:pPr>
        <w:pStyle w:val="31"/>
        <w:rPr>
          <w:color w:val="auto"/>
        </w:rPr>
      </w:pPr>
    </w:p>
    <w:p w14:paraId="4C5FA6BC">
      <w:pPr>
        <w:pStyle w:val="31"/>
        <w:rPr>
          <w:color w:val="auto"/>
        </w:rPr>
      </w:pPr>
    </w:p>
    <w:p w14:paraId="6E1954F1">
      <w:pPr>
        <w:pStyle w:val="31"/>
        <w:rPr>
          <w:color w:val="auto"/>
        </w:rPr>
      </w:pPr>
    </w:p>
    <w:p w14:paraId="717E5D78">
      <w:pPr>
        <w:pStyle w:val="31"/>
        <w:rPr>
          <w:color w:val="auto"/>
        </w:rPr>
      </w:pPr>
    </w:p>
    <w:p w14:paraId="372227A0">
      <w:pPr>
        <w:pStyle w:val="31"/>
        <w:rPr>
          <w:color w:val="auto"/>
        </w:rPr>
      </w:pPr>
    </w:p>
    <w:p w14:paraId="3918994E">
      <w:pPr>
        <w:pStyle w:val="31"/>
        <w:rPr>
          <w:color w:val="auto"/>
        </w:rPr>
      </w:pPr>
    </w:p>
    <w:p w14:paraId="3AF3A54A">
      <w:pPr>
        <w:pStyle w:val="31"/>
        <w:rPr>
          <w:color w:val="auto"/>
        </w:rPr>
      </w:pPr>
    </w:p>
    <w:p w14:paraId="29C0560C">
      <w:pPr>
        <w:pStyle w:val="31"/>
        <w:rPr>
          <w:color w:val="auto"/>
        </w:rPr>
      </w:pPr>
    </w:p>
    <w:p w14:paraId="541F3600">
      <w:pPr>
        <w:pStyle w:val="31"/>
        <w:rPr>
          <w:color w:val="auto"/>
        </w:rPr>
      </w:pPr>
      <w:r>
        <w:rPr>
          <w:color w:val="auto"/>
          <w:sz w:val="24"/>
        </w:rPr>
        <w:pict>
          <v:shape id="_x0000_s1026" o:spid="_x0000_s1026" o:spt="202" type="#_x0000_t202" style="position:absolute;left:0pt;margin-left:251.25pt;margin-top:13.45pt;height:24.05pt;width:214.9pt;z-index:251660288;mso-width-relative:page;mso-height-relative:page;" fillcolor="#FFFFFF" filled="t" stroked="t" coordsize="21600,21600">
            <v:path/>
            <v:fill on="t" focussize="0,0"/>
            <v:stroke weight="1.5pt" color="#000000" joinstyle="round"/>
            <v:imagedata o:title=""/>
            <o:lock v:ext="edit" aspectratio="f"/>
            <v:textbox>
              <w:txbxContent>
                <w:p w14:paraId="46927749">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ascii="Times New Roman" w:hAnsi="Times New Roman" w:eastAsia="宋体" w:cs="Times New Roman"/>
                      <w:b/>
                      <w:bCs/>
                      <w:sz w:val="21"/>
                      <w:szCs w:val="21"/>
                    </w:rPr>
                  </w:pPr>
                  <w:r>
                    <w:rPr>
                      <w:rFonts w:ascii="Times New Roman" w:hAnsi="Times New Roman" w:eastAsia="宋体" w:cs="Times New Roman"/>
                      <w:b/>
                      <w:bCs/>
                      <w:sz w:val="21"/>
                      <w:szCs w:val="21"/>
                    </w:rPr>
                    <w:t>附图</w:t>
                  </w:r>
                  <w:r>
                    <w:rPr>
                      <w:rFonts w:hint="eastAsia" w:cs="Times New Roman"/>
                      <w:b/>
                      <w:bCs/>
                      <w:sz w:val="21"/>
                      <w:szCs w:val="21"/>
                      <w:lang w:val="en-US" w:eastAsia="zh-CN"/>
                    </w:rPr>
                    <w:t>2</w:t>
                  </w:r>
                  <w:r>
                    <w:rPr>
                      <w:rFonts w:ascii="Times New Roman" w:hAnsi="Times New Roman" w:eastAsia="宋体" w:cs="Times New Roman"/>
                      <w:b/>
                      <w:bCs/>
                      <w:sz w:val="21"/>
                      <w:szCs w:val="21"/>
                    </w:rPr>
                    <w:t xml:space="preserve">  </w:t>
                  </w:r>
                  <w:r>
                    <w:rPr>
                      <w:rFonts w:hint="eastAsia" w:ascii="Times New Roman" w:hAnsi="Times New Roman" w:eastAsia="宋体" w:cs="Times New Roman"/>
                      <w:b/>
                      <w:bCs/>
                      <w:sz w:val="21"/>
                      <w:szCs w:val="21"/>
                    </w:rPr>
                    <w:t>项目环境风险保护目标分布图</w:t>
                  </w:r>
                </w:p>
              </w:txbxContent>
            </v:textbox>
          </v:shape>
        </w:pict>
      </w:r>
    </w:p>
    <w:p w14:paraId="048EC7CB">
      <w:pPr>
        <w:tabs>
          <w:tab w:val="left" w:pos="7160"/>
        </w:tabs>
        <w:bidi w:val="0"/>
        <w:jc w:val="left"/>
        <w:rPr>
          <w:rFonts w:hint="eastAsia"/>
          <w:color w:val="auto"/>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14:paraId="0459823B">
      <w:pPr>
        <w:tabs>
          <w:tab w:val="left" w:pos="7160"/>
        </w:tabs>
        <w:bidi w:val="0"/>
        <w:ind w:left="0" w:leftChars="0" w:firstLine="0" w:firstLineChars="0"/>
        <w:jc w:val="left"/>
        <w:rPr>
          <w:rFonts w:hint="eastAsia"/>
          <w:color w:val="auto"/>
          <w:lang w:eastAsia="zh-CN"/>
        </w:rPr>
      </w:pPr>
      <w:r>
        <w:rPr>
          <w:rFonts w:hint="eastAsia"/>
          <w:color w:val="auto"/>
          <w:lang w:val="en-US" w:eastAsia="zh-CN"/>
        </w:rPr>
        <w:drawing>
          <wp:anchor distT="0" distB="0" distL="114300" distR="114300" simplePos="0" relativeHeight="251699200" behindDoc="1" locked="0" layoutInCell="1" allowOverlap="1">
            <wp:simplePos x="0" y="0"/>
            <wp:positionH relativeFrom="column">
              <wp:posOffset>374015</wp:posOffset>
            </wp:positionH>
            <wp:positionV relativeFrom="paragraph">
              <wp:posOffset>-352425</wp:posOffset>
            </wp:positionV>
            <wp:extent cx="7791450" cy="5507355"/>
            <wp:effectExtent l="0" t="0" r="0" b="17145"/>
            <wp:wrapNone/>
            <wp:docPr id="8" name="图片 8" descr="页面提取自－1_1_资溪初设图纸分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页面提取自－1_1_资溪初设图纸分册"/>
                    <pic:cNvPicPr>
                      <a:picLocks noChangeAspect="1"/>
                    </pic:cNvPicPr>
                  </pic:nvPicPr>
                  <pic:blipFill>
                    <a:blip r:embed="rId24"/>
                    <a:stretch>
                      <a:fillRect/>
                    </a:stretch>
                  </pic:blipFill>
                  <pic:spPr>
                    <a:xfrm>
                      <a:off x="0" y="0"/>
                      <a:ext cx="7791450" cy="5507355"/>
                    </a:xfrm>
                    <a:prstGeom prst="rect">
                      <a:avLst/>
                    </a:prstGeom>
                  </pic:spPr>
                </pic:pic>
              </a:graphicData>
            </a:graphic>
          </wp:anchor>
        </w:drawing>
      </w:r>
    </w:p>
    <w:p w14:paraId="6253C08F">
      <w:pPr>
        <w:bidi w:val="0"/>
        <w:rPr>
          <w:rFonts w:hint="eastAsia" w:ascii="Times New Roman" w:hAnsi="Times New Roman" w:eastAsia="宋体" w:cstheme="minorBidi"/>
          <w:color w:val="auto"/>
          <w:kern w:val="2"/>
          <w:sz w:val="24"/>
          <w:szCs w:val="24"/>
          <w:lang w:val="en-US" w:eastAsia="zh-CN" w:bidi="ar-SA"/>
        </w:rPr>
      </w:pPr>
    </w:p>
    <w:p w14:paraId="6BCB14E8">
      <w:pPr>
        <w:bidi w:val="0"/>
        <w:rPr>
          <w:rFonts w:hint="eastAsia"/>
          <w:color w:val="auto"/>
          <w:lang w:val="en-US" w:eastAsia="zh-CN"/>
        </w:rPr>
      </w:pPr>
    </w:p>
    <w:p w14:paraId="2C2D645D">
      <w:pPr>
        <w:bidi w:val="0"/>
        <w:rPr>
          <w:rFonts w:hint="eastAsia"/>
          <w:color w:val="auto"/>
          <w:lang w:val="en-US" w:eastAsia="zh-CN"/>
        </w:rPr>
      </w:pPr>
    </w:p>
    <w:p w14:paraId="30E9911F">
      <w:pPr>
        <w:bidi w:val="0"/>
        <w:rPr>
          <w:rFonts w:hint="eastAsia"/>
          <w:color w:val="auto"/>
          <w:lang w:val="en-US" w:eastAsia="zh-CN"/>
        </w:rPr>
      </w:pPr>
    </w:p>
    <w:p w14:paraId="5363A1E1">
      <w:pPr>
        <w:bidi w:val="0"/>
        <w:rPr>
          <w:rFonts w:hint="eastAsia"/>
          <w:color w:val="auto"/>
          <w:lang w:val="en-US" w:eastAsia="zh-CN"/>
        </w:rPr>
      </w:pPr>
    </w:p>
    <w:p w14:paraId="43EEC874">
      <w:pPr>
        <w:bidi w:val="0"/>
        <w:rPr>
          <w:rFonts w:hint="eastAsia"/>
          <w:color w:val="auto"/>
          <w:lang w:val="en-US" w:eastAsia="zh-CN"/>
        </w:rPr>
      </w:pPr>
    </w:p>
    <w:p w14:paraId="558D9AAC">
      <w:pPr>
        <w:bidi w:val="0"/>
        <w:rPr>
          <w:rFonts w:hint="eastAsia"/>
          <w:color w:val="auto"/>
          <w:lang w:val="en-US" w:eastAsia="zh-CN"/>
        </w:rPr>
      </w:pPr>
    </w:p>
    <w:p w14:paraId="3DC27396">
      <w:pPr>
        <w:bidi w:val="0"/>
        <w:rPr>
          <w:rFonts w:hint="eastAsia"/>
          <w:color w:val="auto"/>
          <w:lang w:val="en-US" w:eastAsia="zh-CN"/>
        </w:rPr>
      </w:pPr>
    </w:p>
    <w:p w14:paraId="5CC33717">
      <w:pPr>
        <w:bidi w:val="0"/>
        <w:rPr>
          <w:rFonts w:hint="eastAsia"/>
          <w:color w:val="auto"/>
          <w:lang w:val="en-US" w:eastAsia="zh-CN"/>
        </w:rPr>
      </w:pPr>
    </w:p>
    <w:p w14:paraId="70A10500">
      <w:pPr>
        <w:bidi w:val="0"/>
        <w:rPr>
          <w:rFonts w:hint="eastAsia"/>
          <w:color w:val="auto"/>
          <w:lang w:val="en-US" w:eastAsia="zh-CN"/>
        </w:rPr>
      </w:pPr>
    </w:p>
    <w:p w14:paraId="0091EF56">
      <w:pPr>
        <w:bidi w:val="0"/>
        <w:rPr>
          <w:rFonts w:hint="eastAsia"/>
          <w:color w:val="auto"/>
          <w:lang w:val="en-US" w:eastAsia="zh-CN"/>
        </w:rPr>
      </w:pPr>
    </w:p>
    <w:p w14:paraId="4E1844A7">
      <w:pPr>
        <w:bidi w:val="0"/>
        <w:rPr>
          <w:rFonts w:hint="eastAsia"/>
          <w:color w:val="auto"/>
          <w:lang w:val="en-US" w:eastAsia="zh-CN"/>
        </w:rPr>
      </w:pPr>
    </w:p>
    <w:p w14:paraId="78AD9CB0">
      <w:pPr>
        <w:bidi w:val="0"/>
        <w:rPr>
          <w:rFonts w:hint="eastAsia"/>
          <w:color w:val="auto"/>
          <w:lang w:val="en-US" w:eastAsia="zh-CN"/>
        </w:rPr>
      </w:pPr>
    </w:p>
    <w:p w14:paraId="4A25AE20">
      <w:pPr>
        <w:bidi w:val="0"/>
        <w:rPr>
          <w:rFonts w:hint="eastAsia"/>
          <w:color w:val="auto"/>
          <w:lang w:val="en-US" w:eastAsia="zh-CN"/>
        </w:rPr>
      </w:pPr>
    </w:p>
    <w:p w14:paraId="5839AF3D">
      <w:pPr>
        <w:bidi w:val="0"/>
        <w:rPr>
          <w:rFonts w:hint="eastAsia"/>
          <w:color w:val="auto"/>
          <w:lang w:val="en-US" w:eastAsia="zh-CN"/>
        </w:rPr>
      </w:pPr>
    </w:p>
    <w:p w14:paraId="79767E69">
      <w:pPr>
        <w:bidi w:val="0"/>
        <w:rPr>
          <w:rFonts w:hint="eastAsia"/>
          <w:color w:val="auto"/>
          <w:lang w:val="en-US" w:eastAsia="zh-CN"/>
        </w:rPr>
      </w:pPr>
    </w:p>
    <w:p w14:paraId="1A5409AC">
      <w:pPr>
        <w:tabs>
          <w:tab w:val="left" w:pos="9893"/>
        </w:tabs>
        <w:bidi w:val="0"/>
        <w:jc w:val="left"/>
        <w:rPr>
          <w:rFonts w:hint="eastAsia"/>
          <w:color w:val="auto"/>
          <w:lang w:val="en-US" w:eastAsia="zh-CN"/>
        </w:rPr>
        <w:sectPr>
          <w:pgSz w:w="16838" w:h="11906" w:orient="landscape"/>
          <w:pgMar w:top="1800" w:right="1440" w:bottom="1417" w:left="1440" w:header="851" w:footer="992" w:gutter="0"/>
          <w:pgBorders>
            <w:top w:val="none" w:sz="0" w:space="0"/>
            <w:left w:val="none" w:sz="0" w:space="0"/>
            <w:bottom w:val="none" w:sz="0" w:space="0"/>
            <w:right w:val="none" w:sz="0" w:space="0"/>
          </w:pgBorders>
          <w:cols w:space="425" w:num="1"/>
          <w:docGrid w:type="lines" w:linePitch="312" w:charSpace="0"/>
        </w:sectPr>
      </w:pPr>
      <w:r>
        <w:rPr>
          <w:color w:val="auto"/>
          <w:sz w:val="24"/>
        </w:rPr>
        <w:pict>
          <v:shape id="_x0000_s1027" o:spid="_x0000_s1027" o:spt="202" type="#_x0000_t202" style="position:absolute;left:0pt;margin-left:259.75pt;margin-top:8.3pt;height:24.05pt;width:214.9pt;z-index:-251625472;mso-width-relative:page;mso-height-relative:page;" filled="f" stroked="t" coordsize="21600,21600">
            <v:path/>
            <v:fill on="f" focussize="0,0"/>
            <v:stroke weight="1.5pt" color="#000000" joinstyle="round"/>
            <v:imagedata o:title=""/>
            <o:lock v:ext="edit" aspectratio="f"/>
            <v:textbox>
              <w:txbxContent>
                <w:p w14:paraId="65A8DB20">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ascii="Times New Roman" w:hAnsi="Times New Roman" w:eastAsia="宋体" w:cs="Times New Roman"/>
                      <w:b/>
                      <w:bCs/>
                      <w:sz w:val="21"/>
                      <w:szCs w:val="21"/>
                    </w:rPr>
                  </w:pPr>
                  <w:r>
                    <w:rPr>
                      <w:rFonts w:ascii="Times New Roman" w:hAnsi="Times New Roman" w:eastAsia="宋体" w:cs="Times New Roman"/>
                      <w:b/>
                      <w:bCs/>
                      <w:sz w:val="21"/>
                      <w:szCs w:val="21"/>
                    </w:rPr>
                    <w:t>附图</w:t>
                  </w:r>
                  <w:r>
                    <w:rPr>
                      <w:rFonts w:hint="eastAsia" w:cs="Times New Roman"/>
                      <w:b/>
                      <w:bCs/>
                      <w:sz w:val="21"/>
                      <w:szCs w:val="21"/>
                      <w:lang w:val="en-US" w:eastAsia="zh-CN"/>
                    </w:rPr>
                    <w:t>3</w:t>
                  </w:r>
                  <w:r>
                    <w:rPr>
                      <w:rFonts w:ascii="Times New Roman" w:hAnsi="Times New Roman" w:eastAsia="宋体" w:cs="Times New Roman"/>
                      <w:b/>
                      <w:bCs/>
                      <w:sz w:val="21"/>
                      <w:szCs w:val="21"/>
                    </w:rPr>
                    <w:t xml:space="preserve">  </w:t>
                  </w:r>
                  <w:r>
                    <w:rPr>
                      <w:rFonts w:hint="eastAsia" w:ascii="Times New Roman" w:hAnsi="Times New Roman" w:eastAsia="宋体" w:cs="Times New Roman"/>
                      <w:b/>
                      <w:bCs/>
                      <w:sz w:val="21"/>
                      <w:szCs w:val="21"/>
                    </w:rPr>
                    <w:t>项目</w:t>
                  </w:r>
                  <w:r>
                    <w:rPr>
                      <w:rFonts w:hint="eastAsia" w:cs="Times New Roman"/>
                      <w:b/>
                      <w:bCs/>
                      <w:sz w:val="21"/>
                      <w:szCs w:val="21"/>
                      <w:lang w:eastAsia="zh-CN"/>
                    </w:rPr>
                    <w:t>平面布置</w:t>
                  </w:r>
                  <w:r>
                    <w:rPr>
                      <w:rFonts w:hint="eastAsia" w:ascii="Times New Roman" w:hAnsi="Times New Roman" w:eastAsia="宋体" w:cs="Times New Roman"/>
                      <w:b/>
                      <w:bCs/>
                      <w:sz w:val="21"/>
                      <w:szCs w:val="21"/>
                    </w:rPr>
                    <w:t>图</w:t>
                  </w:r>
                </w:p>
              </w:txbxContent>
            </v:textbox>
          </v:shape>
        </w:pict>
      </w:r>
      <w:r>
        <w:rPr>
          <w:color w:val="auto"/>
          <w:sz w:val="24"/>
        </w:rPr>
        <w:pict>
          <v:shape id="_x0000_s1028" o:spid="_x0000_s1028" o:spt="202" type="#_x0000_t202" style="position:absolute;left:0pt;margin-left:107.45pt;margin-top:249.05pt;height:24.05pt;width:230.4pt;z-index:-251653120;mso-width-relative:page;mso-height-relative:page;" filled="f" stroked="t" coordsize="21600,21600">
            <v:path/>
            <v:fill on="f" focussize="0,0"/>
            <v:stroke weight="1.5pt" color="#000000" joinstyle="round"/>
            <v:imagedata o:title=""/>
            <o:lock v:ext="edit" aspectratio="f"/>
            <v:textbox>
              <w:txbxContent>
                <w:p w14:paraId="184763E9">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eastAsia" w:ascii="Times New Roman" w:hAnsi="Times New Roman" w:eastAsia="宋体" w:cs="Times New Roman"/>
                      <w:b/>
                      <w:bCs/>
                      <w:sz w:val="21"/>
                      <w:szCs w:val="21"/>
                      <w:lang w:eastAsia="zh-CN"/>
                    </w:rPr>
                  </w:pPr>
                  <w:r>
                    <w:rPr>
                      <w:rFonts w:ascii="Times New Roman" w:hAnsi="Times New Roman" w:eastAsia="宋体" w:cs="Times New Roman"/>
                      <w:b/>
                      <w:bCs/>
                      <w:sz w:val="21"/>
                      <w:szCs w:val="21"/>
                    </w:rPr>
                    <w:t>附图</w:t>
                  </w:r>
                  <w:r>
                    <w:rPr>
                      <w:rFonts w:hint="eastAsia" w:cs="Times New Roman"/>
                      <w:b/>
                      <w:bCs/>
                      <w:sz w:val="21"/>
                      <w:szCs w:val="21"/>
                      <w:lang w:val="en-US" w:eastAsia="zh-CN"/>
                    </w:rPr>
                    <w:t>3</w:t>
                  </w:r>
                  <w:r>
                    <w:rPr>
                      <w:rFonts w:ascii="Times New Roman" w:hAnsi="Times New Roman" w:eastAsia="宋体" w:cs="Times New Roman"/>
                      <w:b/>
                      <w:bCs/>
                      <w:sz w:val="21"/>
                      <w:szCs w:val="21"/>
                    </w:rPr>
                    <w:t xml:space="preserve">  </w:t>
                  </w:r>
                  <w:r>
                    <w:rPr>
                      <w:rFonts w:hint="eastAsia" w:cs="Times New Roman"/>
                      <w:b/>
                      <w:bCs/>
                      <w:sz w:val="21"/>
                      <w:szCs w:val="21"/>
                      <w:lang w:val="en-US" w:eastAsia="zh-CN"/>
                    </w:rPr>
                    <w:t>平面布置</w:t>
                  </w:r>
                  <w:r>
                    <w:rPr>
                      <w:rFonts w:hint="eastAsia" w:ascii="Times New Roman" w:hAnsi="Times New Roman" w:eastAsia="宋体" w:cs="Times New Roman"/>
                      <w:b/>
                      <w:bCs/>
                      <w:sz w:val="21"/>
                      <w:szCs w:val="21"/>
                    </w:rPr>
                    <w:t>图</w:t>
                  </w:r>
                </w:p>
              </w:txbxContent>
            </v:textbox>
          </v:shape>
        </w:pict>
      </w:r>
      <w:r>
        <w:rPr>
          <w:rFonts w:hint="eastAsia"/>
          <w:color w:val="auto"/>
          <w:lang w:val="en-US" w:eastAsia="zh-CN"/>
        </w:rPr>
        <w:tab/>
      </w:r>
    </w:p>
    <w:p w14:paraId="5CA0E5FC">
      <w:pPr>
        <w:tabs>
          <w:tab w:val="left" w:pos="9893"/>
        </w:tabs>
        <w:bidi w:val="0"/>
        <w:jc w:val="left"/>
        <w:rPr>
          <w:color w:val="auto"/>
        </w:rPr>
      </w:pPr>
      <w:r>
        <w:rPr>
          <w:color w:val="auto"/>
        </w:rPr>
        <w:drawing>
          <wp:anchor distT="0" distB="0" distL="114300" distR="114300" simplePos="0" relativeHeight="251700224" behindDoc="1" locked="0" layoutInCell="1" allowOverlap="1">
            <wp:simplePos x="0" y="0"/>
            <wp:positionH relativeFrom="column">
              <wp:posOffset>608965</wp:posOffset>
            </wp:positionH>
            <wp:positionV relativeFrom="paragraph">
              <wp:posOffset>-344170</wp:posOffset>
            </wp:positionV>
            <wp:extent cx="7859395" cy="5509895"/>
            <wp:effectExtent l="0" t="0" r="8255" b="14605"/>
            <wp:wrapNone/>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5"/>
                    <a:stretch>
                      <a:fillRect/>
                    </a:stretch>
                  </pic:blipFill>
                  <pic:spPr>
                    <a:xfrm>
                      <a:off x="0" y="0"/>
                      <a:ext cx="7859395" cy="5509895"/>
                    </a:xfrm>
                    <a:prstGeom prst="rect">
                      <a:avLst/>
                    </a:prstGeom>
                    <a:noFill/>
                    <a:ln>
                      <a:noFill/>
                    </a:ln>
                  </pic:spPr>
                </pic:pic>
              </a:graphicData>
            </a:graphic>
          </wp:anchor>
        </w:drawing>
      </w:r>
    </w:p>
    <w:p w14:paraId="128438D6">
      <w:pPr>
        <w:bidi w:val="0"/>
        <w:rPr>
          <w:rFonts w:hint="eastAsia" w:ascii="Times New Roman" w:hAnsi="Times New Roman" w:eastAsia="宋体" w:cstheme="minorBidi"/>
          <w:color w:val="auto"/>
          <w:kern w:val="2"/>
          <w:sz w:val="24"/>
          <w:szCs w:val="24"/>
          <w:lang w:val="en-US" w:eastAsia="zh-CN" w:bidi="ar-SA"/>
        </w:rPr>
      </w:pPr>
      <w:r>
        <w:rPr>
          <w:color w:val="auto"/>
          <w:sz w:val="21"/>
        </w:rPr>
        <w:pict>
          <v:shape id="_x0000_s1029" o:spid="_x0000_s1029" o:spt="62" type="#_x0000_t62" style="position:absolute;left:0pt;margin-left:458.15pt;margin-top:4.55pt;height:19.25pt;width:76.15pt;z-index:251673600;mso-width-relative:page;mso-height-relative:page;" fillcolor="#FFFF00" filled="t" stroked="t" coordsize="21600,21600" adj="-7558,55431">
            <v:path/>
            <v:fill on="t" color2="#FFFFFF" opacity="44563f" focussize="0,0"/>
            <v:stroke color="#000000" joinstyle="miter"/>
            <v:imagedata o:title=""/>
            <o:lock v:ext="edit" aspectratio="f"/>
            <v:textbox>
              <w:txbxContent>
                <w:p w14:paraId="4D6CE3E2">
                  <w:pPr>
                    <w:keepNext w:val="0"/>
                    <w:keepLines w:val="0"/>
                    <w:pageBreakBefore w:val="0"/>
                    <w:widowControl w:val="0"/>
                    <w:kinsoku/>
                    <w:wordWrap/>
                    <w:overflowPunct/>
                    <w:topLinePunct w:val="0"/>
                    <w:bidi w:val="0"/>
                    <w:adjustRightInd w:val="0"/>
                    <w:snapToGrid w:val="0"/>
                    <w:ind w:left="0" w:leftChars="0" w:firstLine="0" w:firstLineChars="0"/>
                    <w:jc w:val="both"/>
                    <w:textAlignment w:val="auto"/>
                    <w:rPr>
                      <w:rFonts w:hint="default"/>
                      <w:sz w:val="18"/>
                      <w:szCs w:val="18"/>
                      <w:lang w:val="en-US" w:eastAsia="zh-CN"/>
                    </w:rPr>
                  </w:pPr>
                  <w:r>
                    <w:rPr>
                      <w:rFonts w:hint="eastAsia"/>
                      <w:sz w:val="18"/>
                      <w:szCs w:val="18"/>
                      <w:lang w:val="en-US" w:eastAsia="zh-CN"/>
                    </w:rPr>
                    <w:t>本项目所在地</w:t>
                  </w:r>
                </w:p>
              </w:txbxContent>
            </v:textbox>
          </v:shape>
        </w:pict>
      </w:r>
    </w:p>
    <w:p w14:paraId="2188DCD6">
      <w:pPr>
        <w:bidi w:val="0"/>
        <w:rPr>
          <w:rFonts w:hint="eastAsia"/>
          <w:color w:val="auto"/>
          <w:lang w:val="en-US" w:eastAsia="zh-CN"/>
        </w:rPr>
      </w:pPr>
    </w:p>
    <w:p w14:paraId="25AAF9BF">
      <w:pPr>
        <w:bidi w:val="0"/>
        <w:rPr>
          <w:rFonts w:hint="eastAsia"/>
          <w:color w:val="auto"/>
          <w:lang w:val="en-US" w:eastAsia="zh-CN"/>
        </w:rPr>
      </w:pPr>
    </w:p>
    <w:p w14:paraId="3E52871B">
      <w:pPr>
        <w:bidi w:val="0"/>
        <w:rPr>
          <w:rFonts w:hint="eastAsia"/>
          <w:color w:val="auto"/>
          <w:lang w:val="en-US" w:eastAsia="zh-CN"/>
        </w:rPr>
      </w:pPr>
      <w:r>
        <w:rPr>
          <w:color w:val="auto"/>
        </w:rPr>
        <w:pict>
          <v:shape id="_x0000_s1030" o:spid="_x0000_s1030" o:spt="13" type="#_x0000_t13" style="position:absolute;left:0pt;flip:x;margin-left:181.4pt;margin-top:63.4pt;height:6pt;width:76.05pt;rotation:-3604480f;z-index:251677696;v-text-anchor:middle;mso-width-relative:page;mso-height-relative:page;" fillcolor="#00B050" filled="t" stroked="t" coordsize="21600,21600" adj="18195,5792">
            <v:path/>
            <v:fill on="t" color2="#FFFFFF" focussize="0,0"/>
            <v:stroke weight="1pt" color="#00B050" miterlimit="8" joinstyle="miter"/>
            <v:imagedata o:title=""/>
            <o:lock v:ext="edit" aspectratio="f"/>
          </v:shape>
        </w:pict>
      </w:r>
    </w:p>
    <w:p w14:paraId="680C8FBD">
      <w:pPr>
        <w:bidi w:val="0"/>
        <w:rPr>
          <w:rFonts w:hint="eastAsia"/>
          <w:color w:val="auto"/>
          <w:lang w:val="en-US" w:eastAsia="zh-CN"/>
        </w:rPr>
      </w:pPr>
    </w:p>
    <w:p w14:paraId="4D2C7098">
      <w:pPr>
        <w:bidi w:val="0"/>
        <w:rPr>
          <w:rFonts w:hint="eastAsia"/>
          <w:color w:val="auto"/>
          <w:lang w:val="en-US" w:eastAsia="zh-CN"/>
        </w:rPr>
      </w:pPr>
    </w:p>
    <w:p w14:paraId="7F65F6E2">
      <w:pPr>
        <w:bidi w:val="0"/>
        <w:rPr>
          <w:rFonts w:hint="eastAsia"/>
          <w:color w:val="auto"/>
          <w:lang w:val="en-US" w:eastAsia="zh-CN"/>
        </w:rPr>
      </w:pPr>
    </w:p>
    <w:p w14:paraId="70E83C5B">
      <w:pPr>
        <w:bidi w:val="0"/>
        <w:rPr>
          <w:rFonts w:hint="eastAsia"/>
          <w:color w:val="auto"/>
          <w:lang w:val="en-US" w:eastAsia="zh-CN"/>
        </w:rPr>
      </w:pPr>
    </w:p>
    <w:p w14:paraId="40CF2E3C">
      <w:pPr>
        <w:bidi w:val="0"/>
        <w:rPr>
          <w:rFonts w:hint="eastAsia"/>
          <w:color w:val="auto"/>
          <w:lang w:val="en-US" w:eastAsia="zh-CN"/>
        </w:rPr>
      </w:pPr>
    </w:p>
    <w:p w14:paraId="4AB39EAD">
      <w:pPr>
        <w:bidi w:val="0"/>
        <w:rPr>
          <w:rFonts w:hint="eastAsia"/>
          <w:color w:val="auto"/>
          <w:lang w:val="en-US" w:eastAsia="zh-CN"/>
        </w:rPr>
      </w:pPr>
      <w:r>
        <w:rPr>
          <w:color w:val="auto"/>
        </w:rPr>
        <w:pict>
          <v:shape id="_x0000_s1031" o:spid="_x0000_s1031" o:spt="202" type="#_x0000_t202" style="position:absolute;left:0pt;margin-left:232.65pt;margin-top:4.15pt;height:33pt;width:67.3pt;z-index:251674624;mso-width-relative:page;mso-height-relative:page;" filled="f" stroked="f" coordsize="21600,21600" o:gfxdata="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B5XPNkAAAANAQAADwAAAAAAAAABACAAAAAiAAAAZHJzL2Rvd25yZXYueG1sUEsB&#10;AhQAFAAAAAgAh07iQK5dKVS7AQAAXAMAAA4AAAAAAAAAAQAgAAAAKAEAAGRycy9lMm9Eb2MueG1s&#10;UEsFBgAAAAAGAAYAWQEAAFUFAAAAAA==&#10;">
            <v:path/>
            <v:fill on="f" focussize="0,0"/>
            <v:stroke on="f"/>
            <v:imagedata o:title=""/>
            <o:lock v:ext="edit" aspectratio="f"/>
            <v:textbox>
              <w:txbxContent>
                <w:p w14:paraId="2C633834">
                  <w:pPr>
                    <w:ind w:left="0" w:leftChars="0" w:firstLine="0" w:firstLineChars="0"/>
                    <w:jc w:val="both"/>
                    <w:rPr>
                      <w:rFonts w:hint="eastAsia" w:ascii="宋体" w:hAnsi="宋体" w:eastAsia="宋体" w:cs="宋体"/>
                      <w:b/>
                      <w:bCs/>
                      <w:color w:val="FFFFFF" w:themeColor="background1"/>
                      <w:sz w:val="21"/>
                      <w:szCs w:val="21"/>
                      <w:lang w:val="en-US" w:eastAsia="zh-CN"/>
                    </w:rPr>
                  </w:pPr>
                  <w:r>
                    <w:rPr>
                      <w:rFonts w:hint="eastAsia" w:ascii="宋体" w:hAnsi="宋体" w:cs="宋体"/>
                      <w:b/>
                      <w:bCs/>
                      <w:color w:val="FFFFFF" w:themeColor="background1"/>
                      <w:sz w:val="21"/>
                      <w:szCs w:val="21"/>
                      <w:lang w:val="en-US" w:eastAsia="zh-CN"/>
                    </w:rPr>
                    <w:t>泸溪河</w:t>
                  </w:r>
                </w:p>
              </w:txbxContent>
            </v:textbox>
          </v:shape>
        </w:pict>
      </w:r>
      <w:r>
        <w:rPr>
          <w:color w:val="auto"/>
        </w:rPr>
        <w:pict>
          <v:shape id="_x0000_s1032" o:spid="_x0000_s1032" o:spt="13" type="#_x0000_t13" style="position:absolute;left:0pt;flip:x;margin-left:290.75pt;margin-top:9.45pt;height:6pt;width:109.5pt;rotation:2621440f;z-index:251693056;v-text-anchor:middle;mso-width-relative:page;mso-height-relative:page;" fillcolor="#00B050" filled="t" stroked="t" coordsize="21600,21600" adj="18195,5792">
            <v:path/>
            <v:fill on="t" color2="#FFFFFF" focussize="0,0"/>
            <v:stroke weight="1pt" color="#00B050" miterlimit="8" joinstyle="miter"/>
            <v:imagedata o:title=""/>
            <o:lock v:ext="edit" aspectratio="f"/>
          </v:shape>
        </w:pict>
      </w:r>
    </w:p>
    <w:p w14:paraId="04EA0B0D">
      <w:pPr>
        <w:bidi w:val="0"/>
        <w:rPr>
          <w:rFonts w:hint="eastAsia"/>
          <w:color w:val="auto"/>
          <w:lang w:val="en-US" w:eastAsia="zh-CN"/>
        </w:rPr>
      </w:pPr>
    </w:p>
    <w:p w14:paraId="71A7E057">
      <w:pPr>
        <w:bidi w:val="0"/>
        <w:rPr>
          <w:rFonts w:hint="eastAsia"/>
          <w:color w:val="auto"/>
          <w:lang w:val="en-US" w:eastAsia="zh-CN"/>
        </w:rPr>
      </w:pPr>
    </w:p>
    <w:p w14:paraId="2D4AC64F">
      <w:pPr>
        <w:bidi w:val="0"/>
        <w:rPr>
          <w:rFonts w:hint="eastAsia"/>
          <w:color w:val="auto"/>
          <w:lang w:val="en-US" w:eastAsia="zh-CN"/>
        </w:rPr>
      </w:pPr>
    </w:p>
    <w:p w14:paraId="413B14CE">
      <w:pPr>
        <w:bidi w:val="0"/>
        <w:rPr>
          <w:rFonts w:hint="eastAsia"/>
          <w:color w:val="auto"/>
          <w:lang w:val="en-US" w:eastAsia="zh-CN"/>
        </w:rPr>
      </w:pPr>
    </w:p>
    <w:p w14:paraId="3026F32E">
      <w:pPr>
        <w:bidi w:val="0"/>
        <w:rPr>
          <w:rFonts w:hint="eastAsia"/>
          <w:color w:val="auto"/>
          <w:lang w:val="en-US" w:eastAsia="zh-CN"/>
        </w:rPr>
      </w:pPr>
    </w:p>
    <w:p w14:paraId="4C0BF563">
      <w:pPr>
        <w:bidi w:val="0"/>
        <w:rPr>
          <w:rFonts w:hint="eastAsia"/>
          <w:color w:val="auto"/>
          <w:lang w:val="en-US" w:eastAsia="zh-CN"/>
        </w:rPr>
      </w:pPr>
    </w:p>
    <w:p w14:paraId="5070E27A">
      <w:pPr>
        <w:tabs>
          <w:tab w:val="left" w:pos="9279"/>
        </w:tabs>
        <w:bidi w:val="0"/>
        <w:jc w:val="left"/>
        <w:rPr>
          <w:rFonts w:hint="eastAsia"/>
          <w:color w:val="auto"/>
          <w:lang w:val="en-US" w:eastAsia="zh-CN"/>
        </w:rPr>
        <w:sectPr>
          <w:pgSz w:w="16838" w:h="11906" w:orient="landscape"/>
          <w:pgMar w:top="1800" w:right="1440" w:bottom="1417" w:left="1440" w:header="851" w:footer="992" w:gutter="0"/>
          <w:pgBorders>
            <w:top w:val="none" w:sz="0" w:space="0"/>
            <w:left w:val="none" w:sz="0" w:space="0"/>
            <w:bottom w:val="none" w:sz="0" w:space="0"/>
            <w:right w:val="none" w:sz="0" w:space="0"/>
          </w:pgBorders>
          <w:cols w:space="425" w:num="1"/>
          <w:docGrid w:type="lines" w:linePitch="312" w:charSpace="0"/>
        </w:sectPr>
      </w:pPr>
      <w:r>
        <w:rPr>
          <w:color w:val="auto"/>
          <w:sz w:val="24"/>
        </w:rPr>
        <w:pict>
          <v:shape id="_x0000_s1033" o:spid="_x0000_s1033" o:spt="202" type="#_x0000_t202" style="position:absolute;left:0pt;margin-left:130.7pt;margin-top:229.55pt;height:24.05pt;width:189pt;z-index:-251652096;mso-width-relative:page;mso-height-relative:page;" filled="f" stroked="t" coordsize="21600,21600">
            <v:path/>
            <v:fill on="f" focussize="0,0"/>
            <v:stroke weight="1.5pt" color="#000000" joinstyle="round"/>
            <v:imagedata o:title=""/>
            <o:lock v:ext="edit" aspectratio="f"/>
            <v:textbox>
              <w:txbxContent>
                <w:p w14:paraId="02602E5C">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ascii="Times New Roman" w:hAnsi="Times New Roman" w:eastAsia="宋体" w:cs="Times New Roman"/>
                      <w:b/>
                      <w:bCs/>
                      <w:sz w:val="21"/>
                      <w:szCs w:val="21"/>
                    </w:rPr>
                  </w:pPr>
                  <w:r>
                    <w:rPr>
                      <w:rFonts w:ascii="Times New Roman" w:hAnsi="Times New Roman" w:eastAsia="宋体" w:cs="Times New Roman"/>
                      <w:b/>
                      <w:bCs/>
                      <w:sz w:val="21"/>
                      <w:szCs w:val="21"/>
                    </w:rPr>
                    <w:t>附图</w:t>
                  </w:r>
                  <w:r>
                    <w:rPr>
                      <w:rFonts w:hint="eastAsia" w:cs="Times New Roman"/>
                      <w:b/>
                      <w:bCs/>
                      <w:sz w:val="21"/>
                      <w:szCs w:val="21"/>
                      <w:lang w:val="en-US" w:eastAsia="zh-CN"/>
                    </w:rPr>
                    <w:t>4</w:t>
                  </w:r>
                  <w:r>
                    <w:rPr>
                      <w:rFonts w:ascii="Times New Roman" w:hAnsi="Times New Roman" w:eastAsia="宋体" w:cs="Times New Roman"/>
                      <w:b/>
                      <w:bCs/>
                      <w:sz w:val="21"/>
                      <w:szCs w:val="21"/>
                    </w:rPr>
                    <w:t xml:space="preserve">  </w:t>
                  </w:r>
                  <w:r>
                    <w:rPr>
                      <w:rFonts w:hint="eastAsia" w:cs="Times New Roman"/>
                      <w:b/>
                      <w:bCs/>
                      <w:sz w:val="21"/>
                      <w:szCs w:val="21"/>
                      <w:lang w:val="en-US" w:eastAsia="zh-CN"/>
                    </w:rPr>
                    <w:t>污水排放走向</w:t>
                  </w:r>
                </w:p>
              </w:txbxContent>
            </v:textbox>
          </v:shape>
        </w:pict>
      </w:r>
      <w:r>
        <w:rPr>
          <w:rFonts w:hint="eastAsia"/>
          <w:color w:val="auto"/>
          <w:lang w:val="en-US" w:eastAsia="zh-CN"/>
        </w:rPr>
        <w:tab/>
      </w:r>
      <w:r>
        <w:rPr>
          <w:color w:val="auto"/>
          <w:sz w:val="24"/>
        </w:rPr>
        <w:pict>
          <v:shape id="_x0000_s1034" o:spid="_x0000_s1034" o:spt="202" type="#_x0000_t202" style="position:absolute;left:0pt;margin-left:259.75pt;margin-top:12.35pt;height:24.05pt;width:214.9pt;z-index:-251624448;mso-width-relative:page;mso-height-relative:page;" filled="f" stroked="t" coordsize="21600,21600">
            <v:path/>
            <v:fill on="f" focussize="0,0"/>
            <v:stroke weight="1.5pt" color="#000000" joinstyle="round"/>
            <v:imagedata o:title=""/>
            <o:lock v:ext="edit" aspectratio="f"/>
            <v:textbox>
              <w:txbxContent>
                <w:p w14:paraId="10F5DDD7">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ascii="Times New Roman" w:hAnsi="Times New Roman" w:eastAsia="宋体" w:cs="Times New Roman"/>
                      <w:b/>
                      <w:bCs/>
                      <w:sz w:val="21"/>
                      <w:szCs w:val="21"/>
                    </w:rPr>
                  </w:pPr>
                  <w:r>
                    <w:rPr>
                      <w:rFonts w:ascii="Times New Roman" w:hAnsi="Times New Roman" w:eastAsia="宋体" w:cs="Times New Roman"/>
                      <w:b/>
                      <w:bCs/>
                      <w:sz w:val="21"/>
                      <w:szCs w:val="21"/>
                    </w:rPr>
                    <w:t>附图</w:t>
                  </w:r>
                  <w:r>
                    <w:rPr>
                      <w:rFonts w:hint="eastAsia" w:ascii="Times New Roman" w:hAnsi="Times New Roman" w:eastAsia="宋体" w:cs="Times New Roman"/>
                      <w:b/>
                      <w:bCs/>
                      <w:sz w:val="21"/>
                      <w:szCs w:val="21"/>
                      <w:lang w:val="en-US" w:eastAsia="zh-CN"/>
                    </w:rPr>
                    <w:t>4</w:t>
                  </w:r>
                  <w:r>
                    <w:rPr>
                      <w:rFonts w:ascii="Times New Roman" w:hAnsi="Times New Roman" w:eastAsia="宋体" w:cs="Times New Roman"/>
                      <w:b/>
                      <w:bCs/>
                      <w:sz w:val="21"/>
                      <w:szCs w:val="21"/>
                    </w:rPr>
                    <w:t xml:space="preserve">  </w:t>
                  </w:r>
                  <w:r>
                    <w:rPr>
                      <w:rFonts w:hint="eastAsia" w:ascii="Times New Roman" w:hAnsi="Times New Roman" w:eastAsia="宋体" w:cs="Times New Roman"/>
                      <w:b/>
                      <w:bCs/>
                      <w:sz w:val="21"/>
                      <w:szCs w:val="21"/>
                    </w:rPr>
                    <w:t xml:space="preserve"> 尾水走向图</w:t>
                  </w:r>
                </w:p>
              </w:txbxContent>
            </v:textbox>
          </v:shape>
        </w:pict>
      </w:r>
    </w:p>
    <w:p w14:paraId="2191D725">
      <w:pPr>
        <w:tabs>
          <w:tab w:val="left" w:pos="9279"/>
        </w:tabs>
        <w:bidi w:val="0"/>
        <w:jc w:val="left"/>
        <w:rPr>
          <w:rFonts w:hint="eastAsia"/>
          <w:color w:val="auto"/>
          <w:lang w:val="en-US" w:eastAsia="zh-CN"/>
        </w:rPr>
      </w:pPr>
      <w:r>
        <w:rPr>
          <w:color w:val="auto"/>
        </w:rPr>
        <w:drawing>
          <wp:anchor distT="0" distB="0" distL="114300" distR="114300" simplePos="0" relativeHeight="251701248" behindDoc="1" locked="0" layoutInCell="1" allowOverlap="1">
            <wp:simplePos x="0" y="0"/>
            <wp:positionH relativeFrom="column">
              <wp:posOffset>408305</wp:posOffset>
            </wp:positionH>
            <wp:positionV relativeFrom="paragraph">
              <wp:posOffset>-351790</wp:posOffset>
            </wp:positionV>
            <wp:extent cx="8321675" cy="5549900"/>
            <wp:effectExtent l="0" t="0" r="3175" b="12700"/>
            <wp:wrapNone/>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26"/>
                    <a:stretch>
                      <a:fillRect/>
                    </a:stretch>
                  </pic:blipFill>
                  <pic:spPr>
                    <a:xfrm>
                      <a:off x="0" y="0"/>
                      <a:ext cx="8321675" cy="5549900"/>
                    </a:xfrm>
                    <a:prstGeom prst="rect">
                      <a:avLst/>
                    </a:prstGeom>
                    <a:noFill/>
                    <a:ln>
                      <a:noFill/>
                    </a:ln>
                  </pic:spPr>
                </pic:pic>
              </a:graphicData>
            </a:graphic>
          </wp:anchor>
        </w:drawing>
      </w:r>
    </w:p>
    <w:p w14:paraId="03A5F72F">
      <w:pPr>
        <w:tabs>
          <w:tab w:val="left" w:pos="9279"/>
        </w:tabs>
        <w:bidi w:val="0"/>
        <w:jc w:val="left"/>
        <w:rPr>
          <w:rFonts w:hint="eastAsia"/>
          <w:color w:val="auto"/>
          <w:lang w:eastAsia="zh-CN"/>
        </w:rPr>
      </w:pPr>
    </w:p>
    <w:p w14:paraId="0C2FC8E2">
      <w:pPr>
        <w:bidi w:val="0"/>
        <w:rPr>
          <w:rFonts w:hint="eastAsia" w:ascii="Times New Roman" w:hAnsi="Times New Roman" w:eastAsia="宋体" w:cstheme="minorBidi"/>
          <w:color w:val="auto"/>
          <w:kern w:val="2"/>
          <w:sz w:val="24"/>
          <w:szCs w:val="24"/>
          <w:lang w:val="en-US" w:eastAsia="zh-CN" w:bidi="ar-SA"/>
        </w:rPr>
      </w:pPr>
    </w:p>
    <w:p w14:paraId="5B9A798B">
      <w:pPr>
        <w:bidi w:val="0"/>
        <w:rPr>
          <w:rFonts w:hint="eastAsia"/>
          <w:color w:val="auto"/>
          <w:lang w:val="en-US" w:eastAsia="zh-CN"/>
        </w:rPr>
      </w:pPr>
      <w:r>
        <w:rPr>
          <w:color w:val="auto"/>
        </w:rPr>
        <w:pict>
          <v:shape id="_x0000_s1035" o:spid="_x0000_s1035" o:spt="13" type="#_x0000_t13" style="position:absolute;left:0pt;flip:x;margin-left:390.5pt;margin-top:28.8pt;height:8.45pt;width:26.8pt;rotation:8781824f;z-index:251709440;v-text-anchor:middle;mso-width-relative:page;mso-height-relative:page;" fillcolor="#FF0000" filled="t" stroked="t" coordsize="21600,21600" adj="18195,5792">
            <v:path/>
            <v:fill on="t" color2="#FFFFFF" focussize="0,0"/>
            <v:stroke weight="1pt" color="#FF0000" miterlimit="8" joinstyle="miter"/>
            <v:imagedata o:title=""/>
            <o:lock v:ext="edit" aspectratio="f"/>
          </v:shape>
        </w:pict>
      </w:r>
    </w:p>
    <w:p w14:paraId="077E157C">
      <w:pPr>
        <w:bidi w:val="0"/>
        <w:rPr>
          <w:rFonts w:hint="eastAsia"/>
          <w:color w:val="auto"/>
          <w:lang w:val="en-US" w:eastAsia="zh-CN"/>
        </w:rPr>
      </w:pPr>
      <w:r>
        <w:rPr>
          <w:color w:val="auto"/>
        </w:rPr>
        <w:pict>
          <v:shape id="_x0000_s1036" o:spid="_x0000_s1036" o:spt="13" type="#_x0000_t13" style="position:absolute;left:0pt;flip:x;margin-left:342.85pt;margin-top:13.1pt;height:8.45pt;width:26.8pt;rotation:-9240576f;z-index:251712512;v-text-anchor:middle;mso-width-relative:page;mso-height-relative:page;" fillcolor="#FF0000" filled="t" stroked="t" coordsize="21600,21600" adj="18195,5792">
            <v:path/>
            <v:fill on="t" color2="#FFFFFF" focussize="0,0"/>
            <v:stroke weight="1pt" color="#FF0000" miterlimit="8" joinstyle="miter"/>
            <v:imagedata o:title=""/>
            <o:lock v:ext="edit" aspectratio="f"/>
          </v:shape>
        </w:pict>
      </w:r>
    </w:p>
    <w:p w14:paraId="09C8FF95">
      <w:pPr>
        <w:bidi w:val="0"/>
        <w:rPr>
          <w:rFonts w:hint="eastAsia"/>
          <w:color w:val="auto"/>
          <w:lang w:val="en-US" w:eastAsia="zh-CN"/>
        </w:rPr>
      </w:pPr>
    </w:p>
    <w:p w14:paraId="2310B169">
      <w:pPr>
        <w:bidi w:val="0"/>
        <w:rPr>
          <w:rFonts w:hint="eastAsia"/>
          <w:color w:val="auto"/>
          <w:lang w:val="en-US" w:eastAsia="zh-CN"/>
        </w:rPr>
      </w:pPr>
      <w:r>
        <w:rPr>
          <w:color w:val="auto"/>
        </w:rPr>
        <w:pict>
          <v:shape id="_x0000_s1037" o:spid="_x0000_s1037" o:spt="13" type="#_x0000_t13" style="position:absolute;left:0pt;flip:x;margin-left:296.45pt;margin-top:0.75pt;height:8.45pt;width:26.8pt;rotation:-8978432f;z-index:251711488;v-text-anchor:middle;mso-width-relative:page;mso-height-relative:page;" fillcolor="#FF0000" filled="t" stroked="t" coordsize="21600,21600" adj="18195,5792">
            <v:path/>
            <v:fill on="t" color2="#FFFFFF" focussize="0,0"/>
            <v:stroke weight="1pt" color="#FF0000" miterlimit="8" joinstyle="miter"/>
            <v:imagedata o:title=""/>
            <o:lock v:ext="edit" aspectratio="f"/>
          </v:shape>
        </w:pict>
      </w:r>
      <w:r>
        <w:rPr>
          <w:color w:val="auto"/>
        </w:rPr>
        <w:pict>
          <v:shape id="_x0000_s1038" o:spid="_x0000_s1038" o:spt="13" type="#_x0000_t13" style="position:absolute;left:0pt;flip:x;margin-left:429.75pt;margin-top:14.5pt;height:8.45pt;width:26.8pt;rotation:8781824f;z-index:251710464;v-text-anchor:middle;mso-width-relative:page;mso-height-relative:page;" fillcolor="#FF0000" filled="t" stroked="t" coordsize="21600,21600" adj="18195,5792">
            <v:path/>
            <v:fill on="t" color2="#FFFFFF" focussize="0,0"/>
            <v:stroke weight="1pt" color="#FF0000" miterlimit="8" joinstyle="miter"/>
            <v:imagedata o:title=""/>
            <o:lock v:ext="edit" aspectratio="f"/>
          </v:shape>
        </w:pict>
      </w:r>
    </w:p>
    <w:p w14:paraId="14F2324F">
      <w:pPr>
        <w:bidi w:val="0"/>
        <w:rPr>
          <w:rFonts w:hint="eastAsia"/>
          <w:color w:val="auto"/>
          <w:lang w:val="en-US" w:eastAsia="zh-CN"/>
        </w:rPr>
      </w:pPr>
      <w:r>
        <w:rPr>
          <w:color w:val="auto"/>
        </w:rPr>
        <w:pict>
          <v:shape id="_x0000_s1039" o:spid="_x0000_s1039" o:spt="13" type="#_x0000_t13" style="position:absolute;left:0pt;flip:x;margin-left:304.1pt;margin-top:29.35pt;height:8.45pt;width:26.8pt;rotation:8781824f;z-index:251706368;v-text-anchor:middle;mso-width-relative:page;mso-height-relative:page;" fillcolor="#FF0000" filled="t" stroked="t" coordsize="21600,21600" adj="18195,5792">
            <v:path/>
            <v:fill on="t" color2="#FFFFFF" focussize="0,0"/>
            <v:stroke weight="1pt" color="#FF0000" miterlimit="8" joinstyle="miter"/>
            <v:imagedata o:title=""/>
            <o:lock v:ext="edit" aspectratio="f"/>
          </v:shape>
        </w:pict>
      </w:r>
    </w:p>
    <w:p w14:paraId="2428C293">
      <w:pPr>
        <w:bidi w:val="0"/>
        <w:rPr>
          <w:rFonts w:hint="eastAsia"/>
          <w:color w:val="auto"/>
          <w:lang w:val="en-US" w:eastAsia="zh-CN"/>
        </w:rPr>
      </w:pPr>
      <w:r>
        <w:rPr>
          <w:color w:val="auto"/>
        </w:rPr>
        <w:pict>
          <v:shape id="_x0000_s1040" o:spid="_x0000_s1040" o:spt="13" type="#_x0000_t13" style="position:absolute;left:0pt;flip:x;margin-left:468.4pt;margin-top:14.5pt;height:8.45pt;width:26.8pt;rotation:8781824f;z-index:251707392;v-text-anchor:middle;mso-width-relative:page;mso-height-relative:page;" fillcolor="#FF0000" filled="t" stroked="t" coordsize="21600,21600" adj="18195,5792">
            <v:path/>
            <v:fill on="t" color2="#FFFFFF" focussize="0,0"/>
            <v:stroke weight="1pt" color="#FF0000" miterlimit="8" joinstyle="miter"/>
            <v:imagedata o:title=""/>
            <o:lock v:ext="edit" aspectratio="f"/>
          </v:shape>
        </w:pict>
      </w:r>
    </w:p>
    <w:p w14:paraId="4C56A626">
      <w:pPr>
        <w:bidi w:val="0"/>
        <w:rPr>
          <w:rFonts w:hint="eastAsia"/>
          <w:color w:val="auto"/>
          <w:lang w:val="en-US" w:eastAsia="zh-CN"/>
        </w:rPr>
      </w:pPr>
      <w:r>
        <w:rPr>
          <w:color w:val="auto"/>
        </w:rPr>
        <w:pict>
          <v:shape id="_x0000_s1041" o:spid="_x0000_s1041" o:spt="13" type="#_x0000_t13" style="position:absolute;left:0pt;flip:x;margin-left:558.9pt;margin-top:20.75pt;height:7.55pt;width:52.65pt;rotation:-9240576f;z-index:251713536;v-text-anchor:middle;mso-width-relative:page;mso-height-relative:page;" fillcolor="#FF0000" filled="t" stroked="t" coordsize="21600,21600" adj="18195,5792">
            <v:path/>
            <v:fill on="t" color2="#FFFFFF" focussize="0,0"/>
            <v:stroke weight="1pt" color="#FF0000" miterlimit="8" joinstyle="miter"/>
            <v:imagedata o:title=""/>
            <o:lock v:ext="edit" aspectratio="f"/>
          </v:shape>
        </w:pict>
      </w:r>
      <w:r>
        <w:rPr>
          <w:color w:val="auto"/>
        </w:rPr>
        <w:pict>
          <v:shape id="_x0000_s1042" o:spid="_x0000_s1042" o:spt="13" type="#_x0000_t13" style="position:absolute;left:0pt;flip:x;margin-left:504.2pt;margin-top:30.25pt;height:8.45pt;width:26.8pt;rotation:8781824f;z-index:251708416;v-text-anchor:middle;mso-width-relative:page;mso-height-relative:page;" fillcolor="#FF0000" filled="t" stroked="t" coordsize="21600,21600" adj="18195,5792">
            <v:path/>
            <v:fill on="t" color2="#FFFFFF" focussize="0,0"/>
            <v:stroke weight="1pt" color="#FF0000" miterlimit="8" joinstyle="miter"/>
            <v:imagedata o:title=""/>
            <o:lock v:ext="edit" aspectratio="f"/>
          </v:shape>
        </w:pict>
      </w:r>
    </w:p>
    <w:p w14:paraId="69FC8708">
      <w:pPr>
        <w:bidi w:val="0"/>
        <w:rPr>
          <w:rFonts w:hint="eastAsia"/>
          <w:color w:val="auto"/>
          <w:lang w:val="en-US" w:eastAsia="zh-CN"/>
        </w:rPr>
      </w:pPr>
    </w:p>
    <w:p w14:paraId="1B4DCE4F">
      <w:pPr>
        <w:bidi w:val="0"/>
        <w:rPr>
          <w:rFonts w:hint="eastAsia"/>
          <w:color w:val="auto"/>
          <w:lang w:val="en-US" w:eastAsia="zh-CN"/>
        </w:rPr>
      </w:pPr>
      <w:r>
        <w:rPr>
          <w:color w:val="auto"/>
        </w:rPr>
        <w:pict>
          <v:shape id="_x0000_s1043" o:spid="_x0000_s1043" o:spt="13" type="#_x0000_t13" style="position:absolute;left:0pt;flip:x;margin-left:382.55pt;margin-top:11.3pt;height:8.45pt;width:26.8pt;rotation:8781824f;z-index:251705344;v-text-anchor:middle;mso-width-relative:page;mso-height-relative:page;" fillcolor="#FF0000" filled="t" stroked="t" coordsize="21600,21600" adj="18195,5792">
            <v:path/>
            <v:fill on="t" color2="#FFFFFF" focussize="0,0"/>
            <v:stroke weight="1pt" color="#FF0000" miterlimit="8" joinstyle="miter"/>
            <v:imagedata o:title=""/>
            <o:lock v:ext="edit" aspectratio="f"/>
          </v:shape>
        </w:pict>
      </w:r>
      <w:r>
        <w:rPr>
          <w:color w:val="auto"/>
        </w:rPr>
        <w:pict>
          <v:shape id="_x0000_s1044" o:spid="_x0000_s1044" o:spt="13" type="#_x0000_t13" style="position:absolute;left:0pt;flip:x;margin-left:512.45pt;margin-top:22.35pt;height:8.45pt;width:26.8pt;rotation:-9240576f;z-index:251702272;v-text-anchor:middle;mso-width-relative:page;mso-height-relative:page;" fillcolor="#FF0000" filled="t" stroked="t" coordsize="21600,21600" adj="18195,5792">
            <v:path/>
            <v:fill on="t" color2="#FFFFFF" focussize="0,0"/>
            <v:stroke weight="1pt" color="#FF0000" miterlimit="8" joinstyle="miter"/>
            <v:imagedata o:title=""/>
            <o:lock v:ext="edit" aspectratio="f"/>
          </v:shape>
        </w:pict>
      </w:r>
    </w:p>
    <w:p w14:paraId="4943A8D8">
      <w:pPr>
        <w:bidi w:val="0"/>
        <w:rPr>
          <w:rFonts w:hint="eastAsia"/>
          <w:color w:val="auto"/>
          <w:lang w:val="en-US" w:eastAsia="zh-CN"/>
        </w:rPr>
      </w:pPr>
      <w:r>
        <w:rPr>
          <w:color w:val="auto"/>
        </w:rPr>
        <w:pict>
          <v:shape id="_x0000_s1045" o:spid="_x0000_s1045" o:spt="13" type="#_x0000_t13" style="position:absolute;left:0pt;flip:x;margin-left:426.5pt;margin-top:31.85pt;height:8.45pt;width:26.8pt;rotation:8781824f;z-index:251704320;v-text-anchor:middle;mso-width-relative:page;mso-height-relative:page;" fillcolor="#FF0000" filled="t" stroked="t" coordsize="21600,21600" adj="18195,5792">
            <v:path/>
            <v:fill on="t" color2="#FFFFFF" focussize="0,0"/>
            <v:stroke weight="1pt" color="#FF0000" miterlimit="8" joinstyle="miter"/>
            <v:imagedata o:title=""/>
            <o:lock v:ext="edit" aspectratio="f"/>
          </v:shape>
        </w:pict>
      </w:r>
    </w:p>
    <w:p w14:paraId="1AE6337C">
      <w:pPr>
        <w:bidi w:val="0"/>
        <w:rPr>
          <w:rFonts w:hint="eastAsia"/>
          <w:color w:val="auto"/>
          <w:lang w:val="en-US" w:eastAsia="zh-CN"/>
        </w:rPr>
      </w:pPr>
      <w:r>
        <w:rPr>
          <w:color w:val="auto"/>
        </w:rPr>
        <w:pict>
          <v:shape id="_x0000_s1046" o:spid="_x0000_s1046" o:spt="13" type="#_x0000_t13" style="position:absolute;left:0pt;flip:x;margin-left:478.55pt;margin-top:3.95pt;height:8.45pt;width:26.8pt;rotation:-9240576f;z-index:251696128;v-text-anchor:middle;mso-width-relative:page;mso-height-relative:page;" fillcolor="#FF0000" filled="t" stroked="t" coordsize="21600,21600" adj="18195,5792">
            <v:path/>
            <v:fill on="t" color2="#FFFFFF" focussize="0,0"/>
            <v:stroke weight="1pt" color="#FF0000" miterlimit="8" joinstyle="miter"/>
            <v:imagedata o:title=""/>
            <o:lock v:ext="edit" aspectratio="f"/>
          </v:shape>
        </w:pict>
      </w:r>
    </w:p>
    <w:p w14:paraId="108C215F">
      <w:pPr>
        <w:bidi w:val="0"/>
        <w:rPr>
          <w:rFonts w:hint="eastAsia"/>
          <w:color w:val="auto"/>
          <w:lang w:val="en-US" w:eastAsia="zh-CN"/>
        </w:rPr>
      </w:pPr>
    </w:p>
    <w:p w14:paraId="053ABAE6">
      <w:pPr>
        <w:bidi w:val="0"/>
        <w:rPr>
          <w:rFonts w:hint="eastAsia"/>
          <w:color w:val="auto"/>
          <w:lang w:val="en-US" w:eastAsia="zh-CN"/>
        </w:rPr>
      </w:pPr>
      <w:r>
        <w:rPr>
          <w:color w:val="auto"/>
        </w:rPr>
        <w:pict>
          <v:shape id="_x0000_s1047" o:spid="_x0000_s1047" o:spt="13" type="#_x0000_t13" style="position:absolute;left:0pt;flip:x;margin-left:404pt;margin-top:14.15pt;height:8.45pt;width:26.8pt;rotation:-9240576f;z-index:251703296;v-text-anchor:middle;mso-width-relative:page;mso-height-relative:page;" fillcolor="#FF0000" filled="t" stroked="t" coordsize="21600,21600" adj="18195,5792">
            <v:path/>
            <v:fill on="t" color2="#FFFFFF" focussize="0,0"/>
            <v:stroke weight="1pt" color="#FF0000" miterlimit="8" joinstyle="miter"/>
            <v:imagedata o:title=""/>
            <o:lock v:ext="edit" aspectratio="f"/>
          </v:shape>
        </w:pict>
      </w:r>
      <w:r>
        <w:rPr>
          <w:color w:val="auto"/>
        </w:rPr>
        <w:pict>
          <v:shape id="文本框 70" o:spid="_x0000_s1048" o:spt="202" type="#_x0000_t202" style="position:absolute;left:0pt;margin-left:33.1pt;margin-top:22.5pt;height:34.3pt;width:138.8pt;z-index:251675648;mso-width-relative:page;mso-height-relative:page;" fillcolor="#FFFFFF" filled="t" stroked="t" coordsize="21600,21600" o:gfxdata="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YhguN2AAAAAsBAAAPAAAAAAAAAAEAIAAAACIAAABkcnMvZG93bnJldi54bWxQSwEC&#10;FAAUAAAACACHTuJAYSIj8GYCAADFBAAADgAAAAAAAAABACAAAAAnAQAAZHJzL2Uyb0RvYy54bWxQ&#10;SwUGAAAAAAYABgBZAQAA/wUAAAAA&#10;">
            <v:path/>
            <v:fill on="t" focussize="0,0"/>
            <v:stroke weight="0.5pt" color="#000000" joinstyle="round"/>
            <v:imagedata o:title=""/>
            <o:lock v:ext="edit" aspectratio="f"/>
            <v:textbox>
              <w:txbxContent>
                <w:p w14:paraId="06262424">
                  <w:pPr>
                    <w:ind w:firstLine="480"/>
                  </w:pPr>
                  <w:r>
                    <w:rPr>
                      <w:rFonts w:hint="eastAsia"/>
                    </w:rPr>
                    <w:t>——紧急疏散路线</w:t>
                  </w:r>
                </w:p>
              </w:txbxContent>
            </v:textbox>
          </v:shape>
        </w:pict>
      </w:r>
    </w:p>
    <w:p w14:paraId="0E4B7D05">
      <w:pPr>
        <w:bidi w:val="0"/>
        <w:rPr>
          <w:rFonts w:hint="eastAsia"/>
          <w:color w:val="auto"/>
          <w:lang w:val="en-US" w:eastAsia="zh-CN"/>
        </w:rPr>
      </w:pPr>
      <w:r>
        <w:rPr>
          <w:color w:val="auto"/>
        </w:rPr>
        <w:pict>
          <v:shape id="箭头: 右 71" o:spid="_x0000_s1049" o:spt="13" type="#_x0000_t13" style="position:absolute;left:0pt;margin-left:37.75pt;margin-top:9.35pt;height:13.95pt;width:28.3pt;z-index:251676672;v-text-anchor:middle;mso-width-relative:page;mso-height-relative:page;" fillcolor="#FF0000" filled="t" stroked="t" coordsize="21600,21600" o:gfxdata="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7QEoK2AAAAAsBAAAPAAAAAAAA&#10;AAEAIAAAACIAAABkcnMvZG93bnJldi54bWxQSwECFAAUAAAACACHTuJAevl+gIQCAAAMBQAADgAA&#10;AAAAAAABACAAAAAnAQAAZHJzL2Uyb0RvYy54bWxQSwUGAAAAAAYABgBZAQAAHQYAAAAA&#10;" adj="16277,5400">
            <v:path/>
            <v:fill on="t" focussize="0,0"/>
            <v:stroke weight="1pt" color="#FF0000" miterlimit="8" joinstyle="miter"/>
            <v:imagedata o:title=""/>
            <o:lock v:ext="edit" aspectratio="f"/>
          </v:shape>
        </w:pict>
      </w:r>
    </w:p>
    <w:p w14:paraId="271459BD">
      <w:pPr>
        <w:tabs>
          <w:tab w:val="left" w:pos="10574"/>
        </w:tabs>
        <w:bidi w:val="0"/>
        <w:jc w:val="left"/>
        <w:rPr>
          <w:rFonts w:hint="eastAsia"/>
          <w:color w:val="auto"/>
          <w:lang w:val="en-US" w:eastAsia="zh-CN"/>
        </w:rPr>
        <w:sectPr>
          <w:pgSz w:w="16838" w:h="11906" w:orient="landscape"/>
          <w:pgMar w:top="1800" w:right="1440" w:bottom="1417" w:left="1440" w:header="851" w:footer="992" w:gutter="0"/>
          <w:pgBorders>
            <w:top w:val="none" w:sz="0" w:space="0"/>
            <w:left w:val="none" w:sz="0" w:space="0"/>
            <w:bottom w:val="none" w:sz="0" w:space="0"/>
            <w:right w:val="none" w:sz="0" w:space="0"/>
          </w:pgBorders>
          <w:cols w:space="425" w:num="1"/>
          <w:docGrid w:type="lines" w:linePitch="312" w:charSpace="0"/>
        </w:sectPr>
      </w:pPr>
      <w:r>
        <w:rPr>
          <w:color w:val="auto"/>
          <w:sz w:val="24"/>
        </w:rPr>
        <w:pict>
          <v:shape id="_x0000_s1050" o:spid="_x0000_s1050" o:spt="202" type="#_x0000_t202" style="position:absolute;left:0pt;margin-left:258.55pt;margin-top:12.3pt;height:24.05pt;width:197.4pt;z-index:-251651072;mso-width-relative:page;mso-height-relative:page;" filled="f" stroked="t" coordsize="21600,21600">
            <v:path/>
            <v:fill on="f" focussize="0,0"/>
            <v:stroke weight="1.5pt" color="#000000" joinstyle="round"/>
            <v:imagedata o:title=""/>
            <o:lock v:ext="edit" aspectratio="f"/>
            <v:textbox>
              <w:txbxContent>
                <w:p w14:paraId="29D735B8">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ascii="Times New Roman" w:hAnsi="Times New Roman" w:eastAsia="宋体" w:cs="Times New Roman"/>
                      <w:b/>
                      <w:bCs/>
                      <w:sz w:val="21"/>
                      <w:szCs w:val="21"/>
                    </w:rPr>
                  </w:pPr>
                  <w:r>
                    <w:rPr>
                      <w:rFonts w:ascii="Times New Roman" w:hAnsi="Times New Roman" w:eastAsia="宋体" w:cs="Times New Roman"/>
                      <w:b/>
                      <w:bCs/>
                      <w:sz w:val="21"/>
                      <w:szCs w:val="21"/>
                    </w:rPr>
                    <w:t>附图</w:t>
                  </w:r>
                  <w:r>
                    <w:rPr>
                      <w:rFonts w:hint="eastAsia" w:cs="Times New Roman"/>
                      <w:b/>
                      <w:bCs/>
                      <w:sz w:val="21"/>
                      <w:szCs w:val="21"/>
                      <w:lang w:val="en-US" w:eastAsia="zh-CN"/>
                    </w:rPr>
                    <w:t>5</w:t>
                  </w:r>
                  <w:r>
                    <w:rPr>
                      <w:rFonts w:ascii="Times New Roman" w:hAnsi="Times New Roman" w:eastAsia="宋体" w:cs="Times New Roman"/>
                      <w:b/>
                      <w:bCs/>
                      <w:sz w:val="21"/>
                      <w:szCs w:val="21"/>
                    </w:rPr>
                    <w:t xml:space="preserve">  </w:t>
                  </w:r>
                  <w:r>
                    <w:rPr>
                      <w:rFonts w:hint="eastAsia" w:ascii="Times New Roman" w:hAnsi="Times New Roman" w:cs="Times New Roman"/>
                      <w:b/>
                      <w:bCs/>
                      <w:sz w:val="21"/>
                      <w:szCs w:val="21"/>
                      <w:lang w:val="en-US" w:eastAsia="zh-CN"/>
                    </w:rPr>
                    <w:t>厂区</w:t>
                  </w:r>
                  <w:r>
                    <w:rPr>
                      <w:rFonts w:hint="eastAsia" w:cs="Times New Roman"/>
                      <w:b/>
                      <w:bCs/>
                      <w:sz w:val="21"/>
                      <w:szCs w:val="21"/>
                      <w:lang w:val="en-US" w:eastAsia="zh-CN"/>
                    </w:rPr>
                    <w:t>紧急疏散示意</w:t>
                  </w:r>
                </w:p>
              </w:txbxContent>
            </v:textbox>
          </v:shape>
        </w:pict>
      </w:r>
      <w:r>
        <w:rPr>
          <w:rFonts w:hint="eastAsia"/>
          <w:color w:val="auto"/>
          <w:lang w:val="en-US" w:eastAsia="zh-CN"/>
        </w:rPr>
        <w:tab/>
      </w:r>
    </w:p>
    <w:p w14:paraId="1EAC4B9A">
      <w:pPr>
        <w:tabs>
          <w:tab w:val="left" w:pos="10574"/>
        </w:tabs>
        <w:bidi w:val="0"/>
        <w:jc w:val="left"/>
        <w:rPr>
          <w:rFonts w:hint="eastAsia"/>
          <w:color w:val="auto"/>
          <w:lang w:eastAsia="zh-CN"/>
        </w:rPr>
      </w:pPr>
      <w:r>
        <w:rPr>
          <w:rFonts w:hint="eastAsia"/>
          <w:color w:val="auto"/>
          <w:lang w:val="en-US" w:eastAsia="zh-CN"/>
        </w:rPr>
        <w:drawing>
          <wp:anchor distT="0" distB="0" distL="114300" distR="114300" simplePos="0" relativeHeight="251714560" behindDoc="1" locked="0" layoutInCell="1" allowOverlap="1">
            <wp:simplePos x="0" y="0"/>
            <wp:positionH relativeFrom="column">
              <wp:posOffset>354965</wp:posOffset>
            </wp:positionH>
            <wp:positionV relativeFrom="paragraph">
              <wp:posOffset>-400050</wp:posOffset>
            </wp:positionV>
            <wp:extent cx="8032750" cy="5678170"/>
            <wp:effectExtent l="0" t="0" r="6350" b="17780"/>
            <wp:wrapNone/>
            <wp:docPr id="22" name="图片 22" descr="页面提取自－1_1_资溪初设图纸分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页面提取自－1_1_资溪初设图纸分册"/>
                    <pic:cNvPicPr>
                      <a:picLocks noChangeAspect="1"/>
                    </pic:cNvPicPr>
                  </pic:nvPicPr>
                  <pic:blipFill>
                    <a:blip r:embed="rId24"/>
                    <a:stretch>
                      <a:fillRect/>
                    </a:stretch>
                  </pic:blipFill>
                  <pic:spPr>
                    <a:xfrm>
                      <a:off x="0" y="0"/>
                      <a:ext cx="8032750" cy="5678170"/>
                    </a:xfrm>
                    <a:prstGeom prst="rect">
                      <a:avLst/>
                    </a:prstGeom>
                  </pic:spPr>
                </pic:pic>
              </a:graphicData>
            </a:graphic>
          </wp:anchor>
        </w:drawing>
      </w:r>
    </w:p>
    <w:p w14:paraId="1F482269">
      <w:pPr>
        <w:bidi w:val="0"/>
        <w:rPr>
          <w:rFonts w:hint="eastAsia" w:ascii="Times New Roman" w:hAnsi="Times New Roman" w:eastAsia="宋体" w:cstheme="minorBidi"/>
          <w:color w:val="auto"/>
          <w:kern w:val="2"/>
          <w:sz w:val="24"/>
          <w:szCs w:val="24"/>
          <w:lang w:val="en-US" w:eastAsia="zh-CN" w:bidi="ar-SA"/>
        </w:rPr>
      </w:pPr>
    </w:p>
    <w:p w14:paraId="51DBED05">
      <w:pPr>
        <w:bidi w:val="0"/>
        <w:rPr>
          <w:rFonts w:hint="eastAsia"/>
          <w:color w:val="auto"/>
          <w:lang w:val="en-US" w:eastAsia="zh-CN"/>
        </w:rPr>
      </w:pPr>
    </w:p>
    <w:p w14:paraId="645CF023">
      <w:pPr>
        <w:bidi w:val="0"/>
        <w:rPr>
          <w:rFonts w:hint="eastAsia"/>
          <w:color w:val="auto"/>
          <w:lang w:val="en-US" w:eastAsia="zh-CN"/>
        </w:rPr>
      </w:pPr>
    </w:p>
    <w:p w14:paraId="3BAE8F88">
      <w:pPr>
        <w:bidi w:val="0"/>
        <w:rPr>
          <w:rFonts w:hint="eastAsia"/>
          <w:color w:val="auto"/>
          <w:lang w:val="en-US" w:eastAsia="zh-CN"/>
        </w:rPr>
      </w:pPr>
    </w:p>
    <w:p w14:paraId="15DCA6E0">
      <w:pPr>
        <w:bidi w:val="0"/>
        <w:rPr>
          <w:rFonts w:hint="eastAsia"/>
          <w:color w:val="auto"/>
          <w:lang w:val="en-US" w:eastAsia="zh-CN"/>
        </w:rPr>
      </w:pPr>
    </w:p>
    <w:p w14:paraId="3011B0D2">
      <w:pPr>
        <w:bidi w:val="0"/>
        <w:rPr>
          <w:rFonts w:hint="eastAsia"/>
          <w:color w:val="auto"/>
          <w:lang w:val="en-US" w:eastAsia="zh-CN"/>
        </w:rPr>
      </w:pPr>
    </w:p>
    <w:p w14:paraId="65CD2D4C">
      <w:pPr>
        <w:bidi w:val="0"/>
        <w:rPr>
          <w:rFonts w:hint="eastAsia"/>
          <w:color w:val="auto"/>
          <w:lang w:val="en-US" w:eastAsia="zh-CN"/>
        </w:rPr>
      </w:pPr>
    </w:p>
    <w:p w14:paraId="117326BC">
      <w:pPr>
        <w:bidi w:val="0"/>
        <w:rPr>
          <w:rFonts w:hint="eastAsia"/>
          <w:color w:val="auto"/>
          <w:lang w:val="en-US" w:eastAsia="zh-CN"/>
        </w:rPr>
      </w:pPr>
    </w:p>
    <w:p w14:paraId="5A7D98BF">
      <w:pPr>
        <w:bidi w:val="0"/>
        <w:rPr>
          <w:rFonts w:hint="eastAsia"/>
          <w:color w:val="auto"/>
          <w:lang w:val="en-US" w:eastAsia="zh-CN"/>
        </w:rPr>
      </w:pPr>
    </w:p>
    <w:p w14:paraId="59374C4A">
      <w:pPr>
        <w:bidi w:val="0"/>
        <w:rPr>
          <w:rFonts w:hint="eastAsia"/>
          <w:color w:val="auto"/>
          <w:lang w:val="en-US" w:eastAsia="zh-CN"/>
        </w:rPr>
      </w:pPr>
      <w:r>
        <w:rPr>
          <w:rFonts w:ascii="Times New Roman" w:hAnsi="Times New Roman"/>
          <w:color w:val="auto"/>
          <w:sz w:val="24"/>
        </w:rPr>
        <w:pict>
          <v:shape id="_x0000_s1051" o:spid="_x0000_s1051" o:spt="12" type="#_x0000_t12" style="position:absolute;left:0pt;margin-left:220.35pt;margin-top:4.6pt;height:14.4pt;width:13.85pt;z-index:251695104;mso-width-relative:page;mso-height-relative:page;" fillcolor="#FF0000" filled="t" stroked="f" coordsize="21600,21600">
            <v:path/>
            <v:fill on="t" focussize="0,0"/>
            <v:stroke on="f"/>
            <v:imagedata o:title=""/>
            <o:lock v:ext="edit"/>
          </v:shape>
        </w:pict>
      </w:r>
      <w:r>
        <w:rPr>
          <w:rFonts w:ascii="Times New Roman" w:hAnsi="Times New Roman"/>
          <w:color w:val="auto"/>
          <w:sz w:val="24"/>
        </w:rPr>
        <w:pict>
          <v:shape id="_x0000_s1052" o:spid="_x0000_s1052" o:spt="5" type="#_x0000_t5" style="position:absolute;left:0pt;margin-left:212.65pt;margin-top:1.65pt;height:10.65pt;width:9.25pt;z-index:251694080;mso-width-relative:page;mso-height-relative:page;" fillcolor="#00B0F0" filled="t" stroked="f" coordsize="21600,21600" adj="10800">
            <v:path/>
            <v:fill on="t" color2="#FFFFFF" focussize="0,0"/>
            <v:stroke on="f"/>
            <v:imagedata o:title=""/>
            <o:lock v:ext="edit" aspectratio="f"/>
          </v:shape>
        </w:pict>
      </w:r>
    </w:p>
    <w:p w14:paraId="6819F802">
      <w:pPr>
        <w:bidi w:val="0"/>
        <w:rPr>
          <w:rFonts w:hint="eastAsia"/>
          <w:color w:val="auto"/>
          <w:lang w:val="en-US" w:eastAsia="zh-CN"/>
        </w:rPr>
      </w:pPr>
      <w:r>
        <w:rPr>
          <w:rFonts w:ascii="Times New Roman" w:hAnsi="Times New Roman"/>
          <w:color w:val="auto"/>
          <w:sz w:val="24"/>
        </w:rPr>
        <w:pict>
          <v:shape id="_x0000_s1053" o:spid="_x0000_s1053" o:spt="12" type="#_x0000_t12" style="position:absolute;left:0pt;margin-left:397.2pt;margin-top:16.15pt;height:14.4pt;width:13.85pt;z-index:251683840;mso-width-relative:page;mso-height-relative:page;" fillcolor="#FF0000" filled="t" stroked="f" coordsize="21600,21600">
            <v:path/>
            <v:fill on="t" focussize="0,0"/>
            <v:stroke on="f"/>
            <v:imagedata o:title=""/>
            <o:lock v:ext="edit"/>
          </v:shape>
        </w:pict>
      </w:r>
      <w:r>
        <w:rPr>
          <w:rFonts w:ascii="Times New Roman" w:hAnsi="Times New Roman"/>
          <w:color w:val="auto"/>
          <w:sz w:val="24"/>
        </w:rPr>
        <w:pict>
          <v:shape id="_x0000_s1054" o:spid="_x0000_s1054" o:spt="5" type="#_x0000_t5" style="position:absolute;left:0pt;margin-left:391.25pt;margin-top:19.7pt;height:10.65pt;width:9.25pt;z-index:251682816;mso-width-relative:page;mso-height-relative:page;" fillcolor="#00B0F0" filled="t" stroked="f" coordsize="21600,21600" adj="10800">
            <v:path/>
            <v:fill on="t" color2="#FFFFFF" focussize="0,0"/>
            <v:stroke on="f"/>
            <v:imagedata o:title=""/>
            <o:lock v:ext="edit" aspectratio="f"/>
          </v:shape>
        </w:pict>
      </w:r>
      <w:r>
        <w:rPr>
          <w:rFonts w:ascii="Times New Roman" w:hAnsi="Times New Roman"/>
          <w:color w:val="auto"/>
          <w:sz w:val="24"/>
        </w:rPr>
        <w:pict>
          <v:shape id="_x0000_s1055" o:spid="_x0000_s1055" o:spt="12" type="#_x0000_t12" style="position:absolute;left:0pt;margin-left:199.2pt;margin-top:21.85pt;height:14.4pt;width:13.85pt;z-index:251689984;mso-width-relative:page;mso-height-relative:page;" fillcolor="#FF0000" filled="t" stroked="f" coordsize="21600,21600">
            <v:path/>
            <v:fill on="t" focussize="0,0"/>
            <v:stroke on="f"/>
            <v:imagedata o:title=""/>
            <o:lock v:ext="edit"/>
          </v:shape>
        </w:pict>
      </w:r>
    </w:p>
    <w:p w14:paraId="446F196B">
      <w:pPr>
        <w:bidi w:val="0"/>
        <w:rPr>
          <w:rFonts w:hint="eastAsia"/>
          <w:color w:val="auto"/>
          <w:lang w:val="en-US" w:eastAsia="zh-CN"/>
        </w:rPr>
      </w:pPr>
      <w:r>
        <w:rPr>
          <w:rFonts w:ascii="Times New Roman" w:hAnsi="Times New Roman"/>
          <w:color w:val="auto"/>
          <w:sz w:val="24"/>
        </w:rPr>
        <w:pict>
          <v:shape id="_x0000_s1056" o:spid="_x0000_s1056" o:spt="12" type="#_x0000_t12" style="position:absolute;left:0pt;margin-left:349.95pt;margin-top:10.5pt;height:14.4pt;width:13.85pt;z-index:251699200;mso-width-relative:page;mso-height-relative:page;" fillcolor="#FF0000" filled="t" stroked="f" coordsize="21600,21600">
            <v:path/>
            <v:fill on="t" focussize="0,0"/>
            <v:stroke on="f"/>
            <v:imagedata o:title=""/>
            <o:lock v:ext="edit"/>
          </v:shape>
        </w:pict>
      </w:r>
      <w:r>
        <w:rPr>
          <w:rFonts w:ascii="Times New Roman" w:hAnsi="Times New Roman"/>
          <w:color w:val="auto"/>
          <w:sz w:val="24"/>
        </w:rPr>
        <w:pict>
          <v:shape id="_x0000_s1057" o:spid="_x0000_s1057" o:spt="5" type="#_x0000_t5" style="position:absolute;left:0pt;margin-left:369.9pt;margin-top:9.9pt;height:10.65pt;width:9.25pt;z-index:251687936;mso-width-relative:page;mso-height-relative:page;" fillcolor="#00B0F0" filled="t" stroked="f" coordsize="21600,21600" adj="10800">
            <v:path/>
            <v:fill on="t" color2="#FFFFFF" focussize="0,0"/>
            <v:stroke on="f"/>
            <v:imagedata o:title=""/>
            <o:lock v:ext="edit" aspectratio="f"/>
          </v:shape>
        </w:pict>
      </w:r>
      <w:r>
        <w:rPr>
          <w:rFonts w:ascii="Times New Roman" w:hAnsi="Times New Roman"/>
          <w:color w:val="auto"/>
          <w:sz w:val="24"/>
        </w:rPr>
        <w:pict>
          <v:shape id="_x0000_s1058" o:spid="_x0000_s1058" o:spt="5" type="#_x0000_t5" style="position:absolute;left:0pt;margin-left:214.8pt;margin-top:1.95pt;height:10.65pt;width:9.25pt;z-index:251688960;mso-width-relative:page;mso-height-relative:page;" fillcolor="#00B0F0" filled="t" stroked="f" coordsize="21600,21600" adj="10800">
            <v:path/>
            <v:fill on="t" color2="#FFFFFF" focussize="0,0"/>
            <v:stroke on="f"/>
            <v:imagedata o:title=""/>
            <o:lock v:ext="edit" aspectratio="f"/>
          </v:shape>
        </w:pict>
      </w:r>
    </w:p>
    <w:p w14:paraId="08B55553">
      <w:pPr>
        <w:bidi w:val="0"/>
        <w:rPr>
          <w:rFonts w:hint="eastAsia"/>
          <w:color w:val="auto"/>
          <w:lang w:val="en-US" w:eastAsia="zh-CN"/>
        </w:rPr>
      </w:pPr>
      <w:r>
        <w:rPr>
          <w:rFonts w:ascii="Times New Roman" w:hAnsi="Times New Roman"/>
          <w:color w:val="auto"/>
          <w:sz w:val="24"/>
        </w:rPr>
        <w:pict>
          <v:shape id="_x0000_s1059" o:spid="_x0000_s1059" o:spt="5" type="#_x0000_t5" style="position:absolute;left:0pt;margin-left:196.2pt;margin-top:22.05pt;height:10.65pt;width:9.25pt;z-index:251684864;mso-width-relative:page;mso-height-relative:page;" fillcolor="#00B0F0" filled="t" stroked="f" coordsize="21600,21600" adj="10800">
            <v:path/>
            <v:fill on="t" color2="#FFFFFF" focussize="0,0"/>
            <v:stroke on="f"/>
            <v:imagedata o:title=""/>
            <o:lock v:ext="edit" aspectratio="f"/>
          </v:shape>
        </w:pict>
      </w:r>
      <w:r>
        <w:rPr>
          <w:rFonts w:ascii="Times New Roman" w:hAnsi="Times New Roman"/>
          <w:color w:val="auto"/>
          <w:sz w:val="24"/>
        </w:rPr>
        <w:pict>
          <v:shape id="_x0000_s1060" o:spid="_x0000_s1060" o:spt="12" type="#_x0000_t12" style="position:absolute;left:0pt;margin-left:369.75pt;margin-top:21.8pt;height:14.4pt;width:13.85pt;z-index:251697152;mso-width-relative:page;mso-height-relative:page;" fillcolor="#FF0000" filled="t" stroked="f" coordsize="21600,21600">
            <v:path/>
            <v:fill on="t" focussize="0,0"/>
            <v:stroke on="f"/>
            <v:imagedata o:title=""/>
            <o:lock v:ext="edit"/>
          </v:shape>
        </w:pict>
      </w:r>
    </w:p>
    <w:p w14:paraId="3088D12A">
      <w:pPr>
        <w:bidi w:val="0"/>
        <w:rPr>
          <w:rFonts w:hint="eastAsia"/>
          <w:color w:val="auto"/>
          <w:lang w:val="en-US" w:eastAsia="zh-CN"/>
        </w:rPr>
      </w:pPr>
      <w:r>
        <w:rPr>
          <w:rFonts w:ascii="Times New Roman" w:hAnsi="Times New Roman"/>
          <w:color w:val="auto"/>
          <w:sz w:val="24"/>
        </w:rPr>
        <w:pict>
          <v:shape id="_x0000_s1061" o:spid="_x0000_s1061" o:spt="12" type="#_x0000_t12" style="position:absolute;left:0pt;margin-left:186pt;margin-top:5.3pt;height:14.4pt;width:13.85pt;z-index:251685888;mso-width-relative:page;mso-height-relative:page;" fillcolor="#FF0000" filled="t" stroked="f" coordsize="21600,21600">
            <v:path/>
            <v:fill on="t" focussize="0,0"/>
            <v:stroke on="f"/>
            <v:imagedata o:title=""/>
            <o:lock v:ext="edit"/>
          </v:shape>
        </w:pict>
      </w:r>
      <w:r>
        <w:rPr>
          <w:rFonts w:ascii="Times New Roman" w:hAnsi="Times New Roman"/>
          <w:color w:val="auto"/>
          <w:sz w:val="24"/>
        </w:rPr>
        <w:pict>
          <v:shape id="_x0000_s1062" o:spid="_x0000_s1062" o:spt="5" type="#_x0000_t5" style="position:absolute;left:0pt;margin-left:362.9pt;margin-top:3.3pt;height:10.65pt;width:9.25pt;z-index:251686912;mso-width-relative:page;mso-height-relative:page;" fillcolor="#00B0F0" filled="t" stroked="f" coordsize="21600,21600" adj="10800">
            <v:path/>
            <v:fill on="t" color2="#FFFFFF" focussize="0,0"/>
            <v:stroke on="f"/>
            <v:imagedata o:title=""/>
            <o:lock v:ext="edit" aspectratio="f"/>
          </v:shape>
        </w:pict>
      </w:r>
    </w:p>
    <w:p w14:paraId="40E5A488">
      <w:pPr>
        <w:bidi w:val="0"/>
        <w:rPr>
          <w:rFonts w:hint="eastAsia"/>
          <w:color w:val="auto"/>
          <w:lang w:val="en-US" w:eastAsia="zh-CN"/>
        </w:rPr>
      </w:pPr>
      <w:r>
        <w:rPr>
          <w:rFonts w:ascii="Times New Roman" w:hAnsi="Times New Roman"/>
          <w:color w:val="auto"/>
          <w:sz w:val="24"/>
        </w:rPr>
        <w:pict>
          <v:shape id="_x0000_s1063" o:spid="_x0000_s1063" o:spt="5" type="#_x0000_t5" style="position:absolute;left:0pt;margin-left:470.95pt;margin-top:10.4pt;height:10.65pt;width:9.25pt;z-index:251680768;mso-width-relative:page;mso-height-relative:page;" fillcolor="#00B0F0" filled="t" stroked="f" coordsize="21600,21600">
            <v:path/>
            <v:fill on="t" focussize="0,0"/>
            <v:stroke on="f"/>
            <v:imagedata o:title=""/>
            <o:lock v:ext="edit"/>
          </v:shape>
        </w:pict>
      </w:r>
      <w:r>
        <w:rPr>
          <w:rFonts w:ascii="Times New Roman" w:hAnsi="Times New Roman"/>
          <w:color w:val="auto"/>
          <w:sz w:val="24"/>
        </w:rPr>
        <w:pict>
          <v:shape id="_x0000_s1064" o:spid="_x0000_s1064" o:spt="202" type="#_x0000_t202" style="position:absolute;left:0pt;margin-left:459.95pt;margin-top:3.35pt;height:44.95pt;width:177.75pt;z-index:251679744;mso-width-relative:page;mso-height-relative:page;" coordsize="21600,21600">
            <v:path/>
            <v:fill focussize="0,0"/>
            <v:stroke/>
            <v:imagedata o:title=""/>
            <o:lock v:ext="edit"/>
            <v:textbox>
              <w:txbxContent>
                <w:p w14:paraId="72FA44B3">
                  <w:pPr>
                    <w:spacing w:line="120" w:lineRule="auto"/>
                    <w:ind w:left="280" w:right="280" w:firstLine="420"/>
                    <w:rPr>
                      <w:sz w:val="21"/>
                      <w:szCs w:val="21"/>
                    </w:rPr>
                  </w:pPr>
                  <w:r>
                    <w:rPr>
                      <w:sz w:val="21"/>
                      <w:szCs w:val="21"/>
                    </w:rPr>
                    <w:t>应急物资存放点</w:t>
                  </w:r>
                </w:p>
                <w:p w14:paraId="0552D819">
                  <w:pPr>
                    <w:spacing w:line="120" w:lineRule="auto"/>
                    <w:ind w:left="280" w:right="280" w:firstLine="420"/>
                    <w:rPr>
                      <w:sz w:val="21"/>
                      <w:szCs w:val="21"/>
                    </w:rPr>
                  </w:pPr>
                  <w:r>
                    <w:rPr>
                      <w:rFonts w:hint="eastAsia"/>
                      <w:sz w:val="21"/>
                      <w:szCs w:val="21"/>
                    </w:rPr>
                    <w:t>可能发生环境风险位置</w:t>
                  </w:r>
                </w:p>
              </w:txbxContent>
            </v:textbox>
          </v:shape>
        </w:pict>
      </w:r>
    </w:p>
    <w:p w14:paraId="50D81A9A">
      <w:pPr>
        <w:bidi w:val="0"/>
        <w:rPr>
          <w:rFonts w:hint="eastAsia"/>
          <w:color w:val="auto"/>
          <w:lang w:val="en-US" w:eastAsia="zh-CN"/>
        </w:rPr>
      </w:pPr>
      <w:r>
        <w:rPr>
          <w:rFonts w:ascii="Times New Roman" w:hAnsi="Times New Roman"/>
          <w:color w:val="auto"/>
          <w:sz w:val="24"/>
        </w:rPr>
        <w:pict>
          <v:shape id="_x0000_s1065" o:spid="_x0000_s1065" o:spt="12" type="#_x0000_t12" style="position:absolute;left:0pt;margin-left:471.2pt;margin-top:2.25pt;height:14.4pt;width:13.85pt;z-index:251681792;mso-width-relative:page;mso-height-relative:page;" fillcolor="#FF0000" filled="t" stroked="f" coordsize="21600,21600">
            <v:path/>
            <v:fill on="t" focussize="0,0"/>
            <v:stroke on="f"/>
            <v:imagedata o:title=""/>
            <o:lock v:ext="edit"/>
          </v:shape>
        </w:pict>
      </w:r>
    </w:p>
    <w:p w14:paraId="54692A2D">
      <w:pPr>
        <w:tabs>
          <w:tab w:val="left" w:pos="9347"/>
        </w:tabs>
        <w:bidi w:val="0"/>
        <w:jc w:val="left"/>
        <w:rPr>
          <w:rFonts w:hint="eastAsia"/>
          <w:color w:val="auto"/>
          <w:lang w:val="en-US" w:eastAsia="zh-CN"/>
        </w:rPr>
        <w:sectPr>
          <w:pgSz w:w="16838" w:h="11906" w:orient="landscape"/>
          <w:pgMar w:top="1800" w:right="1440" w:bottom="1417" w:left="1440" w:header="851" w:footer="992" w:gutter="0"/>
          <w:pgBorders>
            <w:top w:val="none" w:sz="0" w:space="0"/>
            <w:left w:val="none" w:sz="0" w:space="0"/>
            <w:bottom w:val="none" w:sz="0" w:space="0"/>
            <w:right w:val="none" w:sz="0" w:space="0"/>
          </w:pgBorders>
          <w:cols w:space="425" w:num="1"/>
          <w:docGrid w:type="lines" w:linePitch="312" w:charSpace="0"/>
        </w:sectPr>
      </w:pPr>
      <w:r>
        <w:rPr>
          <w:color w:val="auto"/>
          <w:sz w:val="24"/>
        </w:rPr>
        <w:pict>
          <v:shape id="_x0000_s1066" o:spid="_x0000_s1066" o:spt="202" type="#_x0000_t202" style="position:absolute;left:0pt;margin-left:255.55pt;margin-top:8.55pt;height:24.05pt;width:232.8pt;z-index:251667456;mso-width-relative:page;mso-height-relative:page;" filled="f" stroked="t" coordsize="21600,21600">
            <v:path/>
            <v:fill on="f" focussize="0,0"/>
            <v:stroke weight="1.5pt" color="#000000" joinstyle="round"/>
            <v:imagedata o:title=""/>
            <o:lock v:ext="edit" aspectratio="f"/>
            <v:textbox>
              <w:txbxContent>
                <w:p w14:paraId="4D81B355">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ascii="Times New Roman" w:hAnsi="Times New Roman" w:eastAsia="宋体" w:cs="Times New Roman"/>
                      <w:b/>
                      <w:bCs/>
                      <w:sz w:val="21"/>
                      <w:szCs w:val="21"/>
                    </w:rPr>
                  </w:pPr>
                  <w:r>
                    <w:rPr>
                      <w:rFonts w:ascii="Times New Roman" w:hAnsi="Times New Roman" w:eastAsia="宋体" w:cs="Times New Roman"/>
                      <w:b/>
                      <w:bCs/>
                      <w:sz w:val="21"/>
                      <w:szCs w:val="21"/>
                    </w:rPr>
                    <w:t>附图</w:t>
                  </w:r>
                  <w:r>
                    <w:rPr>
                      <w:rFonts w:hint="eastAsia" w:cs="Times New Roman"/>
                      <w:b/>
                      <w:bCs/>
                      <w:sz w:val="21"/>
                      <w:szCs w:val="21"/>
                      <w:lang w:val="en-US" w:eastAsia="zh-CN"/>
                    </w:rPr>
                    <w:t>6</w:t>
                  </w:r>
                  <w:r>
                    <w:rPr>
                      <w:rFonts w:ascii="Times New Roman" w:hAnsi="Times New Roman" w:eastAsia="宋体" w:cs="Times New Roman"/>
                      <w:b/>
                      <w:bCs/>
                      <w:sz w:val="21"/>
                      <w:szCs w:val="21"/>
                    </w:rPr>
                    <w:t xml:space="preserve">  </w:t>
                  </w:r>
                  <w:r>
                    <w:rPr>
                      <w:rFonts w:hint="eastAsia" w:ascii="Times New Roman" w:hAnsi="Times New Roman" w:cs="Times New Roman"/>
                      <w:b/>
                      <w:bCs/>
                      <w:sz w:val="21"/>
                      <w:szCs w:val="21"/>
                      <w:lang w:val="en-US" w:eastAsia="zh-CN"/>
                    </w:rPr>
                    <w:t>应急物资、风险单元分布图</w:t>
                  </w:r>
                </w:p>
              </w:txbxContent>
            </v:textbox>
          </v:shape>
        </w:pict>
      </w:r>
      <w:r>
        <w:rPr>
          <w:rFonts w:hint="eastAsia"/>
          <w:color w:val="auto"/>
          <w:lang w:val="en-US" w:eastAsia="zh-CN"/>
        </w:rPr>
        <w:tab/>
      </w:r>
    </w:p>
    <w:p w14:paraId="4ABAFECF">
      <w:pPr>
        <w:pStyle w:val="16"/>
        <w:ind w:left="0" w:leftChars="0" w:firstLine="0" w:firstLineChars="0"/>
        <w:jc w:val="both"/>
        <w:rPr>
          <w:rFonts w:ascii="Times New Roman" w:hAnsi="Times New Roman" w:cs="Times New Roman"/>
          <w:color w:val="auto"/>
        </w:rPr>
      </w:pPr>
      <w:r>
        <w:rPr>
          <w:rFonts w:eastAsiaTheme="minorEastAsia"/>
          <w:b/>
          <w:bCs/>
          <w:color w:val="auto"/>
          <w:sz w:val="36"/>
          <w:szCs w:val="36"/>
          <w:lang w:val="zh-CN"/>
        </w:rPr>
        <w:pict>
          <v:shape id="文本框 8" o:spid="_x0000_s1067" o:spt="202" type="#_x0000_t202" style="position:absolute;left:0pt;margin-left:2.55pt;margin-top:-3.1pt;height:37.5pt;width:62.25pt;z-index:251668480;mso-width-relative:page;mso-height-relative:page;" fillcolor="#FFFFFF" filled="t" stroked="f" coordsize="21600,21600" o:gfxdata="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oYwFrSAAAABwEAAA8AAAAAAAAA&#10;AQAgAAAAIgAAAGRycy9kb3ducmV2LnhtbFBLAQIUABQAAAAIAIdO4kD5SQ02UAIAAI4EAAAOAAAA&#10;AAAAAAEAIAAAACEBAABkcnMvZTJvRG9jLnhtbFBLBQYAAAAABgAGAFkBAADjBQAAAAA=&#10;">
            <v:path/>
            <v:fill on="t" focussize="0,0"/>
            <v:stroke on="f" weight="0.5pt"/>
            <v:imagedata o:title=""/>
            <o:lock v:ext="edit" aspectratio="f"/>
            <v:textbox>
              <w:txbxContent>
                <w:p w14:paraId="4D21F624">
                  <w:pPr>
                    <w:spacing w:line="240" w:lineRule="auto"/>
                    <w:ind w:firstLine="0" w:firstLineChars="0"/>
                    <w:rPr>
                      <w:b/>
                      <w:bCs/>
                      <w:sz w:val="28"/>
                      <w:szCs w:val="28"/>
                    </w:rPr>
                  </w:pPr>
                  <w:r>
                    <w:rPr>
                      <w:rFonts w:hint="eastAsia"/>
                      <w:b/>
                      <w:bCs/>
                      <w:sz w:val="28"/>
                      <w:szCs w:val="28"/>
                    </w:rPr>
                    <w:t>附表</w:t>
                  </w:r>
                  <w:r>
                    <w:rPr>
                      <w:b/>
                      <w:bCs/>
                      <w:sz w:val="28"/>
                      <w:szCs w:val="28"/>
                    </w:rPr>
                    <w:t>1</w:t>
                  </w:r>
                </w:p>
              </w:txbxContent>
            </v:textbox>
          </v:shape>
        </w:pict>
      </w:r>
    </w:p>
    <w:p w14:paraId="738A6832">
      <w:pPr>
        <w:pStyle w:val="16"/>
        <w:ind w:left="0" w:leftChars="0" w:firstLine="0" w:firstLineChars="0"/>
        <w:jc w:val="both"/>
        <w:rPr>
          <w:b/>
          <w:bCs/>
          <w:color w:val="auto"/>
          <w:sz w:val="52"/>
          <w:szCs w:val="52"/>
        </w:rPr>
      </w:pPr>
      <w:r>
        <w:rPr>
          <w:b/>
          <w:bCs/>
          <w:color w:val="auto"/>
          <w:sz w:val="52"/>
          <w:szCs w:val="52"/>
        </w:rPr>
        <w:t>预警信息记录表</w:t>
      </w:r>
    </w:p>
    <w:tbl>
      <w:tblPr>
        <w:tblStyle w:val="23"/>
        <w:tblW w:w="8522"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130"/>
        <w:gridCol w:w="2130"/>
        <w:gridCol w:w="2131"/>
        <w:gridCol w:w="2131"/>
      </w:tblGrid>
      <w:tr w14:paraId="75CE56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2130" w:type="dxa"/>
            <w:vAlign w:val="center"/>
          </w:tcPr>
          <w:p w14:paraId="5C629575">
            <w:pPr>
              <w:spacing w:line="240" w:lineRule="auto"/>
              <w:ind w:firstLine="0" w:firstLineChars="0"/>
              <w:jc w:val="center"/>
              <w:rPr>
                <w:color w:val="auto"/>
              </w:rPr>
            </w:pPr>
            <w:r>
              <w:rPr>
                <w:color w:val="auto"/>
              </w:rPr>
              <w:t>预警时间</w:t>
            </w:r>
          </w:p>
        </w:tc>
        <w:tc>
          <w:tcPr>
            <w:tcW w:w="2130" w:type="dxa"/>
            <w:vAlign w:val="center"/>
          </w:tcPr>
          <w:p w14:paraId="418C62B5">
            <w:pPr>
              <w:spacing w:line="240" w:lineRule="auto"/>
              <w:ind w:firstLine="0" w:firstLineChars="0"/>
              <w:jc w:val="center"/>
              <w:rPr>
                <w:color w:val="auto"/>
              </w:rPr>
            </w:pPr>
          </w:p>
        </w:tc>
        <w:tc>
          <w:tcPr>
            <w:tcW w:w="2131" w:type="dxa"/>
            <w:vAlign w:val="center"/>
          </w:tcPr>
          <w:p w14:paraId="7A68D45D">
            <w:pPr>
              <w:spacing w:line="240" w:lineRule="auto"/>
              <w:ind w:firstLine="0" w:firstLineChars="0"/>
              <w:jc w:val="center"/>
              <w:rPr>
                <w:color w:val="auto"/>
              </w:rPr>
            </w:pPr>
            <w:r>
              <w:rPr>
                <w:color w:val="auto"/>
              </w:rPr>
              <w:t>预警报告人</w:t>
            </w:r>
          </w:p>
        </w:tc>
        <w:tc>
          <w:tcPr>
            <w:tcW w:w="2131" w:type="dxa"/>
            <w:vAlign w:val="center"/>
          </w:tcPr>
          <w:p w14:paraId="3BA2619C">
            <w:pPr>
              <w:spacing w:line="240" w:lineRule="auto"/>
              <w:ind w:firstLine="0" w:firstLineChars="0"/>
              <w:rPr>
                <w:color w:val="auto"/>
                <w:sz w:val="28"/>
                <w:szCs w:val="28"/>
              </w:rPr>
            </w:pPr>
          </w:p>
        </w:tc>
      </w:tr>
      <w:tr w14:paraId="775C36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2130" w:type="dxa"/>
            <w:vAlign w:val="center"/>
          </w:tcPr>
          <w:p w14:paraId="3F97748F">
            <w:pPr>
              <w:spacing w:line="240" w:lineRule="auto"/>
              <w:ind w:firstLine="0" w:firstLineChars="0"/>
              <w:jc w:val="center"/>
              <w:rPr>
                <w:color w:val="auto"/>
              </w:rPr>
            </w:pPr>
            <w:r>
              <w:rPr>
                <w:color w:val="auto"/>
              </w:rPr>
              <w:t>预警级别</w:t>
            </w:r>
          </w:p>
        </w:tc>
        <w:tc>
          <w:tcPr>
            <w:tcW w:w="6392" w:type="dxa"/>
            <w:gridSpan w:val="3"/>
            <w:vAlign w:val="center"/>
          </w:tcPr>
          <w:p w14:paraId="27EA0178">
            <w:pPr>
              <w:spacing w:line="240" w:lineRule="auto"/>
              <w:ind w:firstLine="0" w:firstLineChars="0"/>
              <w:jc w:val="center"/>
              <w:rPr>
                <w:color w:val="auto"/>
              </w:rPr>
            </w:pPr>
          </w:p>
        </w:tc>
      </w:tr>
      <w:tr w14:paraId="2272AE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8522" w:type="dxa"/>
            <w:gridSpan w:val="4"/>
            <w:vAlign w:val="center"/>
          </w:tcPr>
          <w:p w14:paraId="59344453">
            <w:pPr>
              <w:spacing w:line="240" w:lineRule="auto"/>
              <w:ind w:firstLine="0" w:firstLineChars="0"/>
              <w:jc w:val="center"/>
              <w:rPr>
                <w:color w:val="auto"/>
              </w:rPr>
            </w:pPr>
            <w:r>
              <w:rPr>
                <w:color w:val="auto"/>
              </w:rPr>
              <w:t>预警 内容简记</w:t>
            </w:r>
          </w:p>
        </w:tc>
      </w:tr>
      <w:tr w14:paraId="1502C0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8522" w:type="dxa"/>
            <w:gridSpan w:val="4"/>
            <w:vAlign w:val="center"/>
          </w:tcPr>
          <w:p w14:paraId="461A28EF">
            <w:pPr>
              <w:ind w:firstLine="560"/>
              <w:rPr>
                <w:color w:val="auto"/>
                <w:sz w:val="28"/>
                <w:szCs w:val="28"/>
              </w:rPr>
            </w:pPr>
          </w:p>
          <w:p w14:paraId="799959EE">
            <w:pPr>
              <w:ind w:firstLine="560"/>
              <w:rPr>
                <w:color w:val="auto"/>
                <w:sz w:val="28"/>
                <w:szCs w:val="28"/>
              </w:rPr>
            </w:pPr>
          </w:p>
          <w:p w14:paraId="469A29C3">
            <w:pPr>
              <w:ind w:firstLine="560"/>
              <w:rPr>
                <w:color w:val="auto"/>
                <w:sz w:val="28"/>
                <w:szCs w:val="28"/>
              </w:rPr>
            </w:pPr>
          </w:p>
          <w:p w14:paraId="26834068">
            <w:pPr>
              <w:ind w:firstLine="560"/>
              <w:rPr>
                <w:color w:val="auto"/>
                <w:sz w:val="28"/>
                <w:szCs w:val="28"/>
              </w:rPr>
            </w:pPr>
          </w:p>
          <w:p w14:paraId="7426EB92">
            <w:pPr>
              <w:ind w:firstLine="560"/>
              <w:rPr>
                <w:color w:val="auto"/>
                <w:sz w:val="28"/>
                <w:szCs w:val="28"/>
              </w:rPr>
            </w:pPr>
          </w:p>
          <w:p w14:paraId="6AAE5D61">
            <w:pPr>
              <w:ind w:firstLine="560"/>
              <w:rPr>
                <w:color w:val="auto"/>
                <w:sz w:val="28"/>
                <w:szCs w:val="28"/>
              </w:rPr>
            </w:pPr>
          </w:p>
          <w:p w14:paraId="37F4C2C0">
            <w:pPr>
              <w:ind w:firstLine="560"/>
              <w:rPr>
                <w:color w:val="auto"/>
                <w:sz w:val="28"/>
                <w:szCs w:val="28"/>
              </w:rPr>
            </w:pPr>
          </w:p>
          <w:p w14:paraId="472469A3">
            <w:pPr>
              <w:ind w:firstLine="560"/>
              <w:rPr>
                <w:color w:val="auto"/>
                <w:sz w:val="28"/>
                <w:szCs w:val="28"/>
              </w:rPr>
            </w:pPr>
          </w:p>
          <w:p w14:paraId="2CF1712E">
            <w:pPr>
              <w:ind w:firstLine="560"/>
              <w:rPr>
                <w:color w:val="auto"/>
                <w:sz w:val="28"/>
                <w:szCs w:val="28"/>
              </w:rPr>
            </w:pPr>
          </w:p>
          <w:p w14:paraId="1F1DF59F">
            <w:pPr>
              <w:ind w:firstLine="560"/>
              <w:rPr>
                <w:color w:val="auto"/>
                <w:sz w:val="28"/>
                <w:szCs w:val="28"/>
              </w:rPr>
            </w:pPr>
          </w:p>
          <w:p w14:paraId="49CF08B6">
            <w:pPr>
              <w:ind w:firstLine="560"/>
              <w:rPr>
                <w:color w:val="auto"/>
                <w:sz w:val="28"/>
                <w:szCs w:val="28"/>
              </w:rPr>
            </w:pPr>
          </w:p>
          <w:p w14:paraId="3730BD36">
            <w:pPr>
              <w:ind w:firstLine="560"/>
              <w:rPr>
                <w:color w:val="auto"/>
                <w:sz w:val="28"/>
                <w:szCs w:val="28"/>
              </w:rPr>
            </w:pPr>
          </w:p>
          <w:p w14:paraId="25AD0F9B">
            <w:pPr>
              <w:ind w:firstLine="560"/>
              <w:rPr>
                <w:color w:val="auto"/>
                <w:sz w:val="28"/>
                <w:szCs w:val="28"/>
              </w:rPr>
            </w:pPr>
          </w:p>
          <w:p w14:paraId="428F8EF6">
            <w:pPr>
              <w:ind w:firstLine="560"/>
              <w:rPr>
                <w:color w:val="auto"/>
                <w:sz w:val="28"/>
                <w:szCs w:val="28"/>
              </w:rPr>
            </w:pPr>
          </w:p>
          <w:p w14:paraId="1C8A3E79">
            <w:pPr>
              <w:ind w:firstLine="560"/>
              <w:rPr>
                <w:color w:val="auto"/>
                <w:sz w:val="28"/>
                <w:szCs w:val="28"/>
              </w:rPr>
            </w:pPr>
          </w:p>
          <w:p w14:paraId="19837DF6">
            <w:pPr>
              <w:ind w:firstLine="560"/>
              <w:rPr>
                <w:color w:val="auto"/>
                <w:sz w:val="28"/>
                <w:szCs w:val="28"/>
              </w:rPr>
            </w:pPr>
          </w:p>
          <w:p w14:paraId="03890DC9">
            <w:pPr>
              <w:ind w:firstLine="560"/>
              <w:rPr>
                <w:color w:val="auto"/>
                <w:sz w:val="28"/>
                <w:szCs w:val="28"/>
              </w:rPr>
            </w:pPr>
          </w:p>
        </w:tc>
      </w:tr>
    </w:tbl>
    <w:p w14:paraId="0F6AA0B7">
      <w:pPr>
        <w:ind w:firstLine="480"/>
        <w:rPr>
          <w:color w:val="auto"/>
        </w:rPr>
      </w:pPr>
    </w:p>
    <w:p w14:paraId="4A5EC017">
      <w:pPr>
        <w:ind w:firstLine="0" w:firstLineChars="0"/>
        <w:jc w:val="center"/>
        <w:rPr>
          <w:b/>
          <w:bCs/>
          <w:color w:val="auto"/>
          <w:sz w:val="52"/>
          <w:szCs w:val="52"/>
        </w:rPr>
      </w:pPr>
      <w:r>
        <w:rPr>
          <w:rFonts w:eastAsiaTheme="minorEastAsia"/>
          <w:b/>
          <w:bCs/>
          <w:color w:val="auto"/>
          <w:sz w:val="36"/>
          <w:szCs w:val="36"/>
          <w:lang w:val="zh-CN"/>
        </w:rPr>
        <w:pict>
          <v:shape id="_x0000_s1068" o:spid="_x0000_s1068" o:spt="202" type="#_x0000_t202" style="position:absolute;left:0pt;margin-left:-4pt;margin-top:-8.4pt;height:37.5pt;width:62.25pt;z-index:251669504;mso-width-relative:page;mso-height-relative:page;" fillcolor="#FFFFFF" filled="t" stroked="f" coordsize="21600,21600" o:gfxdata="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g/i3/TAAAABwEAAA8AAAAAAAAA&#10;AQAgAAAAIgAAAGRycy9kb3ducmV2LnhtbFBLAQIUABQAAAAIAIdO4kACiAMITwIAAJAEAAAOAAAA&#10;AAAAAAEAIAAAACIBAABkcnMvZTJvRG9jLnhtbFBLBQYAAAAABgAGAFkBAADjBQAAAAA=&#10;">
            <v:path/>
            <v:fill on="t" focussize="0,0"/>
            <v:stroke on="f" weight="0.5pt"/>
            <v:imagedata o:title=""/>
            <o:lock v:ext="edit" aspectratio="f"/>
            <v:textbox>
              <w:txbxContent>
                <w:p w14:paraId="7195DB25">
                  <w:pPr>
                    <w:spacing w:line="240" w:lineRule="auto"/>
                    <w:ind w:firstLine="0" w:firstLineChars="0"/>
                    <w:rPr>
                      <w:b/>
                      <w:bCs/>
                      <w:sz w:val="28"/>
                      <w:szCs w:val="28"/>
                    </w:rPr>
                  </w:pPr>
                  <w:r>
                    <w:rPr>
                      <w:rFonts w:hint="eastAsia"/>
                      <w:b/>
                      <w:bCs/>
                      <w:sz w:val="28"/>
                      <w:szCs w:val="28"/>
                    </w:rPr>
                    <w:t>附表</w:t>
                  </w:r>
                  <w:r>
                    <w:rPr>
                      <w:b/>
                      <w:bCs/>
                      <w:sz w:val="28"/>
                      <w:szCs w:val="28"/>
                    </w:rPr>
                    <w:t>2</w:t>
                  </w:r>
                </w:p>
              </w:txbxContent>
            </v:textbox>
          </v:shape>
        </w:pict>
      </w:r>
      <w:r>
        <w:rPr>
          <w:b/>
          <w:bCs/>
          <w:color w:val="auto"/>
          <w:sz w:val="52"/>
          <w:szCs w:val="52"/>
        </w:rPr>
        <w:t>事故接警记录表</w:t>
      </w:r>
    </w:p>
    <w:p w14:paraId="45697C09">
      <w:pPr>
        <w:ind w:firstLine="7200" w:firstLineChars="3000"/>
        <w:rPr>
          <w:color w:val="auto"/>
        </w:rPr>
      </w:pPr>
      <w:r>
        <w:rPr>
          <w:color w:val="auto"/>
        </w:rPr>
        <w:t>编号：</w:t>
      </w:r>
    </w:p>
    <w:tbl>
      <w:tblPr>
        <w:tblStyle w:val="23"/>
        <w:tblW w:w="8905"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3"/>
        <w:gridCol w:w="2161"/>
        <w:gridCol w:w="19"/>
        <w:gridCol w:w="2206"/>
        <w:gridCol w:w="19"/>
        <w:gridCol w:w="2208"/>
        <w:gridCol w:w="19"/>
        <w:gridCol w:w="1889"/>
        <w:gridCol w:w="341"/>
      </w:tblGrid>
      <w:tr w14:paraId="4966BA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223" w:type="dxa"/>
            <w:gridSpan w:val="3"/>
            <w:vAlign w:val="center"/>
          </w:tcPr>
          <w:p w14:paraId="6E5CFAB7">
            <w:pPr>
              <w:spacing w:line="240" w:lineRule="auto"/>
              <w:ind w:firstLine="0" w:firstLineChars="0"/>
              <w:jc w:val="center"/>
              <w:rPr>
                <w:color w:val="auto"/>
                <w:sz w:val="28"/>
                <w:szCs w:val="28"/>
              </w:rPr>
            </w:pPr>
            <w:r>
              <w:rPr>
                <w:color w:val="auto"/>
                <w:sz w:val="28"/>
                <w:szCs w:val="28"/>
              </w:rPr>
              <w:t>报警人姓名</w:t>
            </w:r>
          </w:p>
        </w:tc>
        <w:tc>
          <w:tcPr>
            <w:tcW w:w="2225" w:type="dxa"/>
            <w:gridSpan w:val="2"/>
            <w:vAlign w:val="center"/>
          </w:tcPr>
          <w:p w14:paraId="10FEE96C">
            <w:pPr>
              <w:spacing w:line="240" w:lineRule="auto"/>
              <w:ind w:firstLine="0" w:firstLineChars="0"/>
              <w:jc w:val="center"/>
              <w:rPr>
                <w:color w:val="auto"/>
                <w:sz w:val="28"/>
                <w:szCs w:val="28"/>
              </w:rPr>
            </w:pPr>
          </w:p>
        </w:tc>
        <w:tc>
          <w:tcPr>
            <w:tcW w:w="2227" w:type="dxa"/>
            <w:gridSpan w:val="2"/>
            <w:vMerge w:val="restart"/>
            <w:vAlign w:val="center"/>
          </w:tcPr>
          <w:p w14:paraId="3C5D0310">
            <w:pPr>
              <w:spacing w:line="240" w:lineRule="auto"/>
              <w:ind w:firstLine="0" w:firstLineChars="0"/>
              <w:jc w:val="center"/>
              <w:rPr>
                <w:color w:val="auto"/>
                <w:sz w:val="28"/>
                <w:szCs w:val="28"/>
              </w:rPr>
            </w:pPr>
            <w:r>
              <w:rPr>
                <w:color w:val="auto"/>
                <w:sz w:val="28"/>
                <w:szCs w:val="28"/>
              </w:rPr>
              <w:t>报警时间</w:t>
            </w:r>
          </w:p>
        </w:tc>
        <w:tc>
          <w:tcPr>
            <w:tcW w:w="2230" w:type="dxa"/>
            <w:gridSpan w:val="2"/>
            <w:vMerge w:val="restart"/>
            <w:vAlign w:val="center"/>
          </w:tcPr>
          <w:p w14:paraId="1F34A339">
            <w:pPr>
              <w:spacing w:line="240" w:lineRule="auto"/>
              <w:ind w:firstLine="0" w:firstLineChars="0"/>
              <w:jc w:val="center"/>
              <w:rPr>
                <w:color w:val="auto"/>
                <w:sz w:val="28"/>
                <w:szCs w:val="28"/>
              </w:rPr>
            </w:pPr>
          </w:p>
        </w:tc>
      </w:tr>
      <w:tr w14:paraId="1652D5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223" w:type="dxa"/>
            <w:gridSpan w:val="3"/>
            <w:vAlign w:val="center"/>
          </w:tcPr>
          <w:p w14:paraId="0EF486CD">
            <w:pPr>
              <w:spacing w:line="240" w:lineRule="auto"/>
              <w:ind w:firstLine="0" w:firstLineChars="0"/>
              <w:jc w:val="center"/>
              <w:rPr>
                <w:color w:val="auto"/>
                <w:sz w:val="28"/>
                <w:szCs w:val="28"/>
              </w:rPr>
            </w:pPr>
            <w:r>
              <w:rPr>
                <w:color w:val="auto"/>
                <w:sz w:val="28"/>
                <w:szCs w:val="28"/>
              </w:rPr>
              <w:t>报警人单位</w:t>
            </w:r>
          </w:p>
        </w:tc>
        <w:tc>
          <w:tcPr>
            <w:tcW w:w="2225" w:type="dxa"/>
            <w:gridSpan w:val="2"/>
            <w:vAlign w:val="center"/>
          </w:tcPr>
          <w:p w14:paraId="3165321C">
            <w:pPr>
              <w:spacing w:line="240" w:lineRule="auto"/>
              <w:ind w:firstLine="0" w:firstLineChars="0"/>
              <w:jc w:val="center"/>
              <w:rPr>
                <w:color w:val="auto"/>
                <w:sz w:val="28"/>
                <w:szCs w:val="28"/>
              </w:rPr>
            </w:pPr>
          </w:p>
        </w:tc>
        <w:tc>
          <w:tcPr>
            <w:tcW w:w="2227" w:type="dxa"/>
            <w:gridSpan w:val="2"/>
            <w:vMerge w:val="continue"/>
            <w:vAlign w:val="center"/>
          </w:tcPr>
          <w:p w14:paraId="423C9F32">
            <w:pPr>
              <w:spacing w:line="240" w:lineRule="auto"/>
              <w:ind w:firstLine="0" w:firstLineChars="0"/>
              <w:jc w:val="center"/>
              <w:rPr>
                <w:color w:val="auto"/>
                <w:sz w:val="28"/>
                <w:szCs w:val="28"/>
              </w:rPr>
            </w:pPr>
          </w:p>
        </w:tc>
        <w:tc>
          <w:tcPr>
            <w:tcW w:w="2230" w:type="dxa"/>
            <w:gridSpan w:val="2"/>
            <w:vMerge w:val="continue"/>
            <w:vAlign w:val="center"/>
          </w:tcPr>
          <w:p w14:paraId="4C563090">
            <w:pPr>
              <w:spacing w:line="240" w:lineRule="auto"/>
              <w:ind w:firstLine="0" w:firstLineChars="0"/>
              <w:jc w:val="center"/>
              <w:rPr>
                <w:color w:val="auto"/>
                <w:sz w:val="28"/>
                <w:szCs w:val="28"/>
              </w:rPr>
            </w:pPr>
          </w:p>
        </w:tc>
      </w:tr>
      <w:tr w14:paraId="396165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223" w:type="dxa"/>
            <w:gridSpan w:val="3"/>
            <w:vAlign w:val="center"/>
          </w:tcPr>
          <w:p w14:paraId="2468759E">
            <w:pPr>
              <w:spacing w:line="240" w:lineRule="auto"/>
              <w:ind w:firstLine="0" w:firstLineChars="0"/>
              <w:jc w:val="center"/>
              <w:rPr>
                <w:color w:val="auto"/>
                <w:sz w:val="28"/>
                <w:szCs w:val="28"/>
              </w:rPr>
            </w:pPr>
            <w:r>
              <w:rPr>
                <w:color w:val="auto"/>
                <w:sz w:val="28"/>
                <w:szCs w:val="28"/>
              </w:rPr>
              <w:t>接警人姓名</w:t>
            </w:r>
          </w:p>
        </w:tc>
        <w:tc>
          <w:tcPr>
            <w:tcW w:w="6682" w:type="dxa"/>
            <w:gridSpan w:val="6"/>
            <w:vAlign w:val="center"/>
          </w:tcPr>
          <w:p w14:paraId="124E54B4">
            <w:pPr>
              <w:spacing w:line="240" w:lineRule="auto"/>
              <w:ind w:firstLine="0" w:firstLineChars="0"/>
              <w:jc w:val="center"/>
              <w:rPr>
                <w:color w:val="auto"/>
                <w:sz w:val="28"/>
                <w:szCs w:val="28"/>
              </w:rPr>
            </w:pPr>
          </w:p>
        </w:tc>
      </w:tr>
      <w:tr w14:paraId="3AED85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223" w:type="dxa"/>
            <w:gridSpan w:val="3"/>
            <w:vAlign w:val="center"/>
          </w:tcPr>
          <w:p w14:paraId="4184CB23">
            <w:pPr>
              <w:spacing w:line="240" w:lineRule="auto"/>
              <w:ind w:firstLine="0" w:firstLineChars="0"/>
              <w:rPr>
                <w:color w:val="auto"/>
                <w:sz w:val="28"/>
                <w:szCs w:val="28"/>
              </w:rPr>
            </w:pPr>
            <w:r>
              <w:rPr>
                <w:color w:val="auto"/>
                <w:sz w:val="28"/>
                <w:szCs w:val="28"/>
              </w:rPr>
              <w:t>报警事故内容概述</w:t>
            </w:r>
          </w:p>
        </w:tc>
        <w:tc>
          <w:tcPr>
            <w:tcW w:w="6682" w:type="dxa"/>
            <w:gridSpan w:val="6"/>
            <w:vAlign w:val="center"/>
          </w:tcPr>
          <w:p w14:paraId="4861EC34">
            <w:pPr>
              <w:spacing w:line="240" w:lineRule="auto"/>
              <w:ind w:firstLine="0" w:firstLineChars="0"/>
              <w:rPr>
                <w:color w:val="auto"/>
                <w:sz w:val="28"/>
                <w:szCs w:val="28"/>
              </w:rPr>
            </w:pPr>
          </w:p>
          <w:p w14:paraId="7FC5F675">
            <w:pPr>
              <w:spacing w:line="240" w:lineRule="auto"/>
              <w:ind w:firstLine="0" w:firstLineChars="0"/>
              <w:rPr>
                <w:color w:val="auto"/>
                <w:sz w:val="28"/>
                <w:szCs w:val="28"/>
              </w:rPr>
            </w:pPr>
          </w:p>
          <w:p w14:paraId="3F9C323B">
            <w:pPr>
              <w:spacing w:line="240" w:lineRule="auto"/>
              <w:ind w:firstLine="0" w:firstLineChars="0"/>
              <w:rPr>
                <w:color w:val="auto"/>
                <w:sz w:val="28"/>
                <w:szCs w:val="28"/>
              </w:rPr>
            </w:pPr>
          </w:p>
          <w:p w14:paraId="5DD4095E">
            <w:pPr>
              <w:spacing w:line="240" w:lineRule="auto"/>
              <w:ind w:firstLine="0" w:firstLineChars="0"/>
              <w:rPr>
                <w:color w:val="auto"/>
                <w:sz w:val="28"/>
                <w:szCs w:val="28"/>
              </w:rPr>
            </w:pPr>
          </w:p>
          <w:p w14:paraId="78CE581A">
            <w:pPr>
              <w:spacing w:line="240" w:lineRule="auto"/>
              <w:ind w:firstLine="0" w:firstLineChars="0"/>
              <w:rPr>
                <w:color w:val="auto"/>
                <w:sz w:val="28"/>
                <w:szCs w:val="28"/>
              </w:rPr>
            </w:pPr>
          </w:p>
          <w:p w14:paraId="6451B8E0">
            <w:pPr>
              <w:spacing w:line="240" w:lineRule="auto"/>
              <w:ind w:firstLine="0" w:firstLineChars="0"/>
              <w:rPr>
                <w:color w:val="auto"/>
                <w:sz w:val="28"/>
                <w:szCs w:val="28"/>
              </w:rPr>
            </w:pPr>
          </w:p>
          <w:p w14:paraId="44974052">
            <w:pPr>
              <w:spacing w:line="240" w:lineRule="auto"/>
              <w:ind w:firstLine="0" w:firstLineChars="0"/>
              <w:rPr>
                <w:color w:val="auto"/>
                <w:sz w:val="28"/>
                <w:szCs w:val="28"/>
              </w:rPr>
            </w:pPr>
          </w:p>
          <w:p w14:paraId="1780CAF5">
            <w:pPr>
              <w:spacing w:line="240" w:lineRule="auto"/>
              <w:ind w:firstLine="0" w:firstLineChars="0"/>
              <w:rPr>
                <w:color w:val="auto"/>
                <w:sz w:val="28"/>
                <w:szCs w:val="28"/>
              </w:rPr>
            </w:pPr>
          </w:p>
          <w:p w14:paraId="1606C774">
            <w:pPr>
              <w:spacing w:line="240" w:lineRule="auto"/>
              <w:ind w:firstLine="0" w:firstLineChars="0"/>
              <w:rPr>
                <w:color w:val="auto"/>
                <w:sz w:val="28"/>
                <w:szCs w:val="28"/>
              </w:rPr>
            </w:pPr>
          </w:p>
        </w:tc>
      </w:tr>
      <w:tr w14:paraId="2456C9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223" w:type="dxa"/>
            <w:gridSpan w:val="3"/>
            <w:vAlign w:val="center"/>
          </w:tcPr>
          <w:p w14:paraId="5AD6357B">
            <w:pPr>
              <w:spacing w:line="240" w:lineRule="auto"/>
              <w:ind w:firstLine="0" w:firstLineChars="0"/>
              <w:rPr>
                <w:color w:val="auto"/>
                <w:sz w:val="28"/>
                <w:szCs w:val="28"/>
              </w:rPr>
            </w:pPr>
            <w:r>
              <w:rPr>
                <w:color w:val="auto"/>
                <w:sz w:val="28"/>
                <w:szCs w:val="28"/>
              </w:rPr>
              <w:t>事故处置方式</w:t>
            </w:r>
          </w:p>
        </w:tc>
        <w:tc>
          <w:tcPr>
            <w:tcW w:w="6682" w:type="dxa"/>
            <w:gridSpan w:val="6"/>
            <w:vAlign w:val="center"/>
          </w:tcPr>
          <w:p w14:paraId="624E8CD8">
            <w:pPr>
              <w:spacing w:line="240" w:lineRule="auto"/>
              <w:ind w:firstLine="0" w:firstLineChars="0"/>
              <w:rPr>
                <w:color w:val="auto"/>
                <w:sz w:val="28"/>
                <w:szCs w:val="28"/>
              </w:rPr>
            </w:pPr>
          </w:p>
          <w:p w14:paraId="33670E14">
            <w:pPr>
              <w:spacing w:line="240" w:lineRule="auto"/>
              <w:ind w:firstLine="0" w:firstLineChars="0"/>
              <w:rPr>
                <w:color w:val="auto"/>
                <w:sz w:val="28"/>
                <w:szCs w:val="28"/>
              </w:rPr>
            </w:pPr>
          </w:p>
          <w:p w14:paraId="065E1EA8">
            <w:pPr>
              <w:spacing w:line="240" w:lineRule="auto"/>
              <w:ind w:firstLine="0" w:firstLineChars="0"/>
              <w:rPr>
                <w:color w:val="auto"/>
                <w:sz w:val="28"/>
                <w:szCs w:val="28"/>
              </w:rPr>
            </w:pPr>
          </w:p>
          <w:p w14:paraId="15C81089">
            <w:pPr>
              <w:spacing w:line="240" w:lineRule="auto"/>
              <w:ind w:firstLine="0" w:firstLineChars="0"/>
              <w:rPr>
                <w:color w:val="auto"/>
                <w:sz w:val="28"/>
                <w:szCs w:val="28"/>
              </w:rPr>
            </w:pPr>
          </w:p>
        </w:tc>
      </w:tr>
      <w:tr w14:paraId="3DFC4C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223" w:type="dxa"/>
            <w:gridSpan w:val="3"/>
            <w:vAlign w:val="center"/>
          </w:tcPr>
          <w:p w14:paraId="5FF67D94">
            <w:pPr>
              <w:spacing w:line="240" w:lineRule="auto"/>
              <w:ind w:firstLine="0" w:firstLineChars="0"/>
              <w:rPr>
                <w:color w:val="auto"/>
                <w:sz w:val="28"/>
                <w:szCs w:val="28"/>
              </w:rPr>
            </w:pPr>
            <w:r>
              <w:rPr>
                <w:color w:val="auto"/>
                <w:sz w:val="28"/>
                <w:szCs w:val="28"/>
              </w:rPr>
              <w:t>事故处置结束</w:t>
            </w:r>
          </w:p>
        </w:tc>
        <w:tc>
          <w:tcPr>
            <w:tcW w:w="6682" w:type="dxa"/>
            <w:gridSpan w:val="6"/>
            <w:vAlign w:val="center"/>
          </w:tcPr>
          <w:p w14:paraId="27BBF287">
            <w:pPr>
              <w:spacing w:line="240" w:lineRule="auto"/>
              <w:ind w:firstLine="0" w:firstLineChars="0"/>
              <w:rPr>
                <w:color w:val="auto"/>
                <w:sz w:val="28"/>
                <w:szCs w:val="28"/>
              </w:rPr>
            </w:pPr>
          </w:p>
          <w:p w14:paraId="5CB5C4AD">
            <w:pPr>
              <w:spacing w:line="240" w:lineRule="auto"/>
              <w:ind w:firstLine="0" w:firstLineChars="0"/>
              <w:rPr>
                <w:color w:val="auto"/>
                <w:sz w:val="28"/>
                <w:szCs w:val="28"/>
              </w:rPr>
            </w:pPr>
          </w:p>
          <w:p w14:paraId="2CEBE4C4">
            <w:pPr>
              <w:spacing w:line="240" w:lineRule="auto"/>
              <w:ind w:firstLine="0" w:firstLineChars="0"/>
              <w:rPr>
                <w:color w:val="auto"/>
                <w:sz w:val="28"/>
                <w:szCs w:val="28"/>
              </w:rPr>
            </w:pPr>
          </w:p>
          <w:p w14:paraId="25E845E3">
            <w:pPr>
              <w:spacing w:line="240" w:lineRule="auto"/>
              <w:ind w:firstLine="0" w:firstLineChars="0"/>
              <w:rPr>
                <w:color w:val="auto"/>
                <w:sz w:val="28"/>
                <w:szCs w:val="28"/>
              </w:rPr>
            </w:pPr>
          </w:p>
        </w:tc>
      </w:tr>
      <w:tr w14:paraId="7844F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gridAfter w:val="1"/>
          <w:wBefore w:w="43" w:type="dxa"/>
          <w:wAfter w:w="341" w:type="dxa"/>
          <w:trHeight w:val="961" w:hRule="atLeast"/>
          <w:jc w:val="center"/>
        </w:trPr>
        <w:tc>
          <w:tcPr>
            <w:tcW w:w="8521" w:type="dxa"/>
            <w:gridSpan w:val="7"/>
            <w:tcBorders>
              <w:top w:val="nil"/>
              <w:left w:val="nil"/>
              <w:bottom w:val="nil"/>
              <w:right w:val="nil"/>
            </w:tcBorders>
            <w:shd w:val="clear" w:color="auto" w:fill="auto"/>
            <w:tcMar>
              <w:top w:w="15" w:type="dxa"/>
              <w:left w:w="15" w:type="dxa"/>
              <w:right w:w="15" w:type="dxa"/>
            </w:tcMar>
            <w:vAlign w:val="center"/>
          </w:tcPr>
          <w:p w14:paraId="709BE04E">
            <w:pPr>
              <w:ind w:firstLine="0" w:firstLineChars="0"/>
              <w:jc w:val="center"/>
              <w:rPr>
                <w:color w:val="auto"/>
                <w:szCs w:val="22"/>
              </w:rPr>
            </w:pPr>
            <w:r>
              <w:rPr>
                <w:rFonts w:eastAsiaTheme="minorEastAsia"/>
                <w:b/>
                <w:bCs/>
                <w:color w:val="auto"/>
                <w:sz w:val="36"/>
                <w:szCs w:val="36"/>
                <w:lang w:val="zh-CN"/>
              </w:rPr>
              <w:pict>
                <v:shape id="文本框 11" o:spid="_x0000_s1069" o:spt="202" type="#_x0000_t202" style="position:absolute;left:0pt;margin-left:-1.6pt;margin-top:-6.55pt;height:37.5pt;width:62.25pt;z-index:251670528;mso-width-relative:page;mso-height-relative:page;" fillcolor="#FFFFFF" filled="t" stroked="f" coordsize="21600,21600" o:gfxdata="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jOeqktcAAAANAQAADwAA&#10;AAAAAAABACAAAAAiAAAAZHJzL2Rvd25yZXYueG1sUEsBAhQAFAAAAAgAh07iQCIVYa1QAgAAkAQA&#10;AA4AAAAAAAAAAQAgAAAAJgEAAGRycy9lMm9Eb2MueG1sUEsFBgAAAAAGAAYAWQEAAOgFAAAAAA==&#10;">
                  <v:path/>
                  <v:fill on="t" focussize="0,0"/>
                  <v:stroke on="f" weight="0.5pt"/>
                  <v:imagedata o:title=""/>
                  <o:lock v:ext="edit" aspectratio="f"/>
                  <v:textbox>
                    <w:txbxContent>
                      <w:p w14:paraId="71E6DD7B">
                        <w:pPr>
                          <w:spacing w:line="240" w:lineRule="auto"/>
                          <w:ind w:firstLine="0" w:firstLineChars="0"/>
                          <w:rPr>
                            <w:b/>
                            <w:bCs/>
                            <w:sz w:val="28"/>
                            <w:szCs w:val="28"/>
                          </w:rPr>
                        </w:pPr>
                        <w:r>
                          <w:rPr>
                            <w:rFonts w:hint="eastAsia"/>
                            <w:b/>
                            <w:bCs/>
                            <w:sz w:val="28"/>
                            <w:szCs w:val="28"/>
                          </w:rPr>
                          <w:t>附表</w:t>
                        </w:r>
                        <w:r>
                          <w:rPr>
                            <w:b/>
                            <w:bCs/>
                            <w:sz w:val="28"/>
                            <w:szCs w:val="28"/>
                          </w:rPr>
                          <w:t>3</w:t>
                        </w:r>
                      </w:p>
                    </w:txbxContent>
                  </v:textbox>
                </v:shape>
              </w:pict>
            </w:r>
            <w:r>
              <w:rPr>
                <w:b/>
                <w:bCs/>
                <w:color w:val="auto"/>
                <w:sz w:val="52"/>
                <w:szCs w:val="52"/>
              </w:rPr>
              <w:t>事故报告记录表</w:t>
            </w:r>
          </w:p>
        </w:tc>
      </w:tr>
      <w:tr w14:paraId="0151D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gridAfter w:val="1"/>
          <w:wBefore w:w="43" w:type="dxa"/>
          <w:wAfter w:w="341" w:type="dxa"/>
          <w:trHeight w:val="597" w:hRule="atLeast"/>
          <w:jc w:val="center"/>
        </w:trPr>
        <w:tc>
          <w:tcPr>
            <w:tcW w:w="21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A43B1A">
            <w:pPr>
              <w:widowControl/>
              <w:spacing w:line="240" w:lineRule="auto"/>
              <w:ind w:firstLine="0" w:firstLineChars="0"/>
              <w:jc w:val="center"/>
              <w:textAlignment w:val="center"/>
              <w:rPr>
                <w:color w:val="auto"/>
              </w:rPr>
            </w:pPr>
            <w:r>
              <w:rPr>
                <w:color w:val="auto"/>
                <w:kern w:val="0"/>
                <w:lang w:bidi="ar"/>
              </w:rPr>
              <w:t>填报人</w:t>
            </w:r>
          </w:p>
        </w:tc>
        <w:tc>
          <w:tcPr>
            <w:tcW w:w="222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4C5D74">
            <w:pPr>
              <w:spacing w:line="240" w:lineRule="auto"/>
              <w:ind w:firstLine="0" w:firstLineChars="0"/>
              <w:jc w:val="center"/>
              <w:rPr>
                <w:color w:val="auto"/>
              </w:rPr>
            </w:pPr>
          </w:p>
        </w:tc>
        <w:tc>
          <w:tcPr>
            <w:tcW w:w="222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D0DC84">
            <w:pPr>
              <w:widowControl/>
              <w:spacing w:line="240" w:lineRule="auto"/>
              <w:ind w:firstLine="0" w:firstLineChars="0"/>
              <w:jc w:val="center"/>
              <w:textAlignment w:val="center"/>
              <w:rPr>
                <w:color w:val="auto"/>
              </w:rPr>
            </w:pPr>
            <w:r>
              <w:rPr>
                <w:color w:val="auto"/>
                <w:kern w:val="0"/>
                <w:lang w:bidi="ar"/>
              </w:rPr>
              <w:t>填报人职务</w:t>
            </w:r>
          </w:p>
        </w:tc>
        <w:tc>
          <w:tcPr>
            <w:tcW w:w="190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325650">
            <w:pPr>
              <w:spacing w:line="240" w:lineRule="auto"/>
              <w:ind w:firstLine="0" w:firstLineChars="0"/>
              <w:jc w:val="center"/>
              <w:rPr>
                <w:color w:val="auto"/>
              </w:rPr>
            </w:pPr>
          </w:p>
        </w:tc>
      </w:tr>
      <w:tr w14:paraId="42AFF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gridAfter w:val="1"/>
          <w:wBefore w:w="43" w:type="dxa"/>
          <w:wAfter w:w="341" w:type="dxa"/>
          <w:trHeight w:val="597" w:hRule="atLeast"/>
          <w:jc w:val="center"/>
        </w:trPr>
        <w:tc>
          <w:tcPr>
            <w:tcW w:w="21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3D956D">
            <w:pPr>
              <w:widowControl/>
              <w:spacing w:line="240" w:lineRule="auto"/>
              <w:ind w:firstLine="0" w:firstLineChars="0"/>
              <w:jc w:val="center"/>
              <w:textAlignment w:val="center"/>
              <w:rPr>
                <w:color w:val="auto"/>
              </w:rPr>
            </w:pPr>
            <w:r>
              <w:rPr>
                <w:color w:val="auto"/>
                <w:kern w:val="0"/>
                <w:lang w:bidi="ar"/>
              </w:rPr>
              <w:t>事故类别</w:t>
            </w:r>
          </w:p>
        </w:tc>
        <w:tc>
          <w:tcPr>
            <w:tcW w:w="222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D3A433">
            <w:pPr>
              <w:spacing w:line="240" w:lineRule="auto"/>
              <w:ind w:firstLine="0" w:firstLineChars="0"/>
              <w:jc w:val="center"/>
              <w:rPr>
                <w:color w:val="auto"/>
              </w:rPr>
            </w:pPr>
          </w:p>
        </w:tc>
        <w:tc>
          <w:tcPr>
            <w:tcW w:w="222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67441A">
            <w:pPr>
              <w:widowControl/>
              <w:spacing w:line="240" w:lineRule="auto"/>
              <w:ind w:firstLine="0" w:firstLineChars="0"/>
              <w:jc w:val="center"/>
              <w:textAlignment w:val="center"/>
              <w:rPr>
                <w:color w:val="auto"/>
              </w:rPr>
            </w:pPr>
            <w:r>
              <w:rPr>
                <w:color w:val="auto"/>
                <w:kern w:val="0"/>
                <w:lang w:bidi="ar"/>
              </w:rPr>
              <w:t>填报时间</w:t>
            </w:r>
          </w:p>
        </w:tc>
        <w:tc>
          <w:tcPr>
            <w:tcW w:w="190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072829">
            <w:pPr>
              <w:widowControl/>
              <w:spacing w:line="240" w:lineRule="auto"/>
              <w:ind w:firstLine="0" w:firstLineChars="0"/>
              <w:jc w:val="center"/>
              <w:textAlignment w:val="center"/>
              <w:rPr>
                <w:color w:val="auto"/>
              </w:rPr>
            </w:pPr>
            <w:r>
              <w:rPr>
                <w:color w:val="auto"/>
                <w:kern w:val="0"/>
                <w:lang w:bidi="ar"/>
              </w:rPr>
              <w:t>月  日  时   分</w:t>
            </w:r>
          </w:p>
        </w:tc>
      </w:tr>
      <w:tr w14:paraId="02624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gridAfter w:val="1"/>
          <w:wBefore w:w="43" w:type="dxa"/>
          <w:wAfter w:w="341" w:type="dxa"/>
          <w:trHeight w:val="597" w:hRule="atLeast"/>
          <w:jc w:val="center"/>
        </w:trPr>
        <w:tc>
          <w:tcPr>
            <w:tcW w:w="21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935D3F">
            <w:pPr>
              <w:widowControl/>
              <w:spacing w:line="240" w:lineRule="auto"/>
              <w:ind w:firstLine="0" w:firstLineChars="0"/>
              <w:jc w:val="center"/>
              <w:textAlignment w:val="center"/>
              <w:rPr>
                <w:color w:val="auto"/>
              </w:rPr>
            </w:pPr>
            <w:r>
              <w:rPr>
                <w:color w:val="auto"/>
                <w:kern w:val="0"/>
                <w:lang w:bidi="ar"/>
              </w:rPr>
              <w:t>是否有人受伤</w:t>
            </w:r>
          </w:p>
        </w:tc>
        <w:tc>
          <w:tcPr>
            <w:tcW w:w="222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4CE5C9">
            <w:pPr>
              <w:spacing w:line="240" w:lineRule="auto"/>
              <w:ind w:firstLine="0" w:firstLineChars="0"/>
              <w:jc w:val="center"/>
              <w:rPr>
                <w:color w:val="auto"/>
              </w:rPr>
            </w:pPr>
          </w:p>
        </w:tc>
        <w:tc>
          <w:tcPr>
            <w:tcW w:w="222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920BF6">
            <w:pPr>
              <w:widowControl/>
              <w:spacing w:line="240" w:lineRule="auto"/>
              <w:ind w:firstLine="0" w:firstLineChars="0"/>
              <w:jc w:val="center"/>
              <w:textAlignment w:val="center"/>
              <w:rPr>
                <w:color w:val="auto"/>
              </w:rPr>
            </w:pPr>
            <w:r>
              <w:rPr>
                <w:color w:val="auto"/>
                <w:kern w:val="0"/>
                <w:lang w:bidi="ar"/>
              </w:rPr>
              <w:t>受伤人员</w:t>
            </w:r>
          </w:p>
        </w:tc>
        <w:tc>
          <w:tcPr>
            <w:tcW w:w="190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2E913B">
            <w:pPr>
              <w:spacing w:line="240" w:lineRule="auto"/>
              <w:ind w:firstLine="0" w:firstLineChars="0"/>
              <w:jc w:val="center"/>
              <w:rPr>
                <w:color w:val="auto"/>
              </w:rPr>
            </w:pPr>
          </w:p>
        </w:tc>
      </w:tr>
      <w:tr w14:paraId="25694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gridAfter w:val="1"/>
          <w:wBefore w:w="43" w:type="dxa"/>
          <w:wAfter w:w="341" w:type="dxa"/>
          <w:trHeight w:val="597" w:hRule="atLeast"/>
          <w:jc w:val="center"/>
        </w:trPr>
        <w:tc>
          <w:tcPr>
            <w:tcW w:w="21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D69353">
            <w:pPr>
              <w:widowControl/>
              <w:spacing w:line="240" w:lineRule="auto"/>
              <w:ind w:firstLine="0" w:firstLineChars="0"/>
              <w:jc w:val="center"/>
              <w:textAlignment w:val="center"/>
              <w:rPr>
                <w:color w:val="auto"/>
              </w:rPr>
            </w:pPr>
            <w:r>
              <w:rPr>
                <w:color w:val="auto"/>
                <w:kern w:val="0"/>
                <w:lang w:bidi="ar"/>
              </w:rPr>
              <w:t>事故描叙</w:t>
            </w:r>
          </w:p>
        </w:tc>
        <w:tc>
          <w:tcPr>
            <w:tcW w:w="636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7C86A9">
            <w:pPr>
              <w:spacing w:line="240" w:lineRule="auto"/>
              <w:ind w:firstLine="0" w:firstLineChars="0"/>
              <w:jc w:val="center"/>
              <w:rPr>
                <w:color w:val="auto"/>
              </w:rPr>
            </w:pPr>
          </w:p>
        </w:tc>
      </w:tr>
      <w:tr w14:paraId="68142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gridAfter w:val="1"/>
          <w:wBefore w:w="43" w:type="dxa"/>
          <w:wAfter w:w="341" w:type="dxa"/>
          <w:trHeight w:val="597" w:hRule="atLeast"/>
          <w:jc w:val="center"/>
        </w:trPr>
        <w:tc>
          <w:tcPr>
            <w:tcW w:w="21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9F81E8">
            <w:pPr>
              <w:widowControl/>
              <w:spacing w:line="240" w:lineRule="auto"/>
              <w:ind w:firstLine="0" w:firstLineChars="0"/>
              <w:jc w:val="center"/>
              <w:textAlignment w:val="center"/>
              <w:rPr>
                <w:color w:val="auto"/>
              </w:rPr>
            </w:pPr>
            <w:r>
              <w:rPr>
                <w:color w:val="auto"/>
                <w:kern w:val="0"/>
                <w:lang w:bidi="ar"/>
              </w:rPr>
              <w:t>发生时间</w:t>
            </w:r>
          </w:p>
        </w:tc>
        <w:tc>
          <w:tcPr>
            <w:tcW w:w="222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F2F038">
            <w:pPr>
              <w:widowControl/>
              <w:spacing w:line="240" w:lineRule="auto"/>
              <w:ind w:firstLine="0" w:firstLineChars="0"/>
              <w:jc w:val="center"/>
              <w:textAlignment w:val="center"/>
              <w:rPr>
                <w:color w:val="auto"/>
              </w:rPr>
            </w:pPr>
            <w:r>
              <w:rPr>
                <w:color w:val="auto"/>
                <w:kern w:val="0"/>
                <w:lang w:bidi="ar"/>
              </w:rPr>
              <w:t>月  日  时   分</w:t>
            </w:r>
          </w:p>
        </w:tc>
        <w:tc>
          <w:tcPr>
            <w:tcW w:w="222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09569">
            <w:pPr>
              <w:widowControl/>
              <w:spacing w:line="240" w:lineRule="auto"/>
              <w:ind w:firstLine="0" w:firstLineChars="0"/>
              <w:jc w:val="center"/>
              <w:textAlignment w:val="center"/>
              <w:rPr>
                <w:color w:val="auto"/>
              </w:rPr>
            </w:pPr>
            <w:r>
              <w:rPr>
                <w:color w:val="auto"/>
                <w:kern w:val="0"/>
                <w:lang w:bidi="ar"/>
              </w:rPr>
              <w:t>地方</w:t>
            </w:r>
          </w:p>
        </w:tc>
        <w:tc>
          <w:tcPr>
            <w:tcW w:w="190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9C5307">
            <w:pPr>
              <w:spacing w:line="240" w:lineRule="auto"/>
              <w:ind w:firstLine="0" w:firstLineChars="0"/>
              <w:jc w:val="center"/>
              <w:rPr>
                <w:color w:val="auto"/>
              </w:rPr>
            </w:pPr>
          </w:p>
        </w:tc>
      </w:tr>
      <w:tr w14:paraId="56911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gridAfter w:val="1"/>
          <w:wBefore w:w="43" w:type="dxa"/>
          <w:wAfter w:w="341" w:type="dxa"/>
          <w:trHeight w:val="597" w:hRule="atLeast"/>
          <w:jc w:val="center"/>
        </w:trPr>
        <w:tc>
          <w:tcPr>
            <w:tcW w:w="21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CDDA2C">
            <w:pPr>
              <w:widowControl/>
              <w:spacing w:line="240" w:lineRule="auto"/>
              <w:ind w:firstLine="0" w:firstLineChars="0"/>
              <w:jc w:val="center"/>
              <w:textAlignment w:val="center"/>
              <w:rPr>
                <w:color w:val="auto"/>
              </w:rPr>
            </w:pPr>
            <w:r>
              <w:rPr>
                <w:color w:val="auto"/>
                <w:kern w:val="0"/>
                <w:lang w:bidi="ar"/>
              </w:rPr>
              <w:t>损失情况</w:t>
            </w:r>
          </w:p>
        </w:tc>
        <w:tc>
          <w:tcPr>
            <w:tcW w:w="636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7F055E">
            <w:pPr>
              <w:spacing w:line="240" w:lineRule="auto"/>
              <w:ind w:firstLine="0" w:firstLineChars="0"/>
              <w:jc w:val="center"/>
              <w:rPr>
                <w:color w:val="auto"/>
              </w:rPr>
            </w:pPr>
          </w:p>
        </w:tc>
      </w:tr>
      <w:tr w14:paraId="47E2E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gridAfter w:val="1"/>
          <w:wBefore w:w="43" w:type="dxa"/>
          <w:wAfter w:w="341" w:type="dxa"/>
          <w:trHeight w:val="597" w:hRule="atLeast"/>
          <w:jc w:val="center"/>
        </w:trPr>
        <w:tc>
          <w:tcPr>
            <w:tcW w:w="8521"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731E74">
            <w:pPr>
              <w:widowControl/>
              <w:spacing w:line="240" w:lineRule="auto"/>
              <w:ind w:firstLine="0" w:firstLineChars="0"/>
              <w:jc w:val="center"/>
              <w:textAlignment w:val="center"/>
              <w:rPr>
                <w:color w:val="auto"/>
              </w:rPr>
            </w:pPr>
            <w:r>
              <w:rPr>
                <w:color w:val="auto"/>
                <w:kern w:val="0"/>
                <w:lang w:bidi="ar"/>
              </w:rPr>
              <w:t>事故过程</w:t>
            </w:r>
          </w:p>
        </w:tc>
      </w:tr>
      <w:tr w14:paraId="73D53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gridAfter w:val="1"/>
          <w:wBefore w:w="43" w:type="dxa"/>
          <w:wAfter w:w="341" w:type="dxa"/>
          <w:trHeight w:val="597" w:hRule="atLeast"/>
          <w:jc w:val="center"/>
        </w:trPr>
        <w:tc>
          <w:tcPr>
            <w:tcW w:w="8521"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8AD7DE">
            <w:pPr>
              <w:widowControl/>
              <w:spacing w:line="240" w:lineRule="auto"/>
              <w:ind w:firstLine="0" w:firstLineChars="0"/>
              <w:jc w:val="center"/>
              <w:textAlignment w:val="center"/>
              <w:rPr>
                <w:color w:val="auto"/>
              </w:rPr>
            </w:pPr>
            <w:r>
              <w:rPr>
                <w:color w:val="auto"/>
                <w:kern w:val="0"/>
                <w:lang w:bidi="ar"/>
              </w:rPr>
              <w:t>目击人员描叙</w:t>
            </w:r>
          </w:p>
        </w:tc>
      </w:tr>
      <w:tr w14:paraId="21A0E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gridAfter w:val="1"/>
          <w:wBefore w:w="43" w:type="dxa"/>
          <w:wAfter w:w="341" w:type="dxa"/>
          <w:trHeight w:val="597" w:hRule="atLeast"/>
          <w:jc w:val="center"/>
        </w:trPr>
        <w:tc>
          <w:tcPr>
            <w:tcW w:w="21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2F919A">
            <w:pPr>
              <w:widowControl/>
              <w:spacing w:line="240" w:lineRule="auto"/>
              <w:ind w:firstLine="0" w:firstLineChars="0"/>
              <w:jc w:val="center"/>
              <w:textAlignment w:val="center"/>
              <w:rPr>
                <w:color w:val="auto"/>
              </w:rPr>
            </w:pPr>
            <w:r>
              <w:rPr>
                <w:color w:val="auto"/>
                <w:kern w:val="0"/>
                <w:lang w:bidi="ar"/>
              </w:rPr>
              <w:t>目击人员1</w:t>
            </w:r>
          </w:p>
        </w:tc>
        <w:tc>
          <w:tcPr>
            <w:tcW w:w="6360" w:type="dxa"/>
            <w:gridSpan w:val="6"/>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D9D33B">
            <w:pPr>
              <w:spacing w:line="240" w:lineRule="auto"/>
              <w:ind w:firstLine="0" w:firstLineChars="0"/>
              <w:jc w:val="center"/>
              <w:rPr>
                <w:color w:val="auto"/>
              </w:rPr>
            </w:pPr>
          </w:p>
        </w:tc>
      </w:tr>
      <w:tr w14:paraId="100B2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gridAfter w:val="1"/>
          <w:wBefore w:w="43" w:type="dxa"/>
          <w:wAfter w:w="341" w:type="dxa"/>
          <w:trHeight w:val="597" w:hRule="atLeast"/>
          <w:jc w:val="center"/>
        </w:trPr>
        <w:tc>
          <w:tcPr>
            <w:tcW w:w="21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C89333">
            <w:pPr>
              <w:spacing w:line="240" w:lineRule="auto"/>
              <w:ind w:firstLine="0" w:firstLineChars="0"/>
              <w:jc w:val="center"/>
              <w:rPr>
                <w:color w:val="auto"/>
              </w:rPr>
            </w:pPr>
          </w:p>
        </w:tc>
        <w:tc>
          <w:tcPr>
            <w:tcW w:w="6360"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1F46A9">
            <w:pPr>
              <w:spacing w:line="240" w:lineRule="auto"/>
              <w:ind w:firstLine="0" w:firstLineChars="0"/>
              <w:jc w:val="center"/>
              <w:rPr>
                <w:color w:val="auto"/>
              </w:rPr>
            </w:pPr>
          </w:p>
        </w:tc>
      </w:tr>
      <w:tr w14:paraId="55BB2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gridAfter w:val="1"/>
          <w:wBefore w:w="43" w:type="dxa"/>
          <w:wAfter w:w="341" w:type="dxa"/>
          <w:trHeight w:val="597" w:hRule="atLeast"/>
          <w:jc w:val="center"/>
        </w:trPr>
        <w:tc>
          <w:tcPr>
            <w:tcW w:w="21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7FD686">
            <w:pPr>
              <w:widowControl/>
              <w:spacing w:line="240" w:lineRule="auto"/>
              <w:ind w:firstLine="0" w:firstLineChars="0"/>
              <w:jc w:val="center"/>
              <w:textAlignment w:val="center"/>
              <w:rPr>
                <w:color w:val="auto"/>
              </w:rPr>
            </w:pPr>
            <w:r>
              <w:rPr>
                <w:color w:val="auto"/>
                <w:kern w:val="0"/>
                <w:lang w:bidi="ar"/>
              </w:rPr>
              <w:t>目击人员2</w:t>
            </w:r>
          </w:p>
        </w:tc>
        <w:tc>
          <w:tcPr>
            <w:tcW w:w="6360" w:type="dxa"/>
            <w:gridSpan w:val="6"/>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A2057E">
            <w:pPr>
              <w:spacing w:line="240" w:lineRule="auto"/>
              <w:ind w:firstLine="0" w:firstLineChars="0"/>
              <w:jc w:val="center"/>
              <w:rPr>
                <w:color w:val="auto"/>
              </w:rPr>
            </w:pPr>
          </w:p>
        </w:tc>
      </w:tr>
      <w:tr w14:paraId="5A313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gridAfter w:val="1"/>
          <w:wBefore w:w="43" w:type="dxa"/>
          <w:wAfter w:w="341" w:type="dxa"/>
          <w:trHeight w:val="597" w:hRule="atLeast"/>
          <w:jc w:val="center"/>
        </w:trPr>
        <w:tc>
          <w:tcPr>
            <w:tcW w:w="21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30DDAF">
            <w:pPr>
              <w:spacing w:line="240" w:lineRule="auto"/>
              <w:ind w:firstLine="0" w:firstLineChars="0"/>
              <w:jc w:val="center"/>
              <w:rPr>
                <w:color w:val="auto"/>
              </w:rPr>
            </w:pPr>
          </w:p>
        </w:tc>
        <w:tc>
          <w:tcPr>
            <w:tcW w:w="6360"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2BB209">
            <w:pPr>
              <w:spacing w:line="240" w:lineRule="auto"/>
              <w:ind w:firstLine="0" w:firstLineChars="0"/>
              <w:jc w:val="center"/>
              <w:rPr>
                <w:color w:val="auto"/>
              </w:rPr>
            </w:pPr>
          </w:p>
        </w:tc>
      </w:tr>
      <w:tr w14:paraId="4AEBF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gridAfter w:val="1"/>
          <w:wBefore w:w="43" w:type="dxa"/>
          <w:wAfter w:w="341" w:type="dxa"/>
          <w:trHeight w:val="597" w:hRule="atLeast"/>
          <w:jc w:val="center"/>
        </w:trPr>
        <w:tc>
          <w:tcPr>
            <w:tcW w:w="8521"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9185D2">
            <w:pPr>
              <w:widowControl/>
              <w:spacing w:line="240" w:lineRule="auto"/>
              <w:ind w:firstLine="0" w:firstLineChars="0"/>
              <w:jc w:val="center"/>
              <w:textAlignment w:val="center"/>
              <w:rPr>
                <w:color w:val="auto"/>
              </w:rPr>
            </w:pPr>
            <w:r>
              <w:rPr>
                <w:color w:val="auto"/>
                <w:kern w:val="0"/>
                <w:lang w:bidi="ar"/>
              </w:rPr>
              <w:t>原因分析</w:t>
            </w:r>
          </w:p>
        </w:tc>
      </w:tr>
      <w:tr w14:paraId="40E1E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gridAfter w:val="1"/>
          <w:wBefore w:w="43" w:type="dxa"/>
          <w:wAfter w:w="341" w:type="dxa"/>
          <w:trHeight w:val="597" w:hRule="atLeast"/>
          <w:jc w:val="center"/>
        </w:trPr>
        <w:tc>
          <w:tcPr>
            <w:tcW w:w="8521"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FAFB12">
            <w:pPr>
              <w:widowControl/>
              <w:spacing w:line="240" w:lineRule="auto"/>
              <w:ind w:firstLine="0" w:firstLineChars="0"/>
              <w:jc w:val="center"/>
              <w:textAlignment w:val="center"/>
              <w:rPr>
                <w:color w:val="auto"/>
              </w:rPr>
            </w:pPr>
            <w:r>
              <w:rPr>
                <w:color w:val="auto"/>
                <w:kern w:val="0"/>
                <w:lang w:bidi="ar"/>
              </w:rPr>
              <w:t>直接原因：</w:t>
            </w:r>
          </w:p>
        </w:tc>
      </w:tr>
      <w:tr w14:paraId="18D48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gridAfter w:val="1"/>
          <w:wBefore w:w="43" w:type="dxa"/>
          <w:wAfter w:w="341" w:type="dxa"/>
          <w:trHeight w:val="597" w:hRule="atLeast"/>
          <w:jc w:val="center"/>
        </w:trPr>
        <w:tc>
          <w:tcPr>
            <w:tcW w:w="8521"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F8D5C">
            <w:pPr>
              <w:widowControl/>
              <w:spacing w:line="240" w:lineRule="auto"/>
              <w:ind w:firstLine="0" w:firstLineChars="0"/>
              <w:jc w:val="center"/>
              <w:textAlignment w:val="center"/>
              <w:rPr>
                <w:color w:val="auto"/>
              </w:rPr>
            </w:pPr>
            <w:r>
              <w:rPr>
                <w:color w:val="auto"/>
                <w:kern w:val="0"/>
                <w:lang w:bidi="ar"/>
              </w:rPr>
              <w:t>根本原因：</w:t>
            </w:r>
          </w:p>
        </w:tc>
      </w:tr>
      <w:tr w14:paraId="0AB7F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gridAfter w:val="1"/>
          <w:wBefore w:w="43" w:type="dxa"/>
          <w:wAfter w:w="341" w:type="dxa"/>
          <w:trHeight w:val="597" w:hRule="atLeast"/>
          <w:jc w:val="center"/>
        </w:trPr>
        <w:tc>
          <w:tcPr>
            <w:tcW w:w="8521"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0730BC">
            <w:pPr>
              <w:spacing w:line="240" w:lineRule="auto"/>
              <w:ind w:firstLine="0" w:firstLineChars="0"/>
              <w:jc w:val="center"/>
              <w:rPr>
                <w:color w:val="auto"/>
              </w:rPr>
            </w:pPr>
            <w:r>
              <w:rPr>
                <w:color w:val="auto"/>
                <w:kern w:val="0"/>
                <w:lang w:bidi="ar"/>
              </w:rPr>
              <w:t>纠正预防措施</w:t>
            </w:r>
          </w:p>
        </w:tc>
      </w:tr>
      <w:tr w14:paraId="4E11F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gridAfter w:val="1"/>
          <w:wBefore w:w="43" w:type="dxa"/>
          <w:wAfter w:w="341" w:type="dxa"/>
          <w:trHeight w:val="597" w:hRule="atLeast"/>
          <w:jc w:val="center"/>
        </w:trPr>
        <w:tc>
          <w:tcPr>
            <w:tcW w:w="21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91B243">
            <w:pPr>
              <w:widowControl/>
              <w:spacing w:line="240" w:lineRule="auto"/>
              <w:ind w:firstLine="0" w:firstLineChars="0"/>
              <w:jc w:val="center"/>
              <w:textAlignment w:val="center"/>
              <w:rPr>
                <w:color w:val="auto"/>
              </w:rPr>
            </w:pPr>
            <w:r>
              <w:rPr>
                <w:color w:val="auto"/>
                <w:kern w:val="0"/>
                <w:lang w:bidi="ar"/>
              </w:rPr>
              <w:t>措施</w:t>
            </w:r>
          </w:p>
        </w:tc>
        <w:tc>
          <w:tcPr>
            <w:tcW w:w="222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770848">
            <w:pPr>
              <w:widowControl/>
              <w:spacing w:line="240" w:lineRule="auto"/>
              <w:ind w:firstLine="0" w:firstLineChars="0"/>
              <w:jc w:val="center"/>
              <w:textAlignment w:val="center"/>
              <w:rPr>
                <w:color w:val="auto"/>
              </w:rPr>
            </w:pPr>
            <w:r>
              <w:rPr>
                <w:color w:val="auto"/>
                <w:kern w:val="0"/>
                <w:lang w:bidi="ar"/>
              </w:rPr>
              <w:t>责任人</w:t>
            </w:r>
          </w:p>
        </w:tc>
        <w:tc>
          <w:tcPr>
            <w:tcW w:w="222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192764">
            <w:pPr>
              <w:widowControl/>
              <w:spacing w:line="240" w:lineRule="auto"/>
              <w:ind w:firstLine="0" w:firstLineChars="0"/>
              <w:jc w:val="center"/>
              <w:textAlignment w:val="center"/>
              <w:rPr>
                <w:color w:val="auto"/>
              </w:rPr>
            </w:pPr>
            <w:r>
              <w:rPr>
                <w:color w:val="auto"/>
                <w:kern w:val="0"/>
                <w:lang w:bidi="ar"/>
              </w:rPr>
              <w:t>完成时间</w:t>
            </w:r>
          </w:p>
        </w:tc>
        <w:tc>
          <w:tcPr>
            <w:tcW w:w="190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9D5CAF">
            <w:pPr>
              <w:widowControl/>
              <w:spacing w:line="240" w:lineRule="auto"/>
              <w:ind w:firstLine="0" w:firstLineChars="0"/>
              <w:jc w:val="center"/>
              <w:textAlignment w:val="center"/>
              <w:rPr>
                <w:color w:val="auto"/>
              </w:rPr>
            </w:pPr>
            <w:r>
              <w:rPr>
                <w:color w:val="auto"/>
                <w:kern w:val="0"/>
                <w:lang w:bidi="ar"/>
              </w:rPr>
              <w:t>完成情况记录</w:t>
            </w:r>
          </w:p>
        </w:tc>
      </w:tr>
      <w:tr w14:paraId="69F7D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gridAfter w:val="1"/>
          <w:wBefore w:w="43" w:type="dxa"/>
          <w:wAfter w:w="341" w:type="dxa"/>
          <w:trHeight w:val="597" w:hRule="atLeast"/>
          <w:jc w:val="center"/>
        </w:trPr>
        <w:tc>
          <w:tcPr>
            <w:tcW w:w="21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2B501D">
            <w:pPr>
              <w:spacing w:line="240" w:lineRule="auto"/>
              <w:ind w:firstLine="0" w:firstLineChars="0"/>
              <w:jc w:val="center"/>
              <w:rPr>
                <w:color w:val="auto"/>
              </w:rPr>
            </w:pPr>
          </w:p>
        </w:tc>
        <w:tc>
          <w:tcPr>
            <w:tcW w:w="222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8974B5">
            <w:pPr>
              <w:spacing w:line="240" w:lineRule="auto"/>
              <w:ind w:firstLine="0" w:firstLineChars="0"/>
              <w:jc w:val="center"/>
              <w:rPr>
                <w:color w:val="auto"/>
              </w:rPr>
            </w:pPr>
          </w:p>
        </w:tc>
        <w:tc>
          <w:tcPr>
            <w:tcW w:w="222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C5B203">
            <w:pPr>
              <w:spacing w:line="240" w:lineRule="auto"/>
              <w:ind w:firstLine="0" w:firstLineChars="0"/>
              <w:jc w:val="center"/>
              <w:rPr>
                <w:color w:val="auto"/>
              </w:rPr>
            </w:pPr>
          </w:p>
        </w:tc>
        <w:tc>
          <w:tcPr>
            <w:tcW w:w="190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BF55D1">
            <w:pPr>
              <w:spacing w:line="240" w:lineRule="auto"/>
              <w:ind w:firstLine="0" w:firstLineChars="0"/>
              <w:jc w:val="center"/>
              <w:rPr>
                <w:color w:val="auto"/>
              </w:rPr>
            </w:pPr>
          </w:p>
        </w:tc>
      </w:tr>
      <w:tr w14:paraId="60756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gridAfter w:val="1"/>
          <w:wBefore w:w="43" w:type="dxa"/>
          <w:wAfter w:w="341" w:type="dxa"/>
          <w:trHeight w:val="609" w:hRule="atLeast"/>
          <w:jc w:val="center"/>
        </w:trPr>
        <w:tc>
          <w:tcPr>
            <w:tcW w:w="21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548DC8">
            <w:pPr>
              <w:spacing w:line="240" w:lineRule="auto"/>
              <w:ind w:firstLine="0" w:firstLineChars="0"/>
              <w:jc w:val="center"/>
              <w:rPr>
                <w:color w:val="auto"/>
              </w:rPr>
            </w:pPr>
          </w:p>
        </w:tc>
        <w:tc>
          <w:tcPr>
            <w:tcW w:w="222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1DC900">
            <w:pPr>
              <w:spacing w:line="240" w:lineRule="auto"/>
              <w:ind w:firstLine="0" w:firstLineChars="0"/>
              <w:jc w:val="center"/>
              <w:rPr>
                <w:color w:val="auto"/>
              </w:rPr>
            </w:pPr>
          </w:p>
        </w:tc>
        <w:tc>
          <w:tcPr>
            <w:tcW w:w="222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CFB615">
            <w:pPr>
              <w:spacing w:line="240" w:lineRule="auto"/>
              <w:ind w:firstLine="0" w:firstLineChars="0"/>
              <w:jc w:val="center"/>
              <w:rPr>
                <w:color w:val="auto"/>
              </w:rPr>
            </w:pPr>
          </w:p>
        </w:tc>
        <w:tc>
          <w:tcPr>
            <w:tcW w:w="190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10379D">
            <w:pPr>
              <w:spacing w:line="240" w:lineRule="auto"/>
              <w:ind w:firstLine="0" w:firstLineChars="0"/>
              <w:jc w:val="center"/>
              <w:rPr>
                <w:color w:val="auto"/>
              </w:rPr>
            </w:pPr>
          </w:p>
        </w:tc>
      </w:tr>
    </w:tbl>
    <w:p w14:paraId="325FBF10">
      <w:pPr>
        <w:spacing w:line="240" w:lineRule="auto"/>
        <w:ind w:firstLine="0" w:firstLineChars="0"/>
        <w:jc w:val="both"/>
        <w:rPr>
          <w:color w:val="auto"/>
          <w:sz w:val="28"/>
          <w:szCs w:val="28"/>
        </w:rPr>
      </w:pPr>
    </w:p>
    <w:p w14:paraId="25B36838">
      <w:pPr>
        <w:pStyle w:val="16"/>
        <w:ind w:left="1440" w:firstLine="360"/>
        <w:rPr>
          <w:rFonts w:ascii="Times New Roman" w:hAnsi="Times New Roman" w:cs="Times New Roman"/>
          <w:color w:val="auto"/>
        </w:rPr>
      </w:pPr>
    </w:p>
    <w:p w14:paraId="077C6659">
      <w:pPr>
        <w:ind w:firstLine="0" w:firstLineChars="0"/>
        <w:jc w:val="center"/>
        <w:rPr>
          <w:b/>
          <w:bCs/>
          <w:color w:val="auto"/>
          <w:sz w:val="52"/>
          <w:szCs w:val="52"/>
        </w:rPr>
      </w:pPr>
      <w:r>
        <w:rPr>
          <w:rFonts w:eastAsiaTheme="minorEastAsia"/>
          <w:b/>
          <w:bCs/>
          <w:color w:val="auto"/>
          <w:sz w:val="36"/>
          <w:szCs w:val="36"/>
          <w:lang w:val="zh-CN"/>
        </w:rPr>
        <w:pict>
          <v:shape id="文本框 12" o:spid="_x0000_s1070" o:spt="202" type="#_x0000_t202" style="position:absolute;left:0pt;margin-left:2.65pt;margin-top:-10.5pt;height:37.5pt;width:62.25pt;z-index:251671552;mso-width-relative:page;mso-height-relative:page;" fillcolor="#FFFFFF" filled="t" stroked="f" coordsize="21600,21600" o:gfxdata="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We4Q90wAAAAcBAAAPAAAAAAAA&#10;AAEAIAAAACIAAABkcnMvZG93bnJldi54bWxQSwECFAAUAAAACACHTuJAA7S3mVACAACQBAAADgAA&#10;AAAAAAABACAAAAAiAQAAZHJzL2Uyb0RvYy54bWxQSwUGAAAAAAYABgBZAQAA5AUAAAAA&#10;">
            <v:path/>
            <v:fill on="t" focussize="0,0"/>
            <v:stroke on="f" weight="0.5pt"/>
            <v:imagedata o:title=""/>
            <o:lock v:ext="edit" aspectratio="f"/>
            <v:textbox>
              <w:txbxContent>
                <w:p w14:paraId="24548CC0">
                  <w:pPr>
                    <w:spacing w:line="240" w:lineRule="auto"/>
                    <w:ind w:firstLine="0" w:firstLineChars="0"/>
                    <w:rPr>
                      <w:b/>
                      <w:bCs/>
                      <w:sz w:val="28"/>
                      <w:szCs w:val="28"/>
                    </w:rPr>
                  </w:pPr>
                  <w:r>
                    <w:rPr>
                      <w:rFonts w:hint="eastAsia"/>
                      <w:b/>
                      <w:bCs/>
                      <w:sz w:val="28"/>
                      <w:szCs w:val="28"/>
                    </w:rPr>
                    <w:t>附表</w:t>
                  </w:r>
                  <w:r>
                    <w:rPr>
                      <w:b/>
                      <w:bCs/>
                      <w:sz w:val="28"/>
                      <w:szCs w:val="28"/>
                    </w:rPr>
                    <w:t>4</w:t>
                  </w:r>
                </w:p>
              </w:txbxContent>
            </v:textbox>
          </v:shape>
        </w:pict>
      </w:r>
      <w:r>
        <w:rPr>
          <w:b/>
          <w:bCs/>
          <w:color w:val="auto"/>
          <w:sz w:val="52"/>
          <w:szCs w:val="52"/>
        </w:rPr>
        <w:t>应急演练记录表</w:t>
      </w:r>
    </w:p>
    <w:p w14:paraId="69033822">
      <w:pPr>
        <w:ind w:firstLine="7200" w:firstLineChars="3000"/>
        <w:rPr>
          <w:color w:val="auto"/>
        </w:rPr>
      </w:pPr>
      <w:r>
        <w:rPr>
          <w:color w:val="auto"/>
        </w:rPr>
        <w:t>编号：</w:t>
      </w:r>
    </w:p>
    <w:tbl>
      <w:tblPr>
        <w:tblStyle w:val="23"/>
        <w:tblW w:w="8905"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223"/>
        <w:gridCol w:w="6682"/>
      </w:tblGrid>
      <w:tr w14:paraId="50ECEC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223" w:type="dxa"/>
            <w:vAlign w:val="center"/>
          </w:tcPr>
          <w:p w14:paraId="55159488">
            <w:pPr>
              <w:spacing w:line="240" w:lineRule="auto"/>
              <w:ind w:firstLine="0" w:firstLineChars="0"/>
              <w:jc w:val="center"/>
              <w:rPr>
                <w:color w:val="auto"/>
                <w:sz w:val="28"/>
                <w:szCs w:val="28"/>
              </w:rPr>
            </w:pPr>
            <w:r>
              <w:rPr>
                <w:color w:val="auto"/>
                <w:sz w:val="28"/>
                <w:szCs w:val="28"/>
              </w:rPr>
              <w:t>演练项目</w:t>
            </w:r>
          </w:p>
        </w:tc>
        <w:tc>
          <w:tcPr>
            <w:tcW w:w="6682" w:type="dxa"/>
            <w:vAlign w:val="center"/>
          </w:tcPr>
          <w:p w14:paraId="008EC001">
            <w:pPr>
              <w:spacing w:line="240" w:lineRule="auto"/>
              <w:ind w:firstLine="0" w:firstLineChars="0"/>
              <w:rPr>
                <w:color w:val="auto"/>
                <w:sz w:val="28"/>
                <w:szCs w:val="28"/>
              </w:rPr>
            </w:pPr>
          </w:p>
        </w:tc>
      </w:tr>
      <w:tr w14:paraId="68B9B3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223" w:type="dxa"/>
            <w:vAlign w:val="center"/>
          </w:tcPr>
          <w:p w14:paraId="42F54C07">
            <w:pPr>
              <w:spacing w:line="240" w:lineRule="auto"/>
              <w:ind w:firstLine="0" w:firstLineChars="0"/>
              <w:jc w:val="center"/>
              <w:rPr>
                <w:color w:val="auto"/>
                <w:sz w:val="28"/>
                <w:szCs w:val="28"/>
              </w:rPr>
            </w:pPr>
            <w:r>
              <w:rPr>
                <w:color w:val="auto"/>
                <w:sz w:val="28"/>
                <w:szCs w:val="28"/>
              </w:rPr>
              <w:t>演练目的</w:t>
            </w:r>
          </w:p>
        </w:tc>
        <w:tc>
          <w:tcPr>
            <w:tcW w:w="6682" w:type="dxa"/>
            <w:vAlign w:val="center"/>
          </w:tcPr>
          <w:p w14:paraId="7D60772F">
            <w:pPr>
              <w:spacing w:line="240" w:lineRule="auto"/>
              <w:ind w:firstLine="0" w:firstLineChars="0"/>
              <w:rPr>
                <w:color w:val="auto"/>
                <w:sz w:val="28"/>
                <w:szCs w:val="28"/>
              </w:rPr>
            </w:pPr>
          </w:p>
        </w:tc>
      </w:tr>
      <w:tr w14:paraId="2AC6E3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223" w:type="dxa"/>
            <w:vAlign w:val="center"/>
          </w:tcPr>
          <w:p w14:paraId="141A483E">
            <w:pPr>
              <w:spacing w:line="240" w:lineRule="auto"/>
              <w:ind w:firstLine="0" w:firstLineChars="0"/>
              <w:jc w:val="center"/>
              <w:rPr>
                <w:color w:val="auto"/>
                <w:sz w:val="28"/>
                <w:szCs w:val="28"/>
              </w:rPr>
            </w:pPr>
            <w:r>
              <w:rPr>
                <w:color w:val="auto"/>
                <w:sz w:val="28"/>
                <w:szCs w:val="28"/>
              </w:rPr>
              <w:t>演练时间</w:t>
            </w:r>
          </w:p>
        </w:tc>
        <w:tc>
          <w:tcPr>
            <w:tcW w:w="6682" w:type="dxa"/>
            <w:vAlign w:val="center"/>
          </w:tcPr>
          <w:p w14:paraId="062E7AD1">
            <w:pPr>
              <w:spacing w:line="240" w:lineRule="auto"/>
              <w:ind w:firstLine="0" w:firstLineChars="0"/>
              <w:rPr>
                <w:color w:val="auto"/>
                <w:sz w:val="28"/>
                <w:szCs w:val="28"/>
              </w:rPr>
            </w:pPr>
          </w:p>
        </w:tc>
      </w:tr>
      <w:tr w14:paraId="53207E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223" w:type="dxa"/>
            <w:vAlign w:val="center"/>
          </w:tcPr>
          <w:p w14:paraId="39C8101D">
            <w:pPr>
              <w:spacing w:line="240" w:lineRule="auto"/>
              <w:ind w:firstLine="0" w:firstLineChars="0"/>
              <w:jc w:val="center"/>
              <w:rPr>
                <w:color w:val="auto"/>
                <w:sz w:val="28"/>
                <w:szCs w:val="28"/>
              </w:rPr>
            </w:pPr>
            <w:r>
              <w:rPr>
                <w:color w:val="auto"/>
                <w:sz w:val="28"/>
                <w:szCs w:val="28"/>
              </w:rPr>
              <w:t>演练地点</w:t>
            </w:r>
          </w:p>
        </w:tc>
        <w:tc>
          <w:tcPr>
            <w:tcW w:w="6682" w:type="dxa"/>
            <w:vAlign w:val="center"/>
          </w:tcPr>
          <w:p w14:paraId="50FD7AC6">
            <w:pPr>
              <w:spacing w:line="240" w:lineRule="auto"/>
              <w:ind w:firstLine="0" w:firstLineChars="0"/>
              <w:rPr>
                <w:color w:val="auto"/>
                <w:sz w:val="28"/>
                <w:szCs w:val="28"/>
              </w:rPr>
            </w:pPr>
          </w:p>
        </w:tc>
      </w:tr>
      <w:tr w14:paraId="778D89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223" w:type="dxa"/>
            <w:vAlign w:val="center"/>
          </w:tcPr>
          <w:p w14:paraId="2B5ED38A">
            <w:pPr>
              <w:spacing w:line="240" w:lineRule="auto"/>
              <w:ind w:firstLine="0" w:firstLineChars="0"/>
              <w:jc w:val="center"/>
              <w:rPr>
                <w:color w:val="auto"/>
                <w:sz w:val="28"/>
                <w:szCs w:val="28"/>
              </w:rPr>
            </w:pPr>
            <w:r>
              <w:rPr>
                <w:color w:val="auto"/>
                <w:sz w:val="28"/>
                <w:szCs w:val="28"/>
              </w:rPr>
              <w:t>参加演练人员</w:t>
            </w:r>
          </w:p>
        </w:tc>
        <w:tc>
          <w:tcPr>
            <w:tcW w:w="6682" w:type="dxa"/>
            <w:vAlign w:val="center"/>
          </w:tcPr>
          <w:p w14:paraId="15828C24">
            <w:pPr>
              <w:spacing w:line="240" w:lineRule="auto"/>
              <w:ind w:firstLine="0" w:firstLineChars="0"/>
              <w:rPr>
                <w:color w:val="auto"/>
                <w:sz w:val="28"/>
                <w:szCs w:val="28"/>
              </w:rPr>
            </w:pPr>
          </w:p>
          <w:p w14:paraId="58CA2B36">
            <w:pPr>
              <w:spacing w:line="240" w:lineRule="auto"/>
              <w:ind w:firstLine="0" w:firstLineChars="0"/>
              <w:rPr>
                <w:color w:val="auto"/>
                <w:sz w:val="28"/>
                <w:szCs w:val="28"/>
              </w:rPr>
            </w:pPr>
          </w:p>
        </w:tc>
      </w:tr>
      <w:tr w14:paraId="7D2ADD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03" w:hRule="atLeast"/>
        </w:trPr>
        <w:tc>
          <w:tcPr>
            <w:tcW w:w="2223" w:type="dxa"/>
            <w:vAlign w:val="center"/>
          </w:tcPr>
          <w:p w14:paraId="0CC8AFD3">
            <w:pPr>
              <w:spacing w:line="240" w:lineRule="auto"/>
              <w:ind w:firstLine="0" w:firstLineChars="0"/>
              <w:jc w:val="center"/>
              <w:rPr>
                <w:color w:val="auto"/>
                <w:sz w:val="28"/>
                <w:szCs w:val="28"/>
              </w:rPr>
            </w:pPr>
            <w:r>
              <w:rPr>
                <w:color w:val="auto"/>
                <w:sz w:val="28"/>
                <w:szCs w:val="28"/>
              </w:rPr>
              <w:t>演练记录</w:t>
            </w:r>
          </w:p>
        </w:tc>
        <w:tc>
          <w:tcPr>
            <w:tcW w:w="6682" w:type="dxa"/>
            <w:vAlign w:val="center"/>
          </w:tcPr>
          <w:p w14:paraId="01A82749">
            <w:pPr>
              <w:spacing w:line="240" w:lineRule="auto"/>
              <w:ind w:firstLine="0" w:firstLineChars="0"/>
              <w:rPr>
                <w:color w:val="auto"/>
                <w:sz w:val="28"/>
                <w:szCs w:val="28"/>
              </w:rPr>
            </w:pPr>
          </w:p>
        </w:tc>
      </w:tr>
      <w:tr w14:paraId="62A293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28" w:hRule="atLeast"/>
        </w:trPr>
        <w:tc>
          <w:tcPr>
            <w:tcW w:w="2223" w:type="dxa"/>
            <w:vAlign w:val="center"/>
          </w:tcPr>
          <w:p w14:paraId="0C9A4F5F">
            <w:pPr>
              <w:spacing w:line="240" w:lineRule="auto"/>
              <w:ind w:firstLine="0" w:firstLineChars="0"/>
              <w:jc w:val="center"/>
              <w:rPr>
                <w:color w:val="auto"/>
                <w:sz w:val="28"/>
                <w:szCs w:val="28"/>
              </w:rPr>
            </w:pPr>
            <w:r>
              <w:rPr>
                <w:color w:val="auto"/>
                <w:sz w:val="28"/>
                <w:szCs w:val="28"/>
              </w:rPr>
              <w:t>现场演练讲解</w:t>
            </w:r>
          </w:p>
        </w:tc>
        <w:tc>
          <w:tcPr>
            <w:tcW w:w="6682" w:type="dxa"/>
            <w:vAlign w:val="center"/>
          </w:tcPr>
          <w:p w14:paraId="2B62C4DD">
            <w:pPr>
              <w:spacing w:line="240" w:lineRule="auto"/>
              <w:ind w:firstLine="0" w:firstLineChars="0"/>
              <w:rPr>
                <w:color w:val="auto"/>
                <w:sz w:val="28"/>
                <w:szCs w:val="28"/>
              </w:rPr>
            </w:pPr>
          </w:p>
        </w:tc>
      </w:tr>
      <w:tr w14:paraId="70ADBF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838" w:hRule="atLeast"/>
        </w:trPr>
        <w:tc>
          <w:tcPr>
            <w:tcW w:w="2223" w:type="dxa"/>
            <w:vAlign w:val="center"/>
          </w:tcPr>
          <w:p w14:paraId="7A1E89EC">
            <w:pPr>
              <w:spacing w:line="240" w:lineRule="auto"/>
              <w:ind w:firstLine="0" w:firstLineChars="0"/>
              <w:jc w:val="center"/>
              <w:rPr>
                <w:color w:val="auto"/>
                <w:sz w:val="28"/>
                <w:szCs w:val="28"/>
              </w:rPr>
            </w:pPr>
            <w:r>
              <w:rPr>
                <w:color w:val="auto"/>
                <w:sz w:val="28"/>
                <w:szCs w:val="28"/>
              </w:rPr>
              <w:t>参演人员签名</w:t>
            </w:r>
          </w:p>
        </w:tc>
        <w:tc>
          <w:tcPr>
            <w:tcW w:w="6682" w:type="dxa"/>
            <w:vAlign w:val="center"/>
          </w:tcPr>
          <w:p w14:paraId="1D4479D9">
            <w:pPr>
              <w:spacing w:line="240" w:lineRule="auto"/>
              <w:ind w:firstLine="0" w:firstLineChars="0"/>
              <w:rPr>
                <w:color w:val="auto"/>
                <w:sz w:val="28"/>
                <w:szCs w:val="28"/>
              </w:rPr>
            </w:pPr>
          </w:p>
        </w:tc>
      </w:tr>
    </w:tbl>
    <w:p w14:paraId="51C3BAD5">
      <w:pPr>
        <w:tabs>
          <w:tab w:val="left" w:pos="9347"/>
        </w:tabs>
        <w:bidi w:val="0"/>
        <w:jc w:val="left"/>
        <w:rPr>
          <w:rFonts w:hint="eastAsia"/>
          <w:color w:val="auto"/>
          <w:lang w:val="en-US" w:eastAsia="zh-CN"/>
        </w:rPr>
      </w:pPr>
    </w:p>
    <w:p w14:paraId="0B5F6883">
      <w:pPr>
        <w:pStyle w:val="28"/>
        <w:rPr>
          <w:rFonts w:eastAsiaTheme="minorEastAsia"/>
          <w:b/>
          <w:bCs/>
          <w:color w:val="auto"/>
          <w:sz w:val="36"/>
          <w:szCs w:val="36"/>
          <w:lang w:val="zh-CN"/>
        </w:rPr>
      </w:pPr>
      <w:r>
        <w:rPr>
          <w:rFonts w:eastAsiaTheme="minorEastAsia"/>
          <w:b/>
          <w:bCs/>
          <w:color w:val="auto"/>
          <w:sz w:val="36"/>
          <w:szCs w:val="36"/>
          <w:lang w:val="zh-CN"/>
        </w:rPr>
        <w:pict>
          <v:shape id="_x0000_s1071" o:spid="_x0000_s1071" o:spt="202" type="#_x0000_t202" style="position:absolute;left:0pt;margin-left:-0.5pt;margin-top:-2.65pt;height:37.5pt;width:62.25pt;z-index:251672576;mso-width-relative:page;mso-height-relative:page;" fillcolor="#FFFFFF" filled="t" stroked="f" coordsize="21600,21600" o:gfxdata="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YpvwfTAAAACAEA&#10;AA8AAAAAAAAAAQAgAAAAIgAAAGRycy9kb3ducmV2LnhtbFBLAQIUABQAAAAIAIdO4kBXiHwfWAIA&#10;AJsEAAAOAAAAAAAAAAEAIAAAACIBAABkcnMvZTJvRG9jLnhtbFBLBQYAAAAABgAGAFkBAADsBQAA&#10;AAA=&#10;">
            <v:path/>
            <v:fill on="t" focussize="0,0"/>
            <v:stroke on="f" weight="0.5pt"/>
            <v:imagedata o:title=""/>
            <o:lock v:ext="edit" aspectratio="f"/>
            <v:textbox>
              <w:txbxContent>
                <w:p w14:paraId="38ADDE6E">
                  <w:pPr>
                    <w:spacing w:line="240" w:lineRule="auto"/>
                    <w:ind w:firstLine="0" w:firstLineChars="0"/>
                    <w:rPr>
                      <w:b/>
                      <w:bCs/>
                      <w:sz w:val="28"/>
                      <w:szCs w:val="28"/>
                    </w:rPr>
                  </w:pPr>
                  <w:r>
                    <w:rPr>
                      <w:rFonts w:hint="eastAsia"/>
                      <w:b/>
                      <w:bCs/>
                      <w:sz w:val="28"/>
                      <w:szCs w:val="28"/>
                    </w:rPr>
                    <w:t>附表5</w:t>
                  </w:r>
                </w:p>
              </w:txbxContent>
            </v:textbox>
          </v:shape>
        </w:pict>
      </w:r>
    </w:p>
    <w:p w14:paraId="7BB88D7F">
      <w:pPr>
        <w:ind w:left="0" w:leftChars="0" w:firstLine="0" w:firstLineChars="0"/>
        <w:rPr>
          <w:b/>
          <w:bCs/>
          <w:color w:val="auto"/>
          <w:szCs w:val="22"/>
        </w:rPr>
      </w:pPr>
      <w:r>
        <w:rPr>
          <w:b/>
          <w:bCs/>
          <w:color w:val="auto"/>
          <w:sz w:val="36"/>
          <w:szCs w:val="36"/>
        </w:rPr>
        <w:t>公司应急救援人员联系通讯：</w:t>
      </w:r>
    </w:p>
    <w:p w14:paraId="2713B0AD">
      <w:pPr>
        <w:keepNext w:val="0"/>
        <w:keepLines w:val="0"/>
        <w:pageBreakBefore w:val="0"/>
        <w:widowControl/>
        <w:kinsoku/>
        <w:wordWrap/>
        <w:overflowPunct/>
        <w:topLinePunct w:val="0"/>
        <w:autoSpaceDE/>
        <w:autoSpaceDN/>
        <w:bidi w:val="0"/>
        <w:adjustRightInd/>
        <w:snapToGrid w:val="0"/>
        <w:ind w:firstLine="0" w:firstLineChars="0"/>
        <w:textAlignment w:val="auto"/>
        <w:rPr>
          <w:rFonts w:hint="eastAsia" w:eastAsiaTheme="minorEastAsia"/>
          <w:b/>
          <w:color w:val="auto"/>
          <w:kern w:val="0"/>
          <w:sz w:val="30"/>
          <w:szCs w:val="30"/>
          <w:lang w:eastAsia="zh-CN"/>
        </w:rPr>
      </w:pPr>
      <w:r>
        <w:rPr>
          <w:rFonts w:eastAsiaTheme="minorEastAsia"/>
          <w:b/>
          <w:color w:val="auto"/>
          <w:kern w:val="0"/>
          <w:sz w:val="30"/>
          <w:szCs w:val="30"/>
        </w:rPr>
        <w:t>公司内部应急救援办公室电话：</w:t>
      </w:r>
      <w:r>
        <w:rPr>
          <w:rFonts w:hint="eastAsia" w:eastAsiaTheme="minorEastAsia"/>
          <w:color w:val="auto"/>
          <w:sz w:val="30"/>
          <w:szCs w:val="30"/>
          <w:lang w:eastAsia="zh-CN"/>
        </w:rPr>
        <w:t>15216257357</w:t>
      </w:r>
    </w:p>
    <w:tbl>
      <w:tblPr>
        <w:tblStyle w:val="23"/>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63"/>
        <w:gridCol w:w="1094"/>
        <w:gridCol w:w="1293"/>
        <w:gridCol w:w="1503"/>
        <w:gridCol w:w="771"/>
        <w:gridCol w:w="1685"/>
        <w:gridCol w:w="2092"/>
      </w:tblGrid>
      <w:tr w14:paraId="52078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260" w:type="pct"/>
          </w:tcPr>
          <w:p w14:paraId="37E5299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w:t>
            </w:r>
          </w:p>
        </w:tc>
        <w:tc>
          <w:tcPr>
            <w:tcW w:w="614" w:type="pct"/>
          </w:tcPr>
          <w:p w14:paraId="3845919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姓名</w:t>
            </w:r>
          </w:p>
        </w:tc>
        <w:tc>
          <w:tcPr>
            <w:tcW w:w="1570" w:type="pct"/>
            <w:gridSpan w:val="2"/>
          </w:tcPr>
          <w:p w14:paraId="5DE5591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指挥小组职务</w:t>
            </w:r>
          </w:p>
        </w:tc>
        <w:tc>
          <w:tcPr>
            <w:tcW w:w="1379" w:type="pct"/>
            <w:gridSpan w:val="2"/>
          </w:tcPr>
          <w:p w14:paraId="5A381D7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部门或</w:t>
            </w:r>
            <w:r>
              <w:rPr>
                <w:rFonts w:hint="eastAsia" w:eastAsiaTheme="minorEastAsia"/>
                <w:color w:val="auto"/>
                <w:sz w:val="21"/>
                <w:szCs w:val="21"/>
                <w:lang w:val="en-US" w:eastAsia="zh-CN"/>
              </w:rPr>
              <w:t>厂内</w:t>
            </w:r>
            <w:r>
              <w:rPr>
                <w:rFonts w:eastAsiaTheme="minorEastAsia"/>
                <w:color w:val="auto"/>
                <w:sz w:val="21"/>
                <w:szCs w:val="21"/>
              </w:rPr>
              <w:t>职务</w:t>
            </w:r>
          </w:p>
        </w:tc>
        <w:tc>
          <w:tcPr>
            <w:tcW w:w="1174" w:type="pct"/>
          </w:tcPr>
          <w:p w14:paraId="7CC5731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手机</w:t>
            </w:r>
          </w:p>
        </w:tc>
      </w:tr>
      <w:tr w14:paraId="5738C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260" w:type="pct"/>
            <w:shd w:val="clear" w:color="auto" w:fill="auto"/>
          </w:tcPr>
          <w:p w14:paraId="31F29D9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1</w:t>
            </w:r>
          </w:p>
        </w:tc>
        <w:tc>
          <w:tcPr>
            <w:tcW w:w="614" w:type="pct"/>
            <w:shd w:val="clear" w:color="auto" w:fill="auto"/>
            <w:vAlign w:val="center"/>
          </w:tcPr>
          <w:p w14:paraId="750366F6">
            <w:pPr>
              <w:pStyle w:val="42"/>
              <w:keepNext w:val="0"/>
              <w:keepLines w:val="0"/>
              <w:pageBreakBefore w:val="0"/>
              <w:widowControl w:val="0"/>
              <w:kinsoku/>
              <w:wordWrap/>
              <w:overflowPunct/>
              <w:topLinePunct w:val="0"/>
              <w:autoSpaceDE/>
              <w:autoSpaceDN/>
              <w:bidi w:val="0"/>
              <w:adjustRightInd/>
              <w:snapToGrid w:val="0"/>
              <w:spacing w:before="0" w:after="0"/>
              <w:ind w:firstLine="0" w:firstLineChars="0"/>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汪桂萍</w:t>
            </w:r>
          </w:p>
        </w:tc>
        <w:tc>
          <w:tcPr>
            <w:tcW w:w="1570" w:type="pct"/>
            <w:gridSpan w:val="2"/>
            <w:shd w:val="clear" w:color="auto" w:fill="FFFFFF"/>
            <w:vAlign w:val="center"/>
          </w:tcPr>
          <w:p w14:paraId="2B20873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总指挥</w:t>
            </w:r>
          </w:p>
        </w:tc>
        <w:tc>
          <w:tcPr>
            <w:tcW w:w="1379" w:type="pct"/>
            <w:gridSpan w:val="2"/>
            <w:vAlign w:val="center"/>
          </w:tcPr>
          <w:p w14:paraId="78C11907">
            <w:pPr>
              <w:pStyle w:val="42"/>
              <w:keepNext w:val="0"/>
              <w:keepLines w:val="0"/>
              <w:pageBreakBefore w:val="0"/>
              <w:widowControl w:val="0"/>
              <w:kinsoku/>
              <w:wordWrap/>
              <w:overflowPunct/>
              <w:topLinePunct w:val="0"/>
              <w:autoSpaceDE/>
              <w:autoSpaceDN/>
              <w:bidi w:val="0"/>
              <w:adjustRightInd/>
              <w:snapToGrid w:val="0"/>
              <w:spacing w:before="0" w:after="0"/>
              <w:ind w:firstLine="0" w:firstLineChars="0"/>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厂长</w:t>
            </w:r>
          </w:p>
        </w:tc>
        <w:tc>
          <w:tcPr>
            <w:tcW w:w="1174" w:type="pct"/>
            <w:vAlign w:val="center"/>
          </w:tcPr>
          <w:p w14:paraId="53D40700">
            <w:pPr>
              <w:pStyle w:val="42"/>
              <w:keepNext w:val="0"/>
              <w:keepLines w:val="0"/>
              <w:pageBreakBefore w:val="0"/>
              <w:widowControl w:val="0"/>
              <w:kinsoku/>
              <w:wordWrap/>
              <w:overflowPunct/>
              <w:topLinePunct w:val="0"/>
              <w:autoSpaceDE/>
              <w:autoSpaceDN/>
              <w:bidi w:val="0"/>
              <w:adjustRightInd/>
              <w:snapToGrid w:val="0"/>
              <w:spacing w:before="0" w:after="0"/>
              <w:ind w:firstLine="0" w:firstLineChars="0"/>
              <w:textAlignment w:val="auto"/>
              <w:rPr>
                <w:rFonts w:hint="default" w:ascii="Times New Roman" w:hAnsi="Times New Roman" w:eastAsia="宋体" w:cs="Times New Roman"/>
                <w:color w:val="auto"/>
                <w:sz w:val="21"/>
                <w:szCs w:val="21"/>
                <w:lang w:val="en-US" w:eastAsia="zh-CN" w:bidi="ar-SA"/>
              </w:rPr>
            </w:pPr>
            <w:r>
              <w:rPr>
                <w:rFonts w:hint="eastAsia" w:ascii="宋体" w:hAnsi="宋体" w:eastAsia="宋体" w:cs="宋体"/>
                <w:color w:val="auto"/>
                <w:sz w:val="21"/>
                <w:szCs w:val="21"/>
                <w:lang w:val="en-US" w:eastAsia="zh-CN"/>
              </w:rPr>
              <w:t>13879466693</w:t>
            </w:r>
          </w:p>
        </w:tc>
      </w:tr>
      <w:tr w14:paraId="36D287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260" w:type="pct"/>
            <w:shd w:val="clear" w:color="auto" w:fill="auto"/>
            <w:vAlign w:val="top"/>
          </w:tcPr>
          <w:p w14:paraId="4AE338E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eastAsiaTheme="minorEastAsia"/>
                <w:color w:val="auto"/>
                <w:sz w:val="21"/>
                <w:szCs w:val="21"/>
                <w:lang w:val="en-US" w:eastAsia="zh-CN" w:bidi="ar-SA"/>
              </w:rPr>
            </w:pPr>
            <w:r>
              <w:rPr>
                <w:rFonts w:hint="eastAsia" w:eastAsiaTheme="minorEastAsia"/>
                <w:color w:val="auto"/>
                <w:sz w:val="21"/>
                <w:szCs w:val="21"/>
                <w:lang w:val="en-US" w:eastAsia="zh-CN"/>
              </w:rPr>
              <w:t>2</w:t>
            </w:r>
          </w:p>
        </w:tc>
        <w:tc>
          <w:tcPr>
            <w:tcW w:w="614" w:type="pct"/>
            <w:shd w:val="clear" w:color="auto" w:fill="auto"/>
            <w:vAlign w:val="center"/>
          </w:tcPr>
          <w:p w14:paraId="6CF4CF59">
            <w:pPr>
              <w:pStyle w:val="42"/>
              <w:keepNext w:val="0"/>
              <w:keepLines w:val="0"/>
              <w:pageBreakBefore w:val="0"/>
              <w:widowControl w:val="0"/>
              <w:kinsoku/>
              <w:wordWrap/>
              <w:overflowPunct/>
              <w:topLinePunct w:val="0"/>
              <w:autoSpaceDE/>
              <w:autoSpaceDN/>
              <w:bidi w:val="0"/>
              <w:adjustRightInd/>
              <w:snapToGrid w:val="0"/>
              <w:spacing w:before="0" w:after="0"/>
              <w:ind w:firstLine="0" w:firstLineChars="0"/>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余健敏</w:t>
            </w:r>
          </w:p>
        </w:tc>
        <w:tc>
          <w:tcPr>
            <w:tcW w:w="1570" w:type="pct"/>
            <w:gridSpan w:val="2"/>
            <w:shd w:val="clear" w:color="auto" w:fill="FFFFFF"/>
            <w:vAlign w:val="center"/>
          </w:tcPr>
          <w:p w14:paraId="266C67A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eastAsiaTheme="minorEastAsia"/>
                <w:color w:val="auto"/>
                <w:sz w:val="21"/>
                <w:szCs w:val="21"/>
              </w:rPr>
            </w:pPr>
            <w:r>
              <w:rPr>
                <w:rFonts w:hint="eastAsia" w:eastAsiaTheme="minorEastAsia"/>
                <w:color w:val="auto"/>
                <w:sz w:val="21"/>
                <w:szCs w:val="21"/>
                <w:lang w:eastAsia="zh-CN"/>
              </w:rPr>
              <w:t>副</w:t>
            </w:r>
            <w:r>
              <w:rPr>
                <w:rFonts w:eastAsiaTheme="minorEastAsia"/>
                <w:color w:val="auto"/>
                <w:sz w:val="21"/>
                <w:szCs w:val="21"/>
              </w:rPr>
              <w:t>总指挥</w:t>
            </w:r>
          </w:p>
        </w:tc>
        <w:tc>
          <w:tcPr>
            <w:tcW w:w="1379" w:type="pct"/>
            <w:gridSpan w:val="2"/>
            <w:vAlign w:val="center"/>
          </w:tcPr>
          <w:p w14:paraId="7F9BA86A">
            <w:pPr>
              <w:pStyle w:val="42"/>
              <w:keepNext w:val="0"/>
              <w:keepLines w:val="0"/>
              <w:pageBreakBefore w:val="0"/>
              <w:widowControl w:val="0"/>
              <w:kinsoku/>
              <w:wordWrap/>
              <w:overflowPunct/>
              <w:topLinePunct w:val="0"/>
              <w:autoSpaceDE/>
              <w:autoSpaceDN/>
              <w:bidi w:val="0"/>
              <w:adjustRightInd/>
              <w:snapToGrid w:val="0"/>
              <w:spacing w:before="0" w:after="0"/>
              <w:ind w:firstLine="0" w:firstLineChars="0"/>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生产技术部长</w:t>
            </w:r>
          </w:p>
        </w:tc>
        <w:tc>
          <w:tcPr>
            <w:tcW w:w="1174" w:type="pct"/>
            <w:vAlign w:val="center"/>
          </w:tcPr>
          <w:p w14:paraId="2D07C5A8">
            <w:pPr>
              <w:pStyle w:val="42"/>
              <w:keepNext w:val="0"/>
              <w:keepLines w:val="0"/>
              <w:pageBreakBefore w:val="0"/>
              <w:widowControl w:val="0"/>
              <w:kinsoku/>
              <w:wordWrap/>
              <w:overflowPunct/>
              <w:topLinePunct w:val="0"/>
              <w:autoSpaceDE/>
              <w:autoSpaceDN/>
              <w:bidi w:val="0"/>
              <w:adjustRightInd/>
              <w:snapToGrid w:val="0"/>
              <w:spacing w:before="0" w:after="0"/>
              <w:ind w:firstLine="0" w:firstLineChars="0"/>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15216257357</w:t>
            </w:r>
          </w:p>
        </w:tc>
      </w:tr>
      <w:tr w14:paraId="28EE6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260" w:type="pct"/>
            <w:shd w:val="clear" w:color="auto" w:fill="auto"/>
            <w:vAlign w:val="top"/>
          </w:tcPr>
          <w:p w14:paraId="1DC5E66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eastAsiaTheme="minorEastAsia"/>
                <w:color w:val="auto"/>
                <w:sz w:val="21"/>
                <w:szCs w:val="21"/>
                <w:lang w:val="en-US" w:eastAsia="zh-CN" w:bidi="ar-SA"/>
              </w:rPr>
            </w:pPr>
            <w:r>
              <w:rPr>
                <w:rFonts w:hint="eastAsia" w:eastAsiaTheme="minorEastAsia"/>
                <w:color w:val="auto"/>
                <w:sz w:val="21"/>
                <w:szCs w:val="21"/>
                <w:lang w:val="en-US" w:eastAsia="zh-CN"/>
              </w:rPr>
              <w:t>3</w:t>
            </w:r>
          </w:p>
        </w:tc>
        <w:tc>
          <w:tcPr>
            <w:tcW w:w="614" w:type="pct"/>
            <w:shd w:val="clear" w:color="auto" w:fill="auto"/>
            <w:vAlign w:val="center"/>
          </w:tcPr>
          <w:p w14:paraId="0BBC1D3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Theme="minorEastAsia"/>
                <w:color w:val="auto"/>
                <w:sz w:val="21"/>
                <w:szCs w:val="21"/>
                <w:lang w:val="en-US" w:eastAsia="zh-CN"/>
              </w:rPr>
            </w:pPr>
            <w:r>
              <w:rPr>
                <w:rFonts w:hint="eastAsia" w:eastAsiaTheme="minorEastAsia"/>
                <w:color w:val="auto"/>
                <w:sz w:val="21"/>
                <w:szCs w:val="21"/>
                <w:lang w:val="en-US" w:eastAsia="zh-CN"/>
              </w:rPr>
              <w:t>李姝玉</w:t>
            </w:r>
          </w:p>
        </w:tc>
        <w:tc>
          <w:tcPr>
            <w:tcW w:w="1570" w:type="pct"/>
            <w:gridSpan w:val="2"/>
            <w:shd w:val="clear" w:color="auto" w:fill="FFFFFF"/>
            <w:vAlign w:val="center"/>
          </w:tcPr>
          <w:p w14:paraId="39D1B74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通讯联络组组长</w:t>
            </w:r>
          </w:p>
        </w:tc>
        <w:tc>
          <w:tcPr>
            <w:tcW w:w="1379" w:type="pct"/>
            <w:gridSpan w:val="2"/>
            <w:vAlign w:val="center"/>
          </w:tcPr>
          <w:p w14:paraId="48C601DB">
            <w:pPr>
              <w:pStyle w:val="42"/>
              <w:keepNext w:val="0"/>
              <w:keepLines w:val="0"/>
              <w:pageBreakBefore w:val="0"/>
              <w:widowControl w:val="0"/>
              <w:kinsoku/>
              <w:wordWrap/>
              <w:overflowPunct/>
              <w:topLinePunct w:val="0"/>
              <w:autoSpaceDE/>
              <w:autoSpaceDN/>
              <w:bidi w:val="0"/>
              <w:adjustRightInd/>
              <w:snapToGrid w:val="0"/>
              <w:spacing w:before="0" w:after="0"/>
              <w:ind w:firstLine="0" w:firstLineChars="0"/>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综合干事</w:t>
            </w:r>
          </w:p>
        </w:tc>
        <w:tc>
          <w:tcPr>
            <w:tcW w:w="1174" w:type="pct"/>
            <w:vAlign w:val="center"/>
          </w:tcPr>
          <w:p w14:paraId="47DF675D">
            <w:pPr>
              <w:pStyle w:val="42"/>
              <w:keepNext w:val="0"/>
              <w:keepLines w:val="0"/>
              <w:pageBreakBefore w:val="0"/>
              <w:widowControl w:val="0"/>
              <w:kinsoku/>
              <w:wordWrap/>
              <w:overflowPunct/>
              <w:topLinePunct w:val="0"/>
              <w:autoSpaceDE/>
              <w:autoSpaceDN/>
              <w:bidi w:val="0"/>
              <w:adjustRightInd/>
              <w:snapToGrid w:val="0"/>
              <w:spacing w:before="0" w:after="0"/>
              <w:ind w:firstLine="0" w:firstLineChars="0"/>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13320190031</w:t>
            </w:r>
          </w:p>
        </w:tc>
      </w:tr>
      <w:tr w14:paraId="30A94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260" w:type="pct"/>
            <w:shd w:val="clear" w:color="auto" w:fill="auto"/>
            <w:vAlign w:val="top"/>
          </w:tcPr>
          <w:p w14:paraId="1247B48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eastAsiaTheme="minorEastAsia"/>
                <w:color w:val="auto"/>
                <w:sz w:val="21"/>
                <w:szCs w:val="21"/>
                <w:lang w:val="en-US" w:eastAsia="zh-CN" w:bidi="ar-SA"/>
              </w:rPr>
            </w:pPr>
            <w:r>
              <w:rPr>
                <w:rFonts w:hint="eastAsia" w:eastAsiaTheme="minorEastAsia"/>
                <w:color w:val="auto"/>
                <w:sz w:val="21"/>
                <w:szCs w:val="21"/>
                <w:lang w:val="en-US" w:eastAsia="zh-CN"/>
              </w:rPr>
              <w:t>4</w:t>
            </w:r>
          </w:p>
        </w:tc>
        <w:tc>
          <w:tcPr>
            <w:tcW w:w="614" w:type="pct"/>
            <w:shd w:val="clear" w:color="auto" w:fill="auto"/>
            <w:vAlign w:val="center"/>
          </w:tcPr>
          <w:p w14:paraId="2DFF3AD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Theme="minorEastAsia"/>
                <w:color w:val="auto"/>
                <w:sz w:val="21"/>
                <w:szCs w:val="21"/>
                <w:lang w:val="en-US" w:eastAsia="zh-CN"/>
              </w:rPr>
            </w:pPr>
            <w:r>
              <w:rPr>
                <w:rFonts w:hint="eastAsia" w:eastAsiaTheme="minorEastAsia"/>
                <w:color w:val="auto"/>
                <w:sz w:val="21"/>
                <w:szCs w:val="21"/>
                <w:lang w:val="en-US" w:eastAsia="zh-CN"/>
              </w:rPr>
              <w:t>章 云</w:t>
            </w:r>
          </w:p>
        </w:tc>
        <w:tc>
          <w:tcPr>
            <w:tcW w:w="1570" w:type="pct"/>
            <w:gridSpan w:val="2"/>
            <w:shd w:val="clear" w:color="auto" w:fill="FFFFFF"/>
            <w:vAlign w:val="center"/>
          </w:tcPr>
          <w:p w14:paraId="34072B7C">
            <w:pPr>
              <w:pStyle w:val="42"/>
              <w:keepNext w:val="0"/>
              <w:keepLines w:val="0"/>
              <w:pageBreakBefore w:val="0"/>
              <w:widowControl w:val="0"/>
              <w:kinsoku/>
              <w:wordWrap/>
              <w:overflowPunct/>
              <w:topLinePunct w:val="0"/>
              <w:autoSpaceDE/>
              <w:autoSpaceDN/>
              <w:bidi w:val="0"/>
              <w:adjustRightInd/>
              <w:snapToGrid w:val="0"/>
              <w:spacing w:before="0" w:after="0"/>
              <w:ind w:firstLine="0" w:firstLineChars="0"/>
              <w:textAlignment w:val="auto"/>
              <w:rPr>
                <w:rFonts w:ascii="Times New Roman" w:hAnsi="Times New Roman" w:eastAsia="宋体" w:cs="Times New Roman"/>
                <w:color w:val="auto"/>
                <w:sz w:val="21"/>
                <w:szCs w:val="21"/>
                <w:lang w:val="en-US" w:eastAsia="zh-CN" w:bidi="ar-SA"/>
              </w:rPr>
            </w:pPr>
            <w:r>
              <w:rPr>
                <w:rFonts w:hint="eastAsia"/>
                <w:color w:val="auto"/>
                <w:sz w:val="21"/>
                <w:szCs w:val="21"/>
              </w:rPr>
              <w:t>应急监测组</w:t>
            </w:r>
            <w:r>
              <w:rPr>
                <w:rFonts w:eastAsiaTheme="minorEastAsia"/>
                <w:color w:val="auto"/>
                <w:sz w:val="21"/>
                <w:szCs w:val="21"/>
              </w:rPr>
              <w:t>组长</w:t>
            </w:r>
          </w:p>
        </w:tc>
        <w:tc>
          <w:tcPr>
            <w:tcW w:w="1379" w:type="pct"/>
            <w:gridSpan w:val="2"/>
            <w:vAlign w:val="center"/>
          </w:tcPr>
          <w:p w14:paraId="1D427498">
            <w:pPr>
              <w:pStyle w:val="42"/>
              <w:keepNext w:val="0"/>
              <w:keepLines w:val="0"/>
              <w:pageBreakBefore w:val="0"/>
              <w:widowControl w:val="0"/>
              <w:kinsoku/>
              <w:wordWrap/>
              <w:overflowPunct/>
              <w:topLinePunct w:val="0"/>
              <w:autoSpaceDE/>
              <w:autoSpaceDN/>
              <w:bidi w:val="0"/>
              <w:adjustRightInd/>
              <w:snapToGrid w:val="0"/>
              <w:spacing w:before="0" w:after="0"/>
              <w:ind w:firstLine="0" w:firstLineChars="0"/>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脱泥班长</w:t>
            </w:r>
          </w:p>
        </w:tc>
        <w:tc>
          <w:tcPr>
            <w:tcW w:w="1174" w:type="pct"/>
            <w:vAlign w:val="center"/>
          </w:tcPr>
          <w:p w14:paraId="42D40111">
            <w:pPr>
              <w:pStyle w:val="42"/>
              <w:keepNext w:val="0"/>
              <w:keepLines w:val="0"/>
              <w:pageBreakBefore w:val="0"/>
              <w:widowControl w:val="0"/>
              <w:kinsoku/>
              <w:wordWrap/>
              <w:overflowPunct/>
              <w:topLinePunct w:val="0"/>
              <w:autoSpaceDE/>
              <w:autoSpaceDN/>
              <w:bidi w:val="0"/>
              <w:adjustRightInd/>
              <w:snapToGrid w:val="0"/>
              <w:spacing w:before="0" w:after="0"/>
              <w:ind w:firstLine="0" w:firstLineChars="0"/>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18296983033</w:t>
            </w:r>
          </w:p>
        </w:tc>
      </w:tr>
      <w:tr w14:paraId="105336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260" w:type="pct"/>
            <w:vAlign w:val="top"/>
          </w:tcPr>
          <w:p w14:paraId="77DF20C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eastAsiaTheme="minorEastAsia"/>
                <w:color w:val="auto"/>
                <w:sz w:val="21"/>
                <w:szCs w:val="21"/>
                <w:lang w:val="en-US" w:eastAsia="zh-CN" w:bidi="ar-SA"/>
              </w:rPr>
            </w:pPr>
            <w:r>
              <w:rPr>
                <w:rFonts w:hint="eastAsia" w:eastAsiaTheme="minorEastAsia"/>
                <w:color w:val="auto"/>
                <w:sz w:val="21"/>
                <w:szCs w:val="21"/>
                <w:lang w:val="en-US" w:eastAsia="zh-CN"/>
              </w:rPr>
              <w:t>5</w:t>
            </w:r>
          </w:p>
        </w:tc>
        <w:tc>
          <w:tcPr>
            <w:tcW w:w="614" w:type="pct"/>
            <w:vAlign w:val="center"/>
          </w:tcPr>
          <w:p w14:paraId="6500359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Theme="minorEastAsia"/>
                <w:color w:val="auto"/>
                <w:sz w:val="21"/>
                <w:szCs w:val="21"/>
                <w:lang w:val="en-US" w:eastAsia="zh-CN"/>
              </w:rPr>
            </w:pPr>
            <w:r>
              <w:rPr>
                <w:rFonts w:hint="eastAsia" w:eastAsiaTheme="minorEastAsia"/>
                <w:color w:val="auto"/>
                <w:sz w:val="21"/>
                <w:szCs w:val="21"/>
                <w:lang w:val="en-US" w:eastAsia="zh-CN"/>
              </w:rPr>
              <w:t>王一夫</w:t>
            </w:r>
          </w:p>
        </w:tc>
        <w:tc>
          <w:tcPr>
            <w:tcW w:w="1570" w:type="pct"/>
            <w:gridSpan w:val="2"/>
            <w:vAlign w:val="center"/>
          </w:tcPr>
          <w:p w14:paraId="197D268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抢险救灾组组长</w:t>
            </w:r>
          </w:p>
        </w:tc>
        <w:tc>
          <w:tcPr>
            <w:tcW w:w="1379" w:type="pct"/>
            <w:gridSpan w:val="2"/>
            <w:vAlign w:val="center"/>
          </w:tcPr>
          <w:p w14:paraId="51C87B73">
            <w:pPr>
              <w:pStyle w:val="42"/>
              <w:keepNext w:val="0"/>
              <w:keepLines w:val="0"/>
              <w:pageBreakBefore w:val="0"/>
              <w:widowControl w:val="0"/>
              <w:kinsoku/>
              <w:wordWrap/>
              <w:overflowPunct/>
              <w:topLinePunct w:val="0"/>
              <w:autoSpaceDE/>
              <w:autoSpaceDN/>
              <w:bidi w:val="0"/>
              <w:adjustRightInd/>
              <w:snapToGrid w:val="0"/>
              <w:spacing w:before="0" w:after="0"/>
              <w:ind w:firstLine="0" w:firstLineChars="0"/>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机修班长</w:t>
            </w:r>
          </w:p>
        </w:tc>
        <w:tc>
          <w:tcPr>
            <w:tcW w:w="1174" w:type="pct"/>
            <w:vAlign w:val="center"/>
          </w:tcPr>
          <w:p w14:paraId="437761C6">
            <w:pPr>
              <w:pStyle w:val="42"/>
              <w:keepNext w:val="0"/>
              <w:keepLines w:val="0"/>
              <w:pageBreakBefore w:val="0"/>
              <w:widowControl w:val="0"/>
              <w:kinsoku/>
              <w:wordWrap/>
              <w:overflowPunct/>
              <w:topLinePunct w:val="0"/>
              <w:autoSpaceDE/>
              <w:autoSpaceDN/>
              <w:bidi w:val="0"/>
              <w:adjustRightInd/>
              <w:snapToGrid w:val="0"/>
              <w:spacing w:before="0" w:after="0"/>
              <w:ind w:firstLine="0" w:firstLineChars="0"/>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15279411941</w:t>
            </w:r>
          </w:p>
        </w:tc>
      </w:tr>
      <w:tr w14:paraId="34C7C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260" w:type="pct"/>
            <w:vAlign w:val="top"/>
          </w:tcPr>
          <w:p w14:paraId="705FDA4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eastAsiaTheme="minorEastAsia"/>
                <w:color w:val="auto"/>
                <w:sz w:val="21"/>
                <w:szCs w:val="21"/>
                <w:lang w:val="en-US" w:eastAsia="zh-CN" w:bidi="ar-SA"/>
              </w:rPr>
            </w:pPr>
            <w:r>
              <w:rPr>
                <w:rFonts w:hint="eastAsia" w:eastAsiaTheme="minorEastAsia"/>
                <w:color w:val="auto"/>
                <w:sz w:val="21"/>
                <w:szCs w:val="21"/>
                <w:lang w:val="en-US" w:eastAsia="zh-CN"/>
              </w:rPr>
              <w:t>6</w:t>
            </w:r>
          </w:p>
        </w:tc>
        <w:tc>
          <w:tcPr>
            <w:tcW w:w="614" w:type="pct"/>
            <w:vAlign w:val="center"/>
          </w:tcPr>
          <w:p w14:paraId="35FEA62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Theme="minorEastAsia"/>
                <w:color w:val="auto"/>
                <w:sz w:val="21"/>
                <w:szCs w:val="21"/>
                <w:lang w:val="en-US" w:eastAsia="zh-CN"/>
              </w:rPr>
            </w:pPr>
            <w:r>
              <w:rPr>
                <w:rFonts w:hint="eastAsia" w:eastAsiaTheme="minorEastAsia"/>
                <w:color w:val="auto"/>
                <w:sz w:val="21"/>
                <w:szCs w:val="21"/>
                <w:lang w:val="en-US" w:eastAsia="zh-CN"/>
              </w:rPr>
              <w:t>付文燕</w:t>
            </w:r>
          </w:p>
        </w:tc>
        <w:tc>
          <w:tcPr>
            <w:tcW w:w="1570" w:type="pct"/>
            <w:gridSpan w:val="2"/>
            <w:vAlign w:val="center"/>
          </w:tcPr>
          <w:p w14:paraId="1D89E7E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医疗救护组组长</w:t>
            </w:r>
          </w:p>
        </w:tc>
        <w:tc>
          <w:tcPr>
            <w:tcW w:w="1379" w:type="pct"/>
            <w:gridSpan w:val="2"/>
            <w:vAlign w:val="center"/>
          </w:tcPr>
          <w:p w14:paraId="62AF025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Theme="minorEastAsia"/>
                <w:color w:val="auto"/>
                <w:sz w:val="21"/>
                <w:szCs w:val="21"/>
                <w:lang w:val="en-US" w:eastAsia="zh-CN"/>
              </w:rPr>
            </w:pPr>
            <w:r>
              <w:rPr>
                <w:rFonts w:hint="eastAsia" w:eastAsiaTheme="minorEastAsia"/>
                <w:color w:val="auto"/>
                <w:sz w:val="21"/>
                <w:szCs w:val="21"/>
                <w:lang w:val="en-US" w:eastAsia="zh-CN"/>
              </w:rPr>
              <w:t>运行班长</w:t>
            </w:r>
          </w:p>
        </w:tc>
        <w:tc>
          <w:tcPr>
            <w:tcW w:w="1174" w:type="pct"/>
            <w:vAlign w:val="center"/>
          </w:tcPr>
          <w:p w14:paraId="663830F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15107046060</w:t>
            </w:r>
          </w:p>
        </w:tc>
      </w:tr>
      <w:tr w14:paraId="6C639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260" w:type="pct"/>
            <w:vAlign w:val="top"/>
          </w:tcPr>
          <w:p w14:paraId="0603BDC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eastAsiaTheme="minorEastAsia"/>
                <w:color w:val="auto"/>
                <w:sz w:val="21"/>
                <w:szCs w:val="21"/>
                <w:lang w:val="en-US" w:eastAsia="zh-CN" w:bidi="ar-SA"/>
              </w:rPr>
            </w:pPr>
            <w:r>
              <w:rPr>
                <w:rFonts w:hint="eastAsia" w:eastAsiaTheme="minorEastAsia"/>
                <w:color w:val="auto"/>
                <w:sz w:val="21"/>
                <w:szCs w:val="21"/>
                <w:lang w:val="en-US" w:eastAsia="zh-CN"/>
              </w:rPr>
              <w:t>7</w:t>
            </w:r>
          </w:p>
        </w:tc>
        <w:tc>
          <w:tcPr>
            <w:tcW w:w="614" w:type="pct"/>
            <w:vAlign w:val="center"/>
          </w:tcPr>
          <w:p w14:paraId="4ECDCC8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Theme="minorEastAsia"/>
                <w:color w:val="auto"/>
                <w:sz w:val="21"/>
                <w:szCs w:val="21"/>
                <w:lang w:val="en-US" w:eastAsia="zh-CN"/>
              </w:rPr>
            </w:pPr>
            <w:r>
              <w:rPr>
                <w:rFonts w:hint="eastAsia" w:eastAsiaTheme="minorEastAsia"/>
                <w:color w:val="auto"/>
                <w:sz w:val="21"/>
                <w:szCs w:val="21"/>
                <w:lang w:val="en-US" w:eastAsia="zh-CN"/>
              </w:rPr>
              <w:t>吴 波</w:t>
            </w:r>
          </w:p>
        </w:tc>
        <w:tc>
          <w:tcPr>
            <w:tcW w:w="1570" w:type="pct"/>
            <w:gridSpan w:val="2"/>
            <w:vAlign w:val="center"/>
          </w:tcPr>
          <w:p w14:paraId="182189F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后勤保障组组长</w:t>
            </w:r>
          </w:p>
        </w:tc>
        <w:tc>
          <w:tcPr>
            <w:tcW w:w="1379" w:type="pct"/>
            <w:gridSpan w:val="2"/>
            <w:vAlign w:val="center"/>
          </w:tcPr>
          <w:p w14:paraId="725A7BD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Theme="minorEastAsia"/>
                <w:color w:val="auto"/>
                <w:sz w:val="21"/>
                <w:szCs w:val="21"/>
                <w:lang w:val="en-US" w:eastAsia="zh-CN"/>
              </w:rPr>
            </w:pPr>
            <w:r>
              <w:rPr>
                <w:rFonts w:hint="eastAsia" w:eastAsiaTheme="minorEastAsia"/>
                <w:color w:val="auto"/>
                <w:sz w:val="21"/>
                <w:szCs w:val="21"/>
                <w:lang w:val="en-US" w:eastAsia="zh-CN"/>
              </w:rPr>
              <w:t>综合管理部长</w:t>
            </w:r>
          </w:p>
        </w:tc>
        <w:tc>
          <w:tcPr>
            <w:tcW w:w="1174" w:type="pct"/>
            <w:vAlign w:val="center"/>
          </w:tcPr>
          <w:p w14:paraId="310A07D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18979465899</w:t>
            </w:r>
          </w:p>
        </w:tc>
      </w:tr>
      <w:tr w14:paraId="27A453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260" w:type="pct"/>
          </w:tcPr>
          <w:p w14:paraId="629346D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Theme="minorEastAsia"/>
                <w:color w:val="auto"/>
                <w:sz w:val="21"/>
                <w:szCs w:val="21"/>
                <w:lang w:val="en-US" w:eastAsia="zh-CN"/>
              </w:rPr>
            </w:pPr>
            <w:r>
              <w:rPr>
                <w:rFonts w:hint="eastAsia" w:eastAsiaTheme="minorEastAsia"/>
                <w:color w:val="auto"/>
                <w:sz w:val="21"/>
                <w:szCs w:val="21"/>
                <w:lang w:val="en-US" w:eastAsia="zh-CN"/>
              </w:rPr>
              <w:t>8</w:t>
            </w:r>
          </w:p>
        </w:tc>
        <w:tc>
          <w:tcPr>
            <w:tcW w:w="614" w:type="pct"/>
            <w:vAlign w:val="center"/>
          </w:tcPr>
          <w:p w14:paraId="66E0D5A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Theme="minorEastAsia"/>
                <w:color w:val="auto"/>
                <w:sz w:val="21"/>
                <w:szCs w:val="21"/>
                <w:lang w:val="en-US" w:eastAsia="zh-CN"/>
              </w:rPr>
            </w:pPr>
            <w:r>
              <w:rPr>
                <w:rFonts w:hint="eastAsia" w:eastAsiaTheme="minorEastAsia"/>
                <w:color w:val="auto"/>
                <w:sz w:val="21"/>
                <w:szCs w:val="21"/>
                <w:lang w:val="en-US" w:eastAsia="zh-CN"/>
              </w:rPr>
              <w:t>连 鹤</w:t>
            </w:r>
          </w:p>
        </w:tc>
        <w:tc>
          <w:tcPr>
            <w:tcW w:w="1570" w:type="pct"/>
            <w:gridSpan w:val="2"/>
            <w:vAlign w:val="center"/>
          </w:tcPr>
          <w:p w14:paraId="7716EE0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eastAsiaTheme="minorEastAsia"/>
                <w:color w:val="auto"/>
                <w:sz w:val="21"/>
                <w:szCs w:val="21"/>
              </w:rPr>
            </w:pPr>
            <w:r>
              <w:rPr>
                <w:rFonts w:hint="eastAsia" w:eastAsiaTheme="minorEastAsia"/>
                <w:color w:val="auto"/>
                <w:sz w:val="21"/>
                <w:szCs w:val="21"/>
                <w:lang w:eastAsia="zh-CN"/>
              </w:rPr>
              <w:t>治安警戒</w:t>
            </w:r>
            <w:r>
              <w:rPr>
                <w:rFonts w:eastAsiaTheme="minorEastAsia"/>
                <w:color w:val="auto"/>
                <w:sz w:val="21"/>
                <w:szCs w:val="21"/>
              </w:rPr>
              <w:t>组组长</w:t>
            </w:r>
          </w:p>
        </w:tc>
        <w:tc>
          <w:tcPr>
            <w:tcW w:w="1379" w:type="pct"/>
            <w:gridSpan w:val="2"/>
            <w:vAlign w:val="center"/>
          </w:tcPr>
          <w:p w14:paraId="015AC34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Theme="minorEastAsia"/>
                <w:color w:val="auto"/>
                <w:sz w:val="21"/>
                <w:szCs w:val="21"/>
                <w:lang w:val="en-US" w:eastAsia="zh-CN"/>
              </w:rPr>
            </w:pPr>
            <w:r>
              <w:rPr>
                <w:rFonts w:hint="eastAsia" w:eastAsiaTheme="minorEastAsia"/>
                <w:color w:val="auto"/>
                <w:sz w:val="21"/>
                <w:szCs w:val="21"/>
                <w:lang w:val="en-US" w:eastAsia="zh-CN"/>
              </w:rPr>
              <w:t>机修员</w:t>
            </w:r>
          </w:p>
        </w:tc>
        <w:tc>
          <w:tcPr>
            <w:tcW w:w="1174" w:type="pct"/>
            <w:vAlign w:val="center"/>
          </w:tcPr>
          <w:p w14:paraId="24BCBD4D">
            <w:pPr>
              <w:keepNext w:val="0"/>
              <w:keepLines w:val="0"/>
              <w:pageBreakBefore w:val="0"/>
              <w:widowControl w:val="0"/>
              <w:tabs>
                <w:tab w:val="left" w:pos="313"/>
              </w:tabs>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17681634308</w:t>
            </w:r>
          </w:p>
        </w:tc>
      </w:tr>
      <w:tr w14:paraId="1977B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4" w:type="pct"/>
            <w:gridSpan w:val="2"/>
            <w:vAlign w:val="center"/>
          </w:tcPr>
          <w:p w14:paraId="73167F4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小组</w:t>
            </w:r>
          </w:p>
        </w:tc>
        <w:tc>
          <w:tcPr>
            <w:tcW w:w="726" w:type="pct"/>
            <w:vAlign w:val="center"/>
          </w:tcPr>
          <w:p w14:paraId="5D0ADB7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姓名</w:t>
            </w:r>
          </w:p>
        </w:tc>
        <w:tc>
          <w:tcPr>
            <w:tcW w:w="1277" w:type="pct"/>
            <w:gridSpan w:val="2"/>
            <w:vAlign w:val="center"/>
          </w:tcPr>
          <w:p w14:paraId="5733B84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部门或</w:t>
            </w:r>
            <w:r>
              <w:rPr>
                <w:rFonts w:hint="eastAsia" w:eastAsiaTheme="minorEastAsia"/>
                <w:color w:val="auto"/>
                <w:sz w:val="21"/>
                <w:szCs w:val="21"/>
                <w:lang w:val="en-US" w:eastAsia="zh-CN"/>
              </w:rPr>
              <w:t>厂内</w:t>
            </w:r>
            <w:r>
              <w:rPr>
                <w:rFonts w:eastAsiaTheme="minorEastAsia"/>
                <w:color w:val="auto"/>
                <w:sz w:val="21"/>
                <w:szCs w:val="21"/>
              </w:rPr>
              <w:t>职务</w:t>
            </w:r>
          </w:p>
        </w:tc>
        <w:tc>
          <w:tcPr>
            <w:tcW w:w="946" w:type="pct"/>
            <w:vAlign w:val="center"/>
          </w:tcPr>
          <w:p w14:paraId="2940298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eastAsiaTheme="minorEastAsia"/>
                <w:color w:val="auto"/>
                <w:sz w:val="21"/>
                <w:szCs w:val="21"/>
              </w:rPr>
            </w:pPr>
            <w:r>
              <w:rPr>
                <w:rFonts w:hint="eastAsia" w:eastAsiaTheme="minorEastAsia"/>
                <w:color w:val="auto"/>
                <w:sz w:val="21"/>
                <w:szCs w:val="21"/>
                <w:lang w:val="en-US" w:eastAsia="zh-CN"/>
              </w:rPr>
              <w:t>小组</w:t>
            </w:r>
            <w:r>
              <w:rPr>
                <w:rFonts w:eastAsiaTheme="minorEastAsia"/>
                <w:color w:val="auto"/>
                <w:sz w:val="21"/>
                <w:szCs w:val="21"/>
              </w:rPr>
              <w:t>职务</w:t>
            </w:r>
          </w:p>
        </w:tc>
        <w:tc>
          <w:tcPr>
            <w:tcW w:w="1174" w:type="pct"/>
            <w:vAlign w:val="center"/>
          </w:tcPr>
          <w:p w14:paraId="1877A0A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手机</w:t>
            </w:r>
          </w:p>
        </w:tc>
      </w:tr>
      <w:tr w14:paraId="161DF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4" w:type="pct"/>
            <w:gridSpan w:val="2"/>
            <w:vAlign w:val="center"/>
          </w:tcPr>
          <w:p w14:paraId="7F9BFAB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抢险救灾小组</w:t>
            </w:r>
          </w:p>
        </w:tc>
        <w:tc>
          <w:tcPr>
            <w:tcW w:w="726" w:type="pct"/>
            <w:vAlign w:val="center"/>
          </w:tcPr>
          <w:p w14:paraId="20B358A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Theme="minorEastAsia"/>
                <w:color w:val="auto"/>
                <w:sz w:val="21"/>
                <w:szCs w:val="21"/>
                <w:lang w:val="en-US" w:eastAsia="zh-CN"/>
              </w:rPr>
            </w:pPr>
            <w:r>
              <w:rPr>
                <w:rFonts w:hint="eastAsia" w:eastAsiaTheme="minorEastAsia"/>
                <w:color w:val="auto"/>
                <w:sz w:val="21"/>
                <w:szCs w:val="21"/>
                <w:lang w:val="en-US" w:eastAsia="zh-CN"/>
              </w:rPr>
              <w:t>胡伟</w:t>
            </w:r>
          </w:p>
        </w:tc>
        <w:tc>
          <w:tcPr>
            <w:tcW w:w="1277" w:type="pct"/>
            <w:gridSpan w:val="2"/>
            <w:vAlign w:val="center"/>
          </w:tcPr>
          <w:p w14:paraId="3BB73EB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Theme="minorEastAsia"/>
                <w:color w:val="auto"/>
                <w:sz w:val="21"/>
                <w:szCs w:val="21"/>
                <w:lang w:val="en-US" w:eastAsia="zh-CN"/>
              </w:rPr>
            </w:pPr>
            <w:r>
              <w:rPr>
                <w:rFonts w:hint="eastAsia" w:eastAsiaTheme="minorEastAsia"/>
                <w:color w:val="auto"/>
                <w:sz w:val="21"/>
                <w:szCs w:val="21"/>
                <w:lang w:val="en-US" w:eastAsia="zh-CN"/>
              </w:rPr>
              <w:t>机修员</w:t>
            </w:r>
          </w:p>
        </w:tc>
        <w:tc>
          <w:tcPr>
            <w:tcW w:w="946" w:type="pct"/>
            <w:vAlign w:val="center"/>
          </w:tcPr>
          <w:p w14:paraId="3E74179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color w:val="auto"/>
                <w:sz w:val="21"/>
                <w:szCs w:val="21"/>
                <w:lang w:eastAsia="zh-CN"/>
              </w:rPr>
            </w:pPr>
            <w:r>
              <w:rPr>
                <w:rFonts w:hint="eastAsia" w:eastAsiaTheme="minorEastAsia"/>
                <w:color w:val="auto"/>
                <w:sz w:val="21"/>
                <w:szCs w:val="21"/>
                <w:lang w:eastAsia="zh-CN"/>
              </w:rPr>
              <w:t>成员</w:t>
            </w:r>
          </w:p>
        </w:tc>
        <w:tc>
          <w:tcPr>
            <w:tcW w:w="1174" w:type="pct"/>
            <w:vAlign w:val="center"/>
          </w:tcPr>
          <w:p w14:paraId="246B8FB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18979465599</w:t>
            </w:r>
          </w:p>
        </w:tc>
      </w:tr>
      <w:tr w14:paraId="15635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4" w:type="pct"/>
            <w:gridSpan w:val="2"/>
            <w:vAlign w:val="center"/>
          </w:tcPr>
          <w:p w14:paraId="2CDB1A2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eastAsiaTheme="minorEastAsia"/>
                <w:color w:val="auto"/>
                <w:sz w:val="21"/>
                <w:szCs w:val="21"/>
              </w:rPr>
            </w:pPr>
            <w:r>
              <w:rPr>
                <w:rFonts w:hint="eastAsia"/>
                <w:color w:val="auto"/>
                <w:sz w:val="21"/>
                <w:szCs w:val="21"/>
              </w:rPr>
              <w:t>应急监测组</w:t>
            </w:r>
          </w:p>
        </w:tc>
        <w:tc>
          <w:tcPr>
            <w:tcW w:w="726" w:type="pct"/>
            <w:vAlign w:val="center"/>
          </w:tcPr>
          <w:p w14:paraId="36C3C8A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Theme="minorEastAsia"/>
                <w:color w:val="auto"/>
                <w:sz w:val="21"/>
                <w:szCs w:val="21"/>
                <w:lang w:val="en-US" w:eastAsia="zh-CN"/>
              </w:rPr>
            </w:pPr>
            <w:r>
              <w:rPr>
                <w:rFonts w:hint="eastAsia" w:eastAsiaTheme="minorEastAsia"/>
                <w:color w:val="auto"/>
                <w:sz w:val="21"/>
                <w:szCs w:val="21"/>
                <w:lang w:val="en-US" w:eastAsia="zh-CN"/>
              </w:rPr>
              <w:t>米吉贵</w:t>
            </w:r>
          </w:p>
        </w:tc>
        <w:tc>
          <w:tcPr>
            <w:tcW w:w="1277" w:type="pct"/>
            <w:gridSpan w:val="2"/>
            <w:vAlign w:val="center"/>
          </w:tcPr>
          <w:p w14:paraId="53CDE25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bidi="ar-SA"/>
              </w:rPr>
            </w:pPr>
            <w:r>
              <w:rPr>
                <w:rFonts w:hint="eastAsia" w:cs="Times New Roman" w:eastAsiaTheme="minorEastAsia"/>
                <w:color w:val="auto"/>
                <w:sz w:val="21"/>
                <w:szCs w:val="21"/>
                <w:lang w:val="en-US" w:eastAsia="zh-CN" w:bidi="ar-SA"/>
              </w:rPr>
              <w:t>生产干事</w:t>
            </w:r>
          </w:p>
        </w:tc>
        <w:tc>
          <w:tcPr>
            <w:tcW w:w="946" w:type="pct"/>
            <w:vAlign w:val="center"/>
          </w:tcPr>
          <w:p w14:paraId="751A1C1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eastAsiaTheme="minorEastAsia"/>
                <w:color w:val="auto"/>
                <w:sz w:val="21"/>
                <w:szCs w:val="21"/>
              </w:rPr>
            </w:pPr>
            <w:r>
              <w:rPr>
                <w:rFonts w:hint="eastAsia" w:eastAsiaTheme="minorEastAsia"/>
                <w:color w:val="auto"/>
                <w:sz w:val="21"/>
                <w:szCs w:val="21"/>
                <w:lang w:eastAsia="zh-CN"/>
              </w:rPr>
              <w:t>成员</w:t>
            </w:r>
          </w:p>
        </w:tc>
        <w:tc>
          <w:tcPr>
            <w:tcW w:w="1174" w:type="pct"/>
            <w:vAlign w:val="center"/>
          </w:tcPr>
          <w:p w14:paraId="1F4A0D9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13155893223</w:t>
            </w:r>
          </w:p>
        </w:tc>
      </w:tr>
      <w:tr w14:paraId="49953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4" w:type="pct"/>
            <w:gridSpan w:val="2"/>
            <w:vAlign w:val="center"/>
          </w:tcPr>
          <w:p w14:paraId="4E9D1D1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通讯联络小组</w:t>
            </w:r>
          </w:p>
        </w:tc>
        <w:tc>
          <w:tcPr>
            <w:tcW w:w="726" w:type="pct"/>
            <w:vAlign w:val="center"/>
          </w:tcPr>
          <w:p w14:paraId="2C408C5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Theme="minorEastAsia"/>
                <w:color w:val="auto"/>
                <w:sz w:val="21"/>
                <w:szCs w:val="21"/>
                <w:lang w:val="en-US" w:eastAsia="zh-CN"/>
              </w:rPr>
            </w:pPr>
            <w:r>
              <w:rPr>
                <w:rFonts w:hint="eastAsia" w:eastAsiaTheme="minorEastAsia"/>
                <w:color w:val="auto"/>
                <w:sz w:val="21"/>
                <w:szCs w:val="21"/>
                <w:lang w:val="en-US" w:eastAsia="zh-CN"/>
              </w:rPr>
              <w:t>胡蕾</w:t>
            </w:r>
          </w:p>
        </w:tc>
        <w:tc>
          <w:tcPr>
            <w:tcW w:w="1277" w:type="pct"/>
            <w:gridSpan w:val="2"/>
            <w:vAlign w:val="center"/>
          </w:tcPr>
          <w:p w14:paraId="693067D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Theme="minorEastAsia"/>
                <w:color w:val="auto"/>
                <w:sz w:val="21"/>
                <w:szCs w:val="21"/>
                <w:lang w:val="en-US" w:eastAsia="zh-CN"/>
              </w:rPr>
            </w:pPr>
            <w:r>
              <w:rPr>
                <w:rFonts w:hint="eastAsia" w:eastAsiaTheme="minorEastAsia"/>
                <w:color w:val="auto"/>
                <w:sz w:val="21"/>
                <w:szCs w:val="21"/>
                <w:lang w:val="en-US" w:eastAsia="zh-CN"/>
              </w:rPr>
              <w:t>化验员</w:t>
            </w:r>
          </w:p>
        </w:tc>
        <w:tc>
          <w:tcPr>
            <w:tcW w:w="946" w:type="pct"/>
            <w:vAlign w:val="center"/>
          </w:tcPr>
          <w:p w14:paraId="1075A65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eastAsiaTheme="minorEastAsia"/>
                <w:color w:val="auto"/>
                <w:sz w:val="21"/>
                <w:szCs w:val="21"/>
              </w:rPr>
            </w:pPr>
            <w:r>
              <w:rPr>
                <w:rFonts w:hint="eastAsia" w:eastAsiaTheme="minorEastAsia"/>
                <w:color w:val="auto"/>
                <w:sz w:val="21"/>
                <w:szCs w:val="21"/>
                <w:lang w:eastAsia="zh-CN"/>
              </w:rPr>
              <w:t>成员</w:t>
            </w:r>
          </w:p>
        </w:tc>
        <w:tc>
          <w:tcPr>
            <w:tcW w:w="1174" w:type="pct"/>
            <w:vAlign w:val="center"/>
          </w:tcPr>
          <w:p w14:paraId="043FBB0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15270369970</w:t>
            </w:r>
          </w:p>
        </w:tc>
      </w:tr>
      <w:tr w14:paraId="2109A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4" w:type="pct"/>
            <w:gridSpan w:val="2"/>
            <w:vAlign w:val="center"/>
          </w:tcPr>
          <w:p w14:paraId="56096D6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后勤保障小组</w:t>
            </w:r>
          </w:p>
        </w:tc>
        <w:tc>
          <w:tcPr>
            <w:tcW w:w="726" w:type="pct"/>
            <w:vAlign w:val="center"/>
          </w:tcPr>
          <w:p w14:paraId="607DFA4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Theme="minorEastAsia"/>
                <w:color w:val="auto"/>
                <w:sz w:val="21"/>
                <w:szCs w:val="21"/>
                <w:lang w:val="en-US" w:eastAsia="zh-CN"/>
              </w:rPr>
            </w:pPr>
            <w:r>
              <w:rPr>
                <w:rFonts w:hint="eastAsia" w:eastAsiaTheme="minorEastAsia"/>
                <w:color w:val="auto"/>
                <w:sz w:val="21"/>
                <w:szCs w:val="21"/>
                <w:lang w:val="en-US" w:eastAsia="zh-CN"/>
              </w:rPr>
              <w:t>李龙鹏辉</w:t>
            </w:r>
          </w:p>
        </w:tc>
        <w:tc>
          <w:tcPr>
            <w:tcW w:w="1277" w:type="pct"/>
            <w:gridSpan w:val="2"/>
            <w:vAlign w:val="center"/>
          </w:tcPr>
          <w:p w14:paraId="4C9D60E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Theme="minorEastAsia"/>
                <w:color w:val="auto"/>
                <w:sz w:val="21"/>
                <w:szCs w:val="21"/>
                <w:lang w:val="en-US" w:eastAsia="zh-CN"/>
              </w:rPr>
            </w:pPr>
            <w:r>
              <w:rPr>
                <w:rFonts w:hint="eastAsia" w:eastAsiaTheme="minorEastAsia"/>
                <w:color w:val="auto"/>
                <w:sz w:val="21"/>
                <w:szCs w:val="21"/>
                <w:lang w:val="en-US" w:eastAsia="zh-CN"/>
              </w:rPr>
              <w:t>化验员</w:t>
            </w:r>
          </w:p>
        </w:tc>
        <w:tc>
          <w:tcPr>
            <w:tcW w:w="946" w:type="pct"/>
            <w:vAlign w:val="center"/>
          </w:tcPr>
          <w:p w14:paraId="338AA22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eastAsiaTheme="minorEastAsia"/>
                <w:color w:val="auto"/>
                <w:sz w:val="21"/>
                <w:szCs w:val="21"/>
              </w:rPr>
            </w:pPr>
            <w:r>
              <w:rPr>
                <w:rFonts w:hint="eastAsia" w:eastAsiaTheme="minorEastAsia"/>
                <w:color w:val="auto"/>
                <w:sz w:val="21"/>
                <w:szCs w:val="21"/>
                <w:lang w:eastAsia="zh-CN"/>
              </w:rPr>
              <w:t>成员</w:t>
            </w:r>
          </w:p>
        </w:tc>
        <w:tc>
          <w:tcPr>
            <w:tcW w:w="1174" w:type="pct"/>
            <w:vAlign w:val="center"/>
          </w:tcPr>
          <w:p w14:paraId="43A2B8D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18979475946</w:t>
            </w:r>
          </w:p>
        </w:tc>
      </w:tr>
      <w:tr w14:paraId="75B05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4" w:type="pct"/>
            <w:gridSpan w:val="2"/>
            <w:vAlign w:val="center"/>
          </w:tcPr>
          <w:p w14:paraId="0021C31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医疗救护小组</w:t>
            </w:r>
          </w:p>
        </w:tc>
        <w:tc>
          <w:tcPr>
            <w:tcW w:w="726" w:type="pct"/>
            <w:vAlign w:val="center"/>
          </w:tcPr>
          <w:p w14:paraId="1481E7A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Theme="minorEastAsia"/>
                <w:color w:val="auto"/>
                <w:sz w:val="21"/>
                <w:szCs w:val="21"/>
                <w:lang w:val="en-US" w:eastAsia="zh-CN"/>
              </w:rPr>
            </w:pPr>
            <w:r>
              <w:rPr>
                <w:rFonts w:hint="eastAsia" w:eastAsiaTheme="minorEastAsia"/>
                <w:color w:val="auto"/>
                <w:sz w:val="21"/>
                <w:szCs w:val="21"/>
                <w:lang w:val="en-US" w:eastAsia="zh-CN"/>
              </w:rPr>
              <w:t>黎艳</w:t>
            </w:r>
          </w:p>
        </w:tc>
        <w:tc>
          <w:tcPr>
            <w:tcW w:w="1277" w:type="pct"/>
            <w:gridSpan w:val="2"/>
            <w:vAlign w:val="center"/>
          </w:tcPr>
          <w:p w14:paraId="5054AC2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bidi="ar-SA"/>
              </w:rPr>
            </w:pPr>
            <w:r>
              <w:rPr>
                <w:rFonts w:hint="eastAsia" w:cs="Times New Roman" w:eastAsiaTheme="minorEastAsia"/>
                <w:color w:val="auto"/>
                <w:sz w:val="21"/>
                <w:szCs w:val="21"/>
                <w:lang w:val="en-US" w:eastAsia="zh-CN" w:bidi="ar-SA"/>
              </w:rPr>
              <w:t>运行工</w:t>
            </w:r>
          </w:p>
        </w:tc>
        <w:tc>
          <w:tcPr>
            <w:tcW w:w="946" w:type="pct"/>
            <w:vAlign w:val="center"/>
          </w:tcPr>
          <w:p w14:paraId="11784F5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eastAsiaTheme="minorEastAsia"/>
                <w:color w:val="auto"/>
                <w:sz w:val="21"/>
                <w:szCs w:val="21"/>
              </w:rPr>
            </w:pPr>
            <w:r>
              <w:rPr>
                <w:rFonts w:hint="eastAsia" w:eastAsiaTheme="minorEastAsia"/>
                <w:color w:val="auto"/>
                <w:sz w:val="21"/>
                <w:szCs w:val="21"/>
                <w:lang w:eastAsia="zh-CN"/>
              </w:rPr>
              <w:t>成员</w:t>
            </w:r>
          </w:p>
        </w:tc>
        <w:tc>
          <w:tcPr>
            <w:tcW w:w="1174" w:type="pct"/>
            <w:vAlign w:val="center"/>
          </w:tcPr>
          <w:p w14:paraId="11C9DB4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18779465222</w:t>
            </w:r>
          </w:p>
        </w:tc>
      </w:tr>
      <w:tr w14:paraId="5F300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4" w:type="pct"/>
            <w:gridSpan w:val="2"/>
            <w:vAlign w:val="center"/>
          </w:tcPr>
          <w:p w14:paraId="707FC65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eastAsiaTheme="minorEastAsia"/>
                <w:color w:val="auto"/>
                <w:sz w:val="21"/>
                <w:szCs w:val="21"/>
              </w:rPr>
            </w:pPr>
            <w:r>
              <w:rPr>
                <w:rFonts w:hint="eastAsia" w:eastAsiaTheme="minorEastAsia"/>
                <w:color w:val="auto"/>
                <w:sz w:val="21"/>
                <w:szCs w:val="21"/>
                <w:lang w:eastAsia="zh-CN"/>
              </w:rPr>
              <w:t>治安警戒</w:t>
            </w:r>
            <w:r>
              <w:rPr>
                <w:rFonts w:eastAsiaTheme="minorEastAsia"/>
                <w:color w:val="auto"/>
                <w:sz w:val="21"/>
                <w:szCs w:val="21"/>
              </w:rPr>
              <w:t>小组</w:t>
            </w:r>
          </w:p>
        </w:tc>
        <w:tc>
          <w:tcPr>
            <w:tcW w:w="726" w:type="pct"/>
            <w:vAlign w:val="center"/>
          </w:tcPr>
          <w:p w14:paraId="57AD742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Theme="minorEastAsia"/>
                <w:color w:val="auto"/>
                <w:sz w:val="21"/>
                <w:szCs w:val="21"/>
                <w:lang w:val="en-US" w:eastAsia="zh-CN"/>
              </w:rPr>
            </w:pPr>
            <w:r>
              <w:rPr>
                <w:rFonts w:hint="eastAsia" w:eastAsiaTheme="minorEastAsia"/>
                <w:color w:val="auto"/>
                <w:sz w:val="21"/>
                <w:szCs w:val="21"/>
                <w:lang w:val="en-US" w:eastAsia="zh-CN"/>
              </w:rPr>
              <w:t>汪志翔</w:t>
            </w:r>
          </w:p>
        </w:tc>
        <w:tc>
          <w:tcPr>
            <w:tcW w:w="1277" w:type="pct"/>
            <w:gridSpan w:val="2"/>
            <w:vAlign w:val="center"/>
          </w:tcPr>
          <w:p w14:paraId="340791C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bidi="ar-SA"/>
              </w:rPr>
            </w:pPr>
            <w:r>
              <w:rPr>
                <w:rFonts w:hint="eastAsia" w:cs="Times New Roman" w:eastAsiaTheme="minorEastAsia"/>
                <w:color w:val="auto"/>
                <w:sz w:val="21"/>
                <w:szCs w:val="21"/>
                <w:lang w:val="en-US" w:eastAsia="zh-CN" w:bidi="ar-SA"/>
              </w:rPr>
              <w:t>运行工</w:t>
            </w:r>
          </w:p>
        </w:tc>
        <w:tc>
          <w:tcPr>
            <w:tcW w:w="946" w:type="pct"/>
            <w:vAlign w:val="center"/>
          </w:tcPr>
          <w:p w14:paraId="2B669AB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eastAsiaTheme="minorEastAsia"/>
                <w:color w:val="auto"/>
                <w:sz w:val="21"/>
                <w:szCs w:val="21"/>
              </w:rPr>
            </w:pPr>
            <w:r>
              <w:rPr>
                <w:rFonts w:hint="eastAsia" w:eastAsiaTheme="minorEastAsia"/>
                <w:color w:val="auto"/>
                <w:sz w:val="21"/>
                <w:szCs w:val="21"/>
                <w:lang w:eastAsia="zh-CN"/>
              </w:rPr>
              <w:t>成员</w:t>
            </w:r>
          </w:p>
        </w:tc>
        <w:tc>
          <w:tcPr>
            <w:tcW w:w="1174" w:type="pct"/>
            <w:vAlign w:val="center"/>
          </w:tcPr>
          <w:p w14:paraId="71E06BC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18770172233</w:t>
            </w:r>
          </w:p>
        </w:tc>
      </w:tr>
    </w:tbl>
    <w:p w14:paraId="28FBE3D0">
      <w:pPr>
        <w:tabs>
          <w:tab w:val="left" w:pos="2641"/>
        </w:tabs>
        <w:bidi w:val="0"/>
        <w:jc w:val="left"/>
        <w:rPr>
          <w:rFonts w:hint="eastAsia" w:ascii="Times New Roman" w:hAnsi="Times New Roman" w:eastAsia="宋体" w:cstheme="minorBidi"/>
          <w:color w:val="auto"/>
          <w:kern w:val="2"/>
          <w:sz w:val="24"/>
          <w:szCs w:val="24"/>
          <w:lang w:val="en-US" w:eastAsia="zh-CN" w:bidi="ar-SA"/>
        </w:rPr>
      </w:pPr>
      <w:r>
        <w:rPr>
          <w:rFonts w:eastAsiaTheme="minorEastAsia"/>
          <w:b/>
          <w:bCs/>
          <w:color w:val="auto"/>
          <w:sz w:val="36"/>
          <w:szCs w:val="36"/>
          <w:lang w:val="zh-CN"/>
        </w:rPr>
        <w:pict>
          <v:shape id="文本框 10" o:spid="_x0000_s1072" o:spt="202" type="#_x0000_t202" style="position:absolute;left:0pt;margin-left:-5.15pt;margin-top:14.4pt;height:37.5pt;width:62.25pt;z-index:-251650048;mso-width-relative:page;mso-height-relative:page;" fillcolor="#FFFFFF" filled="t" stroked="f" coordsize="21600,21600" o:gfxdata="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YpvwfTAAAACAEA&#10;AA8AAAAAAAAAAQAgAAAAIgAAAGRycy9kb3ducmV2LnhtbFBLAQIUABQAAAAIAIdO4kBXiHwfWAIA&#10;AJsEAAAOAAAAAAAAAAEAIAAAACIBAABkcnMvZTJvRG9jLnhtbFBLBQYAAAAABgAGAFkBAADsBQAA&#10;AAA=&#10;">
            <v:path/>
            <v:fill on="t" focussize="0,0"/>
            <v:stroke on="f" weight="0.5pt"/>
            <v:imagedata o:title=""/>
            <o:lock v:ext="edit" aspectratio="f"/>
            <v:textbox>
              <w:txbxContent>
                <w:p w14:paraId="605D7D55">
                  <w:pPr>
                    <w:spacing w:line="240" w:lineRule="auto"/>
                    <w:ind w:firstLine="0" w:firstLineChars="0"/>
                    <w:rPr>
                      <w:rFonts w:hint="eastAsia" w:eastAsia="宋体"/>
                      <w:b/>
                      <w:bCs/>
                      <w:sz w:val="28"/>
                      <w:szCs w:val="28"/>
                      <w:lang w:eastAsia="zh-CN"/>
                    </w:rPr>
                  </w:pPr>
                  <w:r>
                    <w:rPr>
                      <w:rFonts w:hint="eastAsia"/>
                      <w:b/>
                      <w:bCs/>
                      <w:sz w:val="28"/>
                      <w:szCs w:val="28"/>
                    </w:rPr>
                    <w:t>附表</w:t>
                  </w:r>
                  <w:r>
                    <w:rPr>
                      <w:rFonts w:hint="eastAsia"/>
                      <w:b/>
                      <w:bCs/>
                      <w:sz w:val="28"/>
                      <w:szCs w:val="28"/>
                      <w:lang w:val="en-US" w:eastAsia="zh-CN"/>
                    </w:rPr>
                    <w:t>6</w:t>
                  </w:r>
                </w:p>
              </w:txbxContent>
            </v:textbox>
          </v:shape>
        </w:pict>
      </w:r>
    </w:p>
    <w:p w14:paraId="5C7346A4">
      <w:pPr>
        <w:widowControl/>
        <w:ind w:firstLine="0" w:firstLineChars="0"/>
        <w:jc w:val="center"/>
        <w:rPr>
          <w:rFonts w:eastAsiaTheme="minorEastAsia"/>
          <w:b/>
          <w:bCs/>
          <w:color w:val="auto"/>
          <w:sz w:val="36"/>
          <w:szCs w:val="36"/>
        </w:rPr>
      </w:pPr>
      <w:r>
        <w:rPr>
          <w:rFonts w:hint="eastAsia"/>
          <w:color w:val="auto"/>
          <w:lang w:val="en-US" w:eastAsia="zh-CN"/>
        </w:rPr>
        <w:tab/>
      </w:r>
      <w:r>
        <w:rPr>
          <w:rFonts w:eastAsiaTheme="minorEastAsia"/>
          <w:b/>
          <w:bCs/>
          <w:color w:val="auto"/>
          <w:sz w:val="36"/>
          <w:szCs w:val="36"/>
        </w:rPr>
        <w:t>企业应急救援外部通讯录</w:t>
      </w:r>
    </w:p>
    <w:tbl>
      <w:tblPr>
        <w:tblStyle w:val="2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3"/>
        <w:gridCol w:w="3771"/>
        <w:gridCol w:w="1117"/>
        <w:gridCol w:w="1590"/>
      </w:tblGrid>
      <w:tr w14:paraId="393DA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3" w:type="dxa"/>
            <w:tcBorders>
              <w:tl2br w:val="nil"/>
              <w:tr2bl w:val="nil"/>
            </w:tcBorders>
            <w:vAlign w:val="center"/>
          </w:tcPr>
          <w:p w14:paraId="4D3243D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单位</w:t>
            </w:r>
          </w:p>
        </w:tc>
        <w:tc>
          <w:tcPr>
            <w:tcW w:w="3771" w:type="dxa"/>
            <w:tcBorders>
              <w:tl2br w:val="nil"/>
              <w:tr2bl w:val="nil"/>
            </w:tcBorders>
            <w:vAlign w:val="center"/>
          </w:tcPr>
          <w:p w14:paraId="6723282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地址</w:t>
            </w:r>
          </w:p>
        </w:tc>
        <w:tc>
          <w:tcPr>
            <w:tcW w:w="1117" w:type="dxa"/>
            <w:tcBorders>
              <w:tl2br w:val="nil"/>
              <w:tr2bl w:val="nil"/>
            </w:tcBorders>
            <w:vAlign w:val="center"/>
          </w:tcPr>
          <w:p w14:paraId="6B6F7C8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联系人</w:t>
            </w:r>
          </w:p>
        </w:tc>
        <w:tc>
          <w:tcPr>
            <w:tcW w:w="1590" w:type="dxa"/>
            <w:tcBorders>
              <w:tl2br w:val="nil"/>
              <w:tr2bl w:val="nil"/>
            </w:tcBorders>
            <w:vAlign w:val="center"/>
          </w:tcPr>
          <w:p w14:paraId="3C54E77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联系电话</w:t>
            </w:r>
          </w:p>
        </w:tc>
      </w:tr>
      <w:tr w14:paraId="1058A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71" w:type="dxa"/>
            <w:gridSpan w:val="4"/>
            <w:tcBorders>
              <w:tl2br w:val="nil"/>
              <w:tr2bl w:val="nil"/>
            </w:tcBorders>
            <w:vAlign w:val="center"/>
          </w:tcPr>
          <w:p w14:paraId="07D3138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政府及上级有关部门</w:t>
            </w:r>
          </w:p>
        </w:tc>
      </w:tr>
      <w:tr w14:paraId="17964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3" w:type="dxa"/>
            <w:tcBorders>
              <w:tl2br w:val="nil"/>
              <w:tr2bl w:val="nil"/>
            </w:tcBorders>
            <w:vAlign w:val="center"/>
          </w:tcPr>
          <w:p w14:paraId="4AE6ACD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江西省应急管理厅</w:t>
            </w:r>
          </w:p>
        </w:tc>
        <w:tc>
          <w:tcPr>
            <w:tcW w:w="3771" w:type="dxa"/>
            <w:tcBorders>
              <w:tl2br w:val="nil"/>
              <w:tr2bl w:val="nil"/>
            </w:tcBorders>
            <w:vAlign w:val="center"/>
          </w:tcPr>
          <w:p w14:paraId="7019977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南昌市抚河南路199号</w:t>
            </w:r>
          </w:p>
        </w:tc>
        <w:tc>
          <w:tcPr>
            <w:tcW w:w="1117" w:type="dxa"/>
            <w:tcBorders>
              <w:tl2br w:val="nil"/>
              <w:tr2bl w:val="nil"/>
            </w:tcBorders>
            <w:vAlign w:val="center"/>
          </w:tcPr>
          <w:p w14:paraId="77E6F31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应急救援中心</w:t>
            </w:r>
          </w:p>
        </w:tc>
        <w:tc>
          <w:tcPr>
            <w:tcW w:w="1590" w:type="dxa"/>
            <w:tcBorders>
              <w:tl2br w:val="nil"/>
              <w:tr2bl w:val="nil"/>
            </w:tcBorders>
            <w:vAlign w:val="center"/>
          </w:tcPr>
          <w:p w14:paraId="447C126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0791—6275759</w:t>
            </w:r>
          </w:p>
        </w:tc>
      </w:tr>
      <w:tr w14:paraId="0B17B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3" w:type="dxa"/>
            <w:tcBorders>
              <w:tl2br w:val="nil"/>
              <w:tr2bl w:val="nil"/>
            </w:tcBorders>
            <w:vAlign w:val="center"/>
          </w:tcPr>
          <w:p w14:paraId="36449A7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江西省生态环境厅</w:t>
            </w:r>
          </w:p>
        </w:tc>
        <w:tc>
          <w:tcPr>
            <w:tcW w:w="3771" w:type="dxa"/>
            <w:tcBorders>
              <w:tl2br w:val="nil"/>
              <w:tr2bl w:val="nil"/>
            </w:tcBorders>
            <w:vAlign w:val="center"/>
          </w:tcPr>
          <w:p w14:paraId="3F818EE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江西省南昌市洪都北大道1131号</w:t>
            </w:r>
          </w:p>
        </w:tc>
        <w:tc>
          <w:tcPr>
            <w:tcW w:w="1117" w:type="dxa"/>
            <w:tcBorders>
              <w:tl2br w:val="nil"/>
              <w:tr2bl w:val="nil"/>
            </w:tcBorders>
            <w:vAlign w:val="center"/>
          </w:tcPr>
          <w:p w14:paraId="3828CF6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局办公室</w:t>
            </w:r>
          </w:p>
        </w:tc>
        <w:tc>
          <w:tcPr>
            <w:tcW w:w="1590" w:type="dxa"/>
            <w:tcBorders>
              <w:tl2br w:val="nil"/>
              <w:tr2bl w:val="nil"/>
            </w:tcBorders>
            <w:vAlign w:val="center"/>
          </w:tcPr>
          <w:p w14:paraId="4032DC6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0791-86866969</w:t>
            </w:r>
          </w:p>
        </w:tc>
      </w:tr>
      <w:tr w14:paraId="0E908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3" w:type="dxa"/>
            <w:tcBorders>
              <w:tl2br w:val="nil"/>
              <w:tr2bl w:val="nil"/>
            </w:tcBorders>
            <w:vAlign w:val="center"/>
          </w:tcPr>
          <w:p w14:paraId="6D00D3B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抚州市应急管理局</w:t>
            </w:r>
          </w:p>
        </w:tc>
        <w:tc>
          <w:tcPr>
            <w:tcW w:w="3771" w:type="dxa"/>
            <w:tcBorders>
              <w:tl2br w:val="nil"/>
              <w:tr2bl w:val="nil"/>
            </w:tcBorders>
            <w:vAlign w:val="center"/>
          </w:tcPr>
          <w:p w14:paraId="64C8B67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抚州市临川区中轴西路抚州市规划展示馆</w:t>
            </w:r>
          </w:p>
        </w:tc>
        <w:tc>
          <w:tcPr>
            <w:tcW w:w="1117" w:type="dxa"/>
            <w:tcBorders>
              <w:tl2br w:val="nil"/>
              <w:tr2bl w:val="nil"/>
            </w:tcBorders>
            <w:vAlign w:val="center"/>
          </w:tcPr>
          <w:p w14:paraId="0E76EED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办公室</w:t>
            </w:r>
          </w:p>
        </w:tc>
        <w:tc>
          <w:tcPr>
            <w:tcW w:w="1590" w:type="dxa"/>
            <w:tcBorders>
              <w:tl2br w:val="nil"/>
              <w:tr2bl w:val="nil"/>
            </w:tcBorders>
            <w:vAlign w:val="center"/>
          </w:tcPr>
          <w:p w14:paraId="424D919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0794-8287480</w:t>
            </w:r>
          </w:p>
        </w:tc>
      </w:tr>
      <w:tr w14:paraId="6A84F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3" w:type="dxa"/>
            <w:tcBorders>
              <w:tl2br w:val="nil"/>
              <w:tr2bl w:val="nil"/>
            </w:tcBorders>
            <w:vAlign w:val="center"/>
          </w:tcPr>
          <w:p w14:paraId="002715E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抚州市</w:t>
            </w:r>
            <w:r>
              <w:rPr>
                <w:rFonts w:hint="eastAsia" w:cs="Times New Roman"/>
                <w:color w:val="auto"/>
                <w:sz w:val="21"/>
                <w:szCs w:val="21"/>
                <w:lang w:eastAsia="zh-CN"/>
              </w:rPr>
              <w:t>资溪</w:t>
            </w:r>
            <w:r>
              <w:rPr>
                <w:rFonts w:hint="eastAsia" w:ascii="Times New Roman" w:hAnsi="Times New Roman" w:eastAsia="宋体" w:cs="Times New Roman"/>
                <w:color w:val="auto"/>
                <w:sz w:val="21"/>
                <w:szCs w:val="21"/>
                <w:lang w:eastAsia="zh-CN"/>
              </w:rPr>
              <w:t>生态环境局</w:t>
            </w:r>
          </w:p>
        </w:tc>
        <w:tc>
          <w:tcPr>
            <w:tcW w:w="3771" w:type="dxa"/>
            <w:tcBorders>
              <w:tl2br w:val="nil"/>
              <w:tr2bl w:val="nil"/>
            </w:tcBorders>
            <w:vAlign w:val="center"/>
          </w:tcPr>
          <w:p w14:paraId="7DC427E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抚州市资溪县城北大道健走步道新泰伯小学西南侧约130米</w:t>
            </w:r>
          </w:p>
        </w:tc>
        <w:tc>
          <w:tcPr>
            <w:tcW w:w="1117" w:type="dxa"/>
            <w:tcBorders>
              <w:tl2br w:val="nil"/>
              <w:tr2bl w:val="nil"/>
            </w:tcBorders>
            <w:vAlign w:val="center"/>
          </w:tcPr>
          <w:p w14:paraId="6F59FA3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办公室</w:t>
            </w:r>
          </w:p>
        </w:tc>
        <w:tc>
          <w:tcPr>
            <w:tcW w:w="1590" w:type="dxa"/>
            <w:tcBorders>
              <w:tl2br w:val="nil"/>
              <w:tr2bl w:val="nil"/>
            </w:tcBorders>
            <w:vAlign w:val="center"/>
          </w:tcPr>
          <w:p w14:paraId="040E123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0794-7153880</w:t>
            </w:r>
          </w:p>
        </w:tc>
      </w:tr>
      <w:tr w14:paraId="75A6F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3" w:type="dxa"/>
            <w:tcBorders>
              <w:tl2br w:val="nil"/>
              <w:tr2bl w:val="nil"/>
            </w:tcBorders>
            <w:vAlign w:val="center"/>
          </w:tcPr>
          <w:p w14:paraId="667A5A1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www.so.com/link?m=wrVqZn7r8cKbNHTdvG6hcCn44MQj3NTxB3OPz4swrjNrnMWIdNiJQnveMw9gnWUXcXFDH4Q0zEUMBCABAprbIc5m9YtQ3sdxMDS9IUCoRP2Na4iyXxUukH483qPlpfSaIBO57yI1CeJ2thkeDc8pULTQxLkdWoNjUQ312bPE27iX9Gn8kxOEkKlDR+q1IvQN6yWwZgvOFbK9+987RI8LBExt0dlrCHJnaCC20EU9Yh9OQ95Hprqn3vGvXc2uWFXDbVxR3irV48+p+fZKCOA47wlilPzeZPcqRzLbDLhRZlYo=" \t "https://www.so.com/_blank"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资溪县市场监督管理局</w:t>
            </w:r>
            <w:r>
              <w:rPr>
                <w:rFonts w:hint="default" w:ascii="Times New Roman" w:hAnsi="Times New Roman" w:eastAsia="宋体" w:cs="Times New Roman"/>
                <w:color w:val="auto"/>
                <w:sz w:val="21"/>
                <w:szCs w:val="21"/>
              </w:rPr>
              <w:fldChar w:fldCharType="end"/>
            </w:r>
          </w:p>
        </w:tc>
        <w:tc>
          <w:tcPr>
            <w:tcW w:w="3771" w:type="dxa"/>
            <w:tcBorders>
              <w:tl2br w:val="nil"/>
              <w:tr2bl w:val="nil"/>
            </w:tcBorders>
            <w:vAlign w:val="center"/>
          </w:tcPr>
          <w:p w14:paraId="052CC4E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抚州市资溪县鹤城镇建设中路43号</w:t>
            </w:r>
          </w:p>
        </w:tc>
        <w:tc>
          <w:tcPr>
            <w:tcW w:w="1117" w:type="dxa"/>
            <w:tcBorders>
              <w:tl2br w:val="nil"/>
              <w:tr2bl w:val="nil"/>
            </w:tcBorders>
            <w:vAlign w:val="center"/>
          </w:tcPr>
          <w:p w14:paraId="22559D0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办公室</w:t>
            </w:r>
          </w:p>
        </w:tc>
        <w:tc>
          <w:tcPr>
            <w:tcW w:w="1590" w:type="dxa"/>
            <w:tcBorders>
              <w:tl2br w:val="nil"/>
              <w:tr2bl w:val="nil"/>
            </w:tcBorders>
            <w:vAlign w:val="center"/>
          </w:tcPr>
          <w:p w14:paraId="362C57B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0794-7153559</w:t>
            </w:r>
          </w:p>
        </w:tc>
      </w:tr>
      <w:tr w14:paraId="2EBFF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3" w:type="dxa"/>
            <w:tcBorders>
              <w:tl2br w:val="nil"/>
              <w:tr2bl w:val="nil"/>
            </w:tcBorders>
            <w:vAlign w:val="center"/>
          </w:tcPr>
          <w:p w14:paraId="0432A58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eastAsia" w:cs="Times New Roman"/>
                <w:color w:val="auto"/>
                <w:sz w:val="21"/>
                <w:szCs w:val="21"/>
                <w:lang w:eastAsia="zh-CN"/>
              </w:rPr>
              <w:t>资溪</w:t>
            </w:r>
            <w:r>
              <w:rPr>
                <w:rFonts w:hint="default" w:ascii="Times New Roman" w:hAnsi="Times New Roman" w:eastAsia="宋体" w:cs="Times New Roman"/>
                <w:color w:val="auto"/>
                <w:sz w:val="21"/>
                <w:szCs w:val="21"/>
              </w:rPr>
              <w:t>县应急管理局</w:t>
            </w:r>
          </w:p>
        </w:tc>
        <w:tc>
          <w:tcPr>
            <w:tcW w:w="3771" w:type="dxa"/>
            <w:tcBorders>
              <w:tl2br w:val="nil"/>
              <w:tr2bl w:val="nil"/>
            </w:tcBorders>
            <w:vAlign w:val="center"/>
          </w:tcPr>
          <w:p w14:paraId="527A9DA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资溪县鹤城镇建设中路52号</w:t>
            </w:r>
          </w:p>
        </w:tc>
        <w:tc>
          <w:tcPr>
            <w:tcW w:w="1117" w:type="dxa"/>
            <w:tcBorders>
              <w:tl2br w:val="nil"/>
              <w:tr2bl w:val="nil"/>
            </w:tcBorders>
            <w:vAlign w:val="center"/>
          </w:tcPr>
          <w:p w14:paraId="0B619FC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办公室</w:t>
            </w:r>
          </w:p>
        </w:tc>
        <w:tc>
          <w:tcPr>
            <w:tcW w:w="1590" w:type="dxa"/>
            <w:tcBorders>
              <w:tl2br w:val="nil"/>
              <w:tr2bl w:val="nil"/>
            </w:tcBorders>
            <w:vAlign w:val="center"/>
          </w:tcPr>
          <w:p w14:paraId="4A7B553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0794-5799922</w:t>
            </w:r>
          </w:p>
        </w:tc>
      </w:tr>
      <w:tr w14:paraId="02A46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3" w:type="dxa"/>
            <w:tcBorders>
              <w:tl2br w:val="nil"/>
              <w:tr2bl w:val="nil"/>
            </w:tcBorders>
            <w:vAlign w:val="center"/>
          </w:tcPr>
          <w:p w14:paraId="06D8846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eastAsia" w:cs="Times New Roman"/>
                <w:color w:val="auto"/>
                <w:sz w:val="21"/>
                <w:szCs w:val="21"/>
                <w:lang w:eastAsia="zh-CN"/>
              </w:rPr>
              <w:t>资溪</w:t>
            </w:r>
            <w:r>
              <w:rPr>
                <w:rFonts w:hint="eastAsia" w:ascii="Times New Roman" w:hAnsi="Times New Roman" w:eastAsia="宋体" w:cs="Times New Roman"/>
                <w:color w:val="auto"/>
                <w:sz w:val="21"/>
                <w:szCs w:val="21"/>
                <w:lang w:eastAsia="zh-CN"/>
              </w:rPr>
              <w:t>县疾病预防控制中心</w:t>
            </w:r>
          </w:p>
        </w:tc>
        <w:tc>
          <w:tcPr>
            <w:tcW w:w="3771" w:type="dxa"/>
            <w:tcBorders>
              <w:tl2br w:val="nil"/>
              <w:tr2bl w:val="nil"/>
            </w:tcBorders>
            <w:vAlign w:val="center"/>
          </w:tcPr>
          <w:p w14:paraId="2732C21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抚州市资溪县鹤城镇解放南路28号</w:t>
            </w:r>
          </w:p>
        </w:tc>
        <w:tc>
          <w:tcPr>
            <w:tcW w:w="1117" w:type="dxa"/>
            <w:tcBorders>
              <w:tl2br w:val="nil"/>
              <w:tr2bl w:val="nil"/>
            </w:tcBorders>
            <w:vAlign w:val="center"/>
          </w:tcPr>
          <w:p w14:paraId="190B87A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办公室</w:t>
            </w:r>
          </w:p>
        </w:tc>
        <w:tc>
          <w:tcPr>
            <w:tcW w:w="1590" w:type="dxa"/>
            <w:tcBorders>
              <w:tl2br w:val="nil"/>
              <w:tr2bl w:val="nil"/>
            </w:tcBorders>
            <w:vAlign w:val="center"/>
          </w:tcPr>
          <w:p w14:paraId="4581BA3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0794-5792502</w:t>
            </w:r>
          </w:p>
        </w:tc>
      </w:tr>
      <w:tr w14:paraId="6F2B6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3" w:type="dxa"/>
            <w:tcBorders>
              <w:tl2br w:val="nil"/>
              <w:tr2bl w:val="nil"/>
            </w:tcBorders>
            <w:vAlign w:val="center"/>
          </w:tcPr>
          <w:p w14:paraId="636AFC3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eastAsia" w:cs="Times New Roman"/>
                <w:color w:val="auto"/>
                <w:sz w:val="21"/>
                <w:szCs w:val="21"/>
                <w:lang w:eastAsia="zh-CN"/>
              </w:rPr>
              <w:t>资溪</w:t>
            </w:r>
            <w:r>
              <w:rPr>
                <w:rFonts w:hint="default" w:ascii="Times New Roman" w:hAnsi="Times New Roman" w:eastAsia="宋体" w:cs="Times New Roman"/>
                <w:color w:val="auto"/>
                <w:sz w:val="21"/>
                <w:szCs w:val="21"/>
              </w:rPr>
              <w:t>县公安</w:t>
            </w:r>
            <w:r>
              <w:rPr>
                <w:rFonts w:hint="eastAsia" w:ascii="Times New Roman" w:hAnsi="Times New Roman" w:eastAsia="宋体" w:cs="Times New Roman"/>
                <w:color w:val="auto"/>
                <w:sz w:val="21"/>
                <w:szCs w:val="21"/>
                <w:lang w:eastAsia="zh-CN"/>
              </w:rPr>
              <w:t>局</w:t>
            </w:r>
            <w:r>
              <w:rPr>
                <w:rFonts w:hint="default" w:ascii="Times New Roman" w:hAnsi="Times New Roman" w:eastAsia="宋体" w:cs="Times New Roman"/>
                <w:color w:val="auto"/>
                <w:sz w:val="21"/>
                <w:szCs w:val="21"/>
              </w:rPr>
              <w:t>交警大队</w:t>
            </w:r>
          </w:p>
        </w:tc>
        <w:tc>
          <w:tcPr>
            <w:tcW w:w="3771" w:type="dxa"/>
            <w:tcBorders>
              <w:tl2br w:val="nil"/>
              <w:tr2bl w:val="nil"/>
            </w:tcBorders>
            <w:vAlign w:val="center"/>
          </w:tcPr>
          <w:p w14:paraId="07727F4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抚州市资溪县繁华北街与泸水路交汇处西南</w:t>
            </w:r>
          </w:p>
        </w:tc>
        <w:tc>
          <w:tcPr>
            <w:tcW w:w="1117" w:type="dxa"/>
            <w:tcBorders>
              <w:tl2br w:val="nil"/>
              <w:tr2bl w:val="nil"/>
            </w:tcBorders>
            <w:vAlign w:val="center"/>
          </w:tcPr>
          <w:p w14:paraId="3B080B7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办公室</w:t>
            </w:r>
          </w:p>
        </w:tc>
        <w:tc>
          <w:tcPr>
            <w:tcW w:w="1590" w:type="dxa"/>
            <w:tcBorders>
              <w:tl2br w:val="nil"/>
              <w:tr2bl w:val="nil"/>
            </w:tcBorders>
            <w:vAlign w:val="center"/>
          </w:tcPr>
          <w:p w14:paraId="55AED74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0794-6592627</w:t>
            </w:r>
          </w:p>
        </w:tc>
      </w:tr>
      <w:tr w14:paraId="36120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3" w:type="dxa"/>
            <w:tcBorders>
              <w:tl2br w:val="nil"/>
              <w:tr2bl w:val="nil"/>
            </w:tcBorders>
            <w:vAlign w:val="center"/>
          </w:tcPr>
          <w:p w14:paraId="747920C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eastAsia" w:cs="Times New Roman"/>
                <w:color w:val="auto"/>
                <w:sz w:val="21"/>
                <w:szCs w:val="21"/>
                <w:lang w:eastAsia="zh-CN"/>
              </w:rPr>
              <w:t>资溪</w:t>
            </w:r>
            <w:r>
              <w:rPr>
                <w:rFonts w:hint="default" w:ascii="Times New Roman" w:hAnsi="Times New Roman" w:eastAsia="宋体" w:cs="Times New Roman"/>
                <w:color w:val="auto"/>
                <w:sz w:val="21"/>
                <w:szCs w:val="21"/>
              </w:rPr>
              <w:t>县消防救援大队</w:t>
            </w:r>
          </w:p>
        </w:tc>
        <w:tc>
          <w:tcPr>
            <w:tcW w:w="3771" w:type="dxa"/>
            <w:tcBorders>
              <w:tl2br w:val="nil"/>
              <w:tr2bl w:val="nil"/>
            </w:tcBorders>
            <w:vAlign w:val="center"/>
          </w:tcPr>
          <w:p w14:paraId="56EA71E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抚州市资溪县316国道与迎宾大道交汇处附近南</w:t>
            </w:r>
          </w:p>
        </w:tc>
        <w:tc>
          <w:tcPr>
            <w:tcW w:w="1117" w:type="dxa"/>
            <w:tcBorders>
              <w:tl2br w:val="nil"/>
              <w:tr2bl w:val="nil"/>
            </w:tcBorders>
            <w:vAlign w:val="center"/>
          </w:tcPr>
          <w:p w14:paraId="68CDAE3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火警</w:t>
            </w:r>
          </w:p>
        </w:tc>
        <w:tc>
          <w:tcPr>
            <w:tcW w:w="1590" w:type="dxa"/>
            <w:tcBorders>
              <w:tl2br w:val="nil"/>
              <w:tr2bl w:val="nil"/>
            </w:tcBorders>
            <w:vAlign w:val="center"/>
          </w:tcPr>
          <w:p w14:paraId="66805AB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119</w:t>
            </w:r>
          </w:p>
        </w:tc>
      </w:tr>
      <w:tr w14:paraId="73E81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71" w:type="dxa"/>
            <w:gridSpan w:val="4"/>
            <w:tcBorders>
              <w:tl2br w:val="nil"/>
              <w:tr2bl w:val="nil"/>
            </w:tcBorders>
            <w:vAlign w:val="center"/>
          </w:tcPr>
          <w:p w14:paraId="142356D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相关医疗机构</w:t>
            </w:r>
          </w:p>
        </w:tc>
      </w:tr>
      <w:tr w14:paraId="32F7D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3" w:type="dxa"/>
            <w:vMerge w:val="restart"/>
            <w:tcBorders>
              <w:tl2br w:val="nil"/>
              <w:tr2bl w:val="nil"/>
            </w:tcBorders>
            <w:vAlign w:val="center"/>
          </w:tcPr>
          <w:p w14:paraId="24DD9B1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cs="Times New Roman"/>
                <w:color w:val="auto"/>
                <w:sz w:val="21"/>
                <w:szCs w:val="21"/>
                <w:shd w:val="clear" w:color="auto" w:fill="FFFFFF"/>
                <w:lang w:eastAsia="zh-CN"/>
              </w:rPr>
            </w:pPr>
            <w:r>
              <w:rPr>
                <w:rFonts w:hint="eastAsia" w:cs="Times New Roman"/>
                <w:color w:val="auto"/>
                <w:sz w:val="21"/>
                <w:szCs w:val="21"/>
                <w:shd w:val="clear" w:color="auto" w:fill="FFFFFF"/>
                <w:lang w:eastAsia="zh-CN"/>
              </w:rPr>
              <w:t>资溪</w:t>
            </w:r>
            <w:r>
              <w:rPr>
                <w:rFonts w:hint="default" w:cs="Times New Roman"/>
                <w:color w:val="auto"/>
                <w:sz w:val="21"/>
                <w:szCs w:val="21"/>
                <w:shd w:val="clear" w:color="auto" w:fill="FFFFFF"/>
                <w:lang w:eastAsia="zh-CN"/>
              </w:rPr>
              <w:t>县人民医院</w:t>
            </w:r>
          </w:p>
        </w:tc>
        <w:tc>
          <w:tcPr>
            <w:tcW w:w="3771" w:type="dxa"/>
            <w:vMerge w:val="restart"/>
            <w:tcBorders>
              <w:tl2br w:val="nil"/>
              <w:tr2bl w:val="nil"/>
            </w:tcBorders>
            <w:vAlign w:val="center"/>
          </w:tcPr>
          <w:p w14:paraId="4268F1A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抚州市资溪县鹤城镇解放南路29号</w:t>
            </w:r>
          </w:p>
        </w:tc>
        <w:tc>
          <w:tcPr>
            <w:tcW w:w="1117" w:type="dxa"/>
            <w:tcBorders>
              <w:tl2br w:val="nil"/>
              <w:tr2bl w:val="nil"/>
            </w:tcBorders>
            <w:vAlign w:val="center"/>
          </w:tcPr>
          <w:p w14:paraId="07EB52F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医务办</w:t>
            </w:r>
          </w:p>
        </w:tc>
        <w:tc>
          <w:tcPr>
            <w:tcW w:w="1590" w:type="dxa"/>
            <w:tcBorders>
              <w:tl2br w:val="nil"/>
              <w:tr2bl w:val="nil"/>
            </w:tcBorders>
            <w:vAlign w:val="center"/>
          </w:tcPr>
          <w:p w14:paraId="6D61379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0794-5798138</w:t>
            </w:r>
          </w:p>
        </w:tc>
      </w:tr>
      <w:tr w14:paraId="31389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3" w:type="dxa"/>
            <w:vMerge w:val="continue"/>
            <w:tcBorders>
              <w:tl2br w:val="nil"/>
              <w:tr2bl w:val="nil"/>
            </w:tcBorders>
            <w:vAlign w:val="center"/>
          </w:tcPr>
          <w:p w14:paraId="0FB8061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1"/>
                <w:szCs w:val="21"/>
              </w:rPr>
            </w:pPr>
          </w:p>
        </w:tc>
        <w:tc>
          <w:tcPr>
            <w:tcW w:w="3771" w:type="dxa"/>
            <w:vMerge w:val="continue"/>
            <w:tcBorders>
              <w:tl2br w:val="nil"/>
              <w:tr2bl w:val="nil"/>
            </w:tcBorders>
            <w:vAlign w:val="center"/>
          </w:tcPr>
          <w:p w14:paraId="785799F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p>
        </w:tc>
        <w:tc>
          <w:tcPr>
            <w:tcW w:w="1117" w:type="dxa"/>
            <w:tcBorders>
              <w:tl2br w:val="nil"/>
              <w:tr2bl w:val="nil"/>
            </w:tcBorders>
            <w:vAlign w:val="center"/>
          </w:tcPr>
          <w:p w14:paraId="30F80C5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急救</w:t>
            </w:r>
          </w:p>
        </w:tc>
        <w:tc>
          <w:tcPr>
            <w:tcW w:w="1590" w:type="dxa"/>
            <w:tcBorders>
              <w:tl2br w:val="nil"/>
              <w:tr2bl w:val="nil"/>
            </w:tcBorders>
            <w:vAlign w:val="center"/>
          </w:tcPr>
          <w:p w14:paraId="7306552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r>
      <w:tr w14:paraId="36A7D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3" w:type="dxa"/>
            <w:vMerge w:val="restart"/>
            <w:tcBorders>
              <w:tl2br w:val="nil"/>
              <w:tr2bl w:val="nil"/>
            </w:tcBorders>
            <w:vAlign w:val="center"/>
          </w:tcPr>
          <w:p w14:paraId="37BC7A9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1"/>
                <w:szCs w:val="21"/>
              </w:rPr>
            </w:pPr>
            <w:r>
              <w:rPr>
                <w:rFonts w:hint="eastAsia" w:cs="Times New Roman"/>
                <w:color w:val="auto"/>
                <w:sz w:val="21"/>
                <w:szCs w:val="21"/>
                <w:lang w:eastAsia="zh-CN"/>
              </w:rPr>
              <w:t>资溪</w:t>
            </w:r>
            <w:r>
              <w:rPr>
                <w:rFonts w:hint="default" w:ascii="Times New Roman" w:hAnsi="Times New Roman" w:eastAsia="宋体" w:cs="Times New Roman"/>
                <w:color w:val="auto"/>
                <w:sz w:val="21"/>
                <w:szCs w:val="21"/>
              </w:rPr>
              <w:t>县</w:t>
            </w:r>
            <w:r>
              <w:rPr>
                <w:rFonts w:hint="eastAsia" w:cs="Times New Roman"/>
                <w:color w:val="auto"/>
                <w:sz w:val="21"/>
                <w:szCs w:val="21"/>
                <w:lang w:eastAsia="zh-CN"/>
              </w:rPr>
              <w:t>中医院</w:t>
            </w:r>
          </w:p>
        </w:tc>
        <w:tc>
          <w:tcPr>
            <w:tcW w:w="3771" w:type="dxa"/>
            <w:vMerge w:val="restart"/>
            <w:tcBorders>
              <w:tl2br w:val="nil"/>
              <w:tr2bl w:val="nil"/>
            </w:tcBorders>
            <w:vAlign w:val="center"/>
          </w:tcPr>
          <w:p w14:paraId="2D661E7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江西省资溪县建设路3号</w:t>
            </w:r>
          </w:p>
        </w:tc>
        <w:tc>
          <w:tcPr>
            <w:tcW w:w="1117" w:type="dxa"/>
            <w:tcBorders>
              <w:tl2br w:val="nil"/>
              <w:tr2bl w:val="nil"/>
            </w:tcBorders>
            <w:vAlign w:val="center"/>
          </w:tcPr>
          <w:p w14:paraId="6EEE4C9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医务办</w:t>
            </w:r>
          </w:p>
        </w:tc>
        <w:tc>
          <w:tcPr>
            <w:tcW w:w="1590" w:type="dxa"/>
            <w:tcBorders>
              <w:tl2br w:val="nil"/>
              <w:tr2bl w:val="nil"/>
            </w:tcBorders>
            <w:vAlign w:val="center"/>
          </w:tcPr>
          <w:p w14:paraId="69527FF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0794-5792921</w:t>
            </w:r>
          </w:p>
        </w:tc>
      </w:tr>
      <w:tr w14:paraId="4BB40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3" w:type="dxa"/>
            <w:vMerge w:val="continue"/>
            <w:tcBorders>
              <w:tl2br w:val="nil"/>
              <w:tr2bl w:val="nil"/>
            </w:tcBorders>
            <w:vAlign w:val="center"/>
          </w:tcPr>
          <w:p w14:paraId="7C65571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1"/>
                <w:szCs w:val="21"/>
              </w:rPr>
            </w:pPr>
          </w:p>
        </w:tc>
        <w:tc>
          <w:tcPr>
            <w:tcW w:w="3771" w:type="dxa"/>
            <w:vMerge w:val="continue"/>
            <w:tcBorders>
              <w:tl2br w:val="nil"/>
              <w:tr2bl w:val="nil"/>
            </w:tcBorders>
            <w:vAlign w:val="center"/>
          </w:tcPr>
          <w:p w14:paraId="7AE8302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p>
        </w:tc>
        <w:tc>
          <w:tcPr>
            <w:tcW w:w="1117" w:type="dxa"/>
            <w:tcBorders>
              <w:tl2br w:val="nil"/>
              <w:tr2bl w:val="nil"/>
            </w:tcBorders>
            <w:vAlign w:val="center"/>
          </w:tcPr>
          <w:p w14:paraId="69ACBDE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急救</w:t>
            </w:r>
          </w:p>
        </w:tc>
        <w:tc>
          <w:tcPr>
            <w:tcW w:w="1590" w:type="dxa"/>
            <w:tcBorders>
              <w:tl2br w:val="nil"/>
              <w:tr2bl w:val="nil"/>
            </w:tcBorders>
            <w:vAlign w:val="center"/>
          </w:tcPr>
          <w:p w14:paraId="35469E6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120</w:t>
            </w:r>
          </w:p>
        </w:tc>
      </w:tr>
    </w:tbl>
    <w:p w14:paraId="3530BEFD">
      <w:pPr>
        <w:rPr>
          <w:rFonts w:hint="eastAsia"/>
          <w:color w:val="auto"/>
          <w:lang w:val="en-US" w:eastAsia="zh-CN"/>
        </w:rPr>
      </w:pPr>
      <w:r>
        <w:rPr>
          <w:rFonts w:hint="eastAsia"/>
          <w:color w:val="auto"/>
          <w:lang w:val="en-US" w:eastAsia="zh-CN"/>
        </w:rPr>
        <w:br w:type="page"/>
      </w:r>
    </w:p>
    <w:p w14:paraId="607425EA">
      <w:pPr>
        <w:tabs>
          <w:tab w:val="left" w:pos="1761"/>
        </w:tabs>
        <w:bidi w:val="0"/>
        <w:jc w:val="left"/>
        <w:rPr>
          <w:rFonts w:hint="eastAsia" w:ascii="Times New Roman" w:hAnsi="Times New Roman" w:eastAsia="宋体" w:cstheme="minorBidi"/>
          <w:color w:val="auto"/>
          <w:kern w:val="2"/>
          <w:sz w:val="24"/>
          <w:szCs w:val="24"/>
          <w:lang w:val="en-US" w:eastAsia="zh-CN" w:bidi="ar-SA"/>
        </w:rPr>
      </w:pPr>
      <w:r>
        <w:rPr>
          <w:rFonts w:eastAsiaTheme="minorEastAsia"/>
          <w:b/>
          <w:bCs/>
          <w:color w:val="auto"/>
          <w:sz w:val="36"/>
          <w:szCs w:val="36"/>
          <w:lang w:val="zh-CN"/>
        </w:rPr>
        <w:pict>
          <v:shape id="_x0000_s1073" o:spid="_x0000_s1073" o:spt="202" type="#_x0000_t202" style="position:absolute;left:0pt;margin-left:15.5pt;margin-top:-3.75pt;height:37.5pt;width:62.25pt;z-index:-251637760;mso-width-relative:page;mso-height-relative:page;" fillcolor="#FFFFFF" filled="t" stroked="f" coordsize="21600,21600" o:gfxdata="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YpvwfTAAAACAEA&#10;AA8AAAAAAAAAAQAgAAAAIgAAAGRycy9kb3ducmV2LnhtbFBLAQIUABQAAAAIAIdO4kBXiHwfWAIA&#10;AJsEAAAOAAAAAAAAAAEAIAAAACIBAABkcnMvZTJvRG9jLnhtbFBLBQYAAAAABgAGAFkBAADsBQAA&#10;AAA=&#10;">
            <v:path/>
            <v:fill on="t" focussize="0,0"/>
            <v:stroke on="f" weight="0.5pt"/>
            <v:imagedata o:title=""/>
            <o:lock v:ext="edit" aspectratio="f"/>
            <v:textbox>
              <w:txbxContent>
                <w:p w14:paraId="3FE8CEB3">
                  <w:pPr>
                    <w:spacing w:line="240" w:lineRule="auto"/>
                    <w:ind w:firstLine="0" w:firstLineChars="0"/>
                    <w:rPr>
                      <w:rFonts w:hint="eastAsia" w:eastAsia="宋体"/>
                      <w:b/>
                      <w:bCs/>
                      <w:sz w:val="28"/>
                      <w:szCs w:val="28"/>
                      <w:lang w:eastAsia="zh-CN"/>
                    </w:rPr>
                  </w:pPr>
                  <w:r>
                    <w:rPr>
                      <w:rFonts w:hint="eastAsia"/>
                      <w:b/>
                      <w:bCs/>
                      <w:sz w:val="28"/>
                      <w:szCs w:val="28"/>
                    </w:rPr>
                    <w:t>附</w:t>
                  </w:r>
                  <w:r>
                    <w:rPr>
                      <w:rFonts w:hint="eastAsia"/>
                      <w:b/>
                      <w:bCs/>
                      <w:sz w:val="28"/>
                      <w:szCs w:val="28"/>
                      <w:lang w:val="en-US" w:eastAsia="zh-CN"/>
                    </w:rPr>
                    <w:t>件7</w:t>
                  </w:r>
                </w:p>
              </w:txbxContent>
            </v:textbox>
          </v:shape>
        </w:pict>
      </w:r>
    </w:p>
    <w:p w14:paraId="0DE853B2">
      <w:pPr>
        <w:pStyle w:val="67"/>
        <w:rPr>
          <w:color w:val="auto"/>
          <w:sz w:val="32"/>
          <w:szCs w:val="32"/>
        </w:rPr>
      </w:pPr>
      <w:r>
        <w:rPr>
          <w:color w:val="auto"/>
          <w:sz w:val="32"/>
          <w:szCs w:val="32"/>
        </w:rPr>
        <w:drawing>
          <wp:inline distT="0" distB="0" distL="114300" distR="114300">
            <wp:extent cx="5269865" cy="7247255"/>
            <wp:effectExtent l="0" t="0" r="6985" b="10795"/>
            <wp:docPr id="29" name="图片 29" descr="资溪县污水厂提标改造工程环评批复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资溪县污水厂提标改造工程环评批复01"/>
                    <pic:cNvPicPr>
                      <a:picLocks noChangeAspect="1"/>
                    </pic:cNvPicPr>
                  </pic:nvPicPr>
                  <pic:blipFill>
                    <a:blip r:embed="rId27" cstate="print"/>
                    <a:stretch>
                      <a:fillRect/>
                    </a:stretch>
                  </pic:blipFill>
                  <pic:spPr>
                    <a:xfrm>
                      <a:off x="0" y="0"/>
                      <a:ext cx="5269865" cy="7247255"/>
                    </a:xfrm>
                    <a:prstGeom prst="rect">
                      <a:avLst/>
                    </a:prstGeom>
                  </pic:spPr>
                </pic:pic>
              </a:graphicData>
            </a:graphic>
          </wp:inline>
        </w:drawing>
      </w:r>
    </w:p>
    <w:p w14:paraId="2B449079">
      <w:pPr>
        <w:pStyle w:val="67"/>
        <w:rPr>
          <w:color w:val="auto"/>
        </w:rPr>
      </w:pPr>
    </w:p>
    <w:p w14:paraId="5DA10FA9">
      <w:pPr>
        <w:pStyle w:val="67"/>
        <w:rPr>
          <w:color w:val="auto"/>
        </w:rPr>
      </w:pPr>
    </w:p>
    <w:p w14:paraId="535DC365">
      <w:pPr>
        <w:pStyle w:val="67"/>
        <w:rPr>
          <w:color w:val="auto"/>
        </w:rPr>
      </w:pPr>
      <w:r>
        <w:rPr>
          <w:color w:val="auto"/>
        </w:rPr>
        <w:drawing>
          <wp:inline distT="0" distB="0" distL="114300" distR="114300">
            <wp:extent cx="5269865" cy="7247255"/>
            <wp:effectExtent l="0" t="0" r="6985" b="10795"/>
            <wp:docPr id="40" name="图片 40" descr="资溪县污水厂提标改造工程环评批复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资溪县污水厂提标改造工程环评批复02"/>
                    <pic:cNvPicPr>
                      <a:picLocks noChangeAspect="1"/>
                    </pic:cNvPicPr>
                  </pic:nvPicPr>
                  <pic:blipFill>
                    <a:blip r:embed="rId28" cstate="print"/>
                    <a:stretch>
                      <a:fillRect/>
                    </a:stretch>
                  </pic:blipFill>
                  <pic:spPr>
                    <a:xfrm>
                      <a:off x="0" y="0"/>
                      <a:ext cx="5269865" cy="7247255"/>
                    </a:xfrm>
                    <a:prstGeom prst="rect">
                      <a:avLst/>
                    </a:prstGeom>
                  </pic:spPr>
                </pic:pic>
              </a:graphicData>
            </a:graphic>
          </wp:inline>
        </w:drawing>
      </w:r>
    </w:p>
    <w:p w14:paraId="42D04BAE">
      <w:pPr>
        <w:pStyle w:val="67"/>
        <w:rPr>
          <w:color w:val="auto"/>
        </w:rPr>
      </w:pPr>
    </w:p>
    <w:p w14:paraId="672A6D32">
      <w:pPr>
        <w:pStyle w:val="67"/>
        <w:rPr>
          <w:color w:val="auto"/>
        </w:rPr>
      </w:pPr>
    </w:p>
    <w:p w14:paraId="52FE7F7B">
      <w:pPr>
        <w:pStyle w:val="67"/>
        <w:rPr>
          <w:color w:val="auto"/>
        </w:rPr>
      </w:pPr>
      <w:r>
        <w:rPr>
          <w:color w:val="auto"/>
        </w:rPr>
        <w:drawing>
          <wp:inline distT="0" distB="0" distL="114300" distR="114300">
            <wp:extent cx="5269865" cy="7247255"/>
            <wp:effectExtent l="0" t="0" r="6985" b="10795"/>
            <wp:docPr id="41" name="图片 41" descr="资溪县污水厂提标改造工程环评批复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资溪县污水厂提标改造工程环评批复03"/>
                    <pic:cNvPicPr>
                      <a:picLocks noChangeAspect="1"/>
                    </pic:cNvPicPr>
                  </pic:nvPicPr>
                  <pic:blipFill>
                    <a:blip r:embed="rId29" cstate="print"/>
                    <a:stretch>
                      <a:fillRect/>
                    </a:stretch>
                  </pic:blipFill>
                  <pic:spPr>
                    <a:xfrm>
                      <a:off x="0" y="0"/>
                      <a:ext cx="5269865" cy="7247255"/>
                    </a:xfrm>
                    <a:prstGeom prst="rect">
                      <a:avLst/>
                    </a:prstGeom>
                  </pic:spPr>
                </pic:pic>
              </a:graphicData>
            </a:graphic>
          </wp:inline>
        </w:drawing>
      </w:r>
    </w:p>
    <w:p w14:paraId="12E99F51">
      <w:pPr>
        <w:pStyle w:val="67"/>
        <w:rPr>
          <w:color w:val="auto"/>
        </w:rPr>
      </w:pPr>
    </w:p>
    <w:p w14:paraId="7288D9D5">
      <w:pPr>
        <w:pStyle w:val="67"/>
        <w:rPr>
          <w:color w:val="auto"/>
        </w:rPr>
      </w:pPr>
    </w:p>
    <w:p w14:paraId="094EB5F6">
      <w:pPr>
        <w:pStyle w:val="67"/>
        <w:rPr>
          <w:color w:val="auto"/>
        </w:rPr>
      </w:pPr>
    </w:p>
    <w:p w14:paraId="436FF85C">
      <w:pPr>
        <w:pStyle w:val="67"/>
        <w:rPr>
          <w:color w:val="auto"/>
        </w:rPr>
      </w:pPr>
    </w:p>
    <w:p w14:paraId="54B96D37">
      <w:pPr>
        <w:pStyle w:val="67"/>
        <w:rPr>
          <w:color w:val="auto"/>
        </w:rPr>
      </w:pPr>
    </w:p>
    <w:p w14:paraId="16DFC81F">
      <w:pPr>
        <w:pStyle w:val="67"/>
        <w:rPr>
          <w:color w:val="auto"/>
        </w:rPr>
      </w:pPr>
    </w:p>
    <w:p w14:paraId="7BB3493E">
      <w:pPr>
        <w:pStyle w:val="67"/>
        <w:rPr>
          <w:color w:val="auto"/>
        </w:rPr>
      </w:pPr>
      <w:r>
        <w:rPr>
          <w:color w:val="auto"/>
        </w:rPr>
        <w:drawing>
          <wp:inline distT="0" distB="0" distL="114300" distR="114300">
            <wp:extent cx="5269865" cy="7247255"/>
            <wp:effectExtent l="0" t="0" r="6985" b="10795"/>
            <wp:docPr id="42" name="图片 42" descr="资溪县污水厂提标改造工程环评批复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资溪县污水厂提标改造工程环评批复04"/>
                    <pic:cNvPicPr>
                      <a:picLocks noChangeAspect="1"/>
                    </pic:cNvPicPr>
                  </pic:nvPicPr>
                  <pic:blipFill>
                    <a:blip r:embed="rId30" cstate="print"/>
                    <a:stretch>
                      <a:fillRect/>
                    </a:stretch>
                  </pic:blipFill>
                  <pic:spPr>
                    <a:xfrm>
                      <a:off x="0" y="0"/>
                      <a:ext cx="5269865" cy="7247255"/>
                    </a:xfrm>
                    <a:prstGeom prst="rect">
                      <a:avLst/>
                    </a:prstGeom>
                  </pic:spPr>
                </pic:pic>
              </a:graphicData>
            </a:graphic>
          </wp:inline>
        </w:drawing>
      </w:r>
    </w:p>
    <w:p w14:paraId="34710426">
      <w:pPr>
        <w:pStyle w:val="67"/>
        <w:rPr>
          <w:color w:val="auto"/>
        </w:rPr>
      </w:pPr>
    </w:p>
    <w:p w14:paraId="02461DF3">
      <w:pPr>
        <w:pStyle w:val="67"/>
        <w:rPr>
          <w:color w:val="auto"/>
        </w:rPr>
      </w:pPr>
    </w:p>
    <w:p w14:paraId="6AB5F606">
      <w:pPr>
        <w:pStyle w:val="67"/>
        <w:rPr>
          <w:color w:val="auto"/>
        </w:rPr>
      </w:pPr>
    </w:p>
    <w:p w14:paraId="74E7123C">
      <w:pPr>
        <w:pStyle w:val="67"/>
        <w:rPr>
          <w:color w:val="auto"/>
        </w:rPr>
      </w:pPr>
    </w:p>
    <w:p w14:paraId="60440AFC">
      <w:pPr>
        <w:pStyle w:val="67"/>
        <w:rPr>
          <w:color w:val="auto"/>
        </w:rPr>
      </w:pPr>
    </w:p>
    <w:p w14:paraId="1E07A29A">
      <w:pPr>
        <w:pStyle w:val="67"/>
        <w:rPr>
          <w:color w:val="auto"/>
        </w:rPr>
      </w:pPr>
    </w:p>
    <w:p w14:paraId="54DE8EA7">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color w:val="auto"/>
          <w:lang w:val="en-US" w:eastAsia="zh-CN"/>
        </w:rPr>
      </w:pPr>
      <w:r>
        <w:rPr>
          <w:color w:val="auto"/>
        </w:rPr>
        <w:drawing>
          <wp:inline distT="0" distB="0" distL="114300" distR="114300">
            <wp:extent cx="5269865" cy="7247255"/>
            <wp:effectExtent l="0" t="0" r="6985" b="10795"/>
            <wp:docPr id="43" name="图片 43" descr="资溪县污水厂提标改造工程环评批复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资溪县污水厂提标改造工程环评批复05"/>
                    <pic:cNvPicPr>
                      <a:picLocks noChangeAspect="1"/>
                    </pic:cNvPicPr>
                  </pic:nvPicPr>
                  <pic:blipFill>
                    <a:blip r:embed="rId31" cstate="print"/>
                    <a:stretch>
                      <a:fillRect/>
                    </a:stretch>
                  </pic:blipFill>
                  <pic:spPr>
                    <a:xfrm>
                      <a:off x="0" y="0"/>
                      <a:ext cx="5269865" cy="7247255"/>
                    </a:xfrm>
                    <a:prstGeom prst="rect">
                      <a:avLst/>
                    </a:prstGeom>
                  </pic:spPr>
                </pic:pic>
              </a:graphicData>
            </a:graphic>
          </wp:inline>
        </w:drawing>
      </w:r>
      <w:r>
        <w:rPr>
          <w:color w:val="auto"/>
        </w:rPr>
        <w:drawing>
          <wp:inline distT="0" distB="0" distL="114300" distR="114300">
            <wp:extent cx="5715635" cy="7863205"/>
            <wp:effectExtent l="0" t="0" r="18415" b="4445"/>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pic:cNvPicPr>
                  </pic:nvPicPr>
                  <pic:blipFill>
                    <a:blip r:embed="rId32" cstate="print"/>
                    <a:stretch>
                      <a:fillRect/>
                    </a:stretch>
                  </pic:blipFill>
                  <pic:spPr>
                    <a:xfrm>
                      <a:off x="0" y="0"/>
                      <a:ext cx="5715635" cy="7863205"/>
                    </a:xfrm>
                    <a:prstGeom prst="rect">
                      <a:avLst/>
                    </a:prstGeom>
                    <a:noFill/>
                    <a:ln>
                      <a:noFill/>
                    </a:ln>
                  </pic:spPr>
                </pic:pic>
              </a:graphicData>
            </a:graphic>
          </wp:inline>
        </w:drawing>
      </w:r>
      <w:r>
        <w:rPr>
          <w:color w:val="auto"/>
        </w:rPr>
        <w:drawing>
          <wp:inline distT="0" distB="0" distL="114300" distR="114300">
            <wp:extent cx="5715635" cy="8081645"/>
            <wp:effectExtent l="0" t="0" r="18415" b="14605"/>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33" cstate="print"/>
                    <a:stretch>
                      <a:fillRect/>
                    </a:stretch>
                  </pic:blipFill>
                  <pic:spPr>
                    <a:xfrm>
                      <a:off x="0" y="0"/>
                      <a:ext cx="5715635" cy="8081645"/>
                    </a:xfrm>
                    <a:prstGeom prst="rect">
                      <a:avLst/>
                    </a:prstGeom>
                    <a:noFill/>
                    <a:ln>
                      <a:noFill/>
                    </a:ln>
                  </pic:spPr>
                </pic:pic>
              </a:graphicData>
            </a:graphic>
          </wp:inline>
        </w:drawing>
      </w:r>
      <w:r>
        <w:rPr>
          <w:color w:val="auto"/>
        </w:rPr>
        <w:drawing>
          <wp:inline distT="0" distB="0" distL="114300" distR="114300">
            <wp:extent cx="5715635" cy="8299450"/>
            <wp:effectExtent l="0" t="0" r="18415" b="6350"/>
            <wp:docPr id="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pic:cNvPicPr>
                      <a:picLocks noChangeAspect="1"/>
                    </pic:cNvPicPr>
                  </pic:nvPicPr>
                  <pic:blipFill>
                    <a:blip r:embed="rId34" cstate="print"/>
                    <a:stretch>
                      <a:fillRect/>
                    </a:stretch>
                  </pic:blipFill>
                  <pic:spPr>
                    <a:xfrm>
                      <a:off x="0" y="0"/>
                      <a:ext cx="5715635" cy="8299450"/>
                    </a:xfrm>
                    <a:prstGeom prst="rect">
                      <a:avLst/>
                    </a:prstGeom>
                    <a:noFill/>
                    <a:ln>
                      <a:noFill/>
                    </a:ln>
                  </pic:spPr>
                </pic:pic>
              </a:graphicData>
            </a:graphic>
          </wp:inline>
        </w:drawing>
      </w:r>
      <w:r>
        <w:rPr>
          <w:color w:val="auto"/>
        </w:rPr>
        <w:drawing>
          <wp:inline distT="0" distB="0" distL="114300" distR="114300">
            <wp:extent cx="5715635" cy="8267700"/>
            <wp:effectExtent l="0" t="0" r="18415" b="0"/>
            <wp:docPr id="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
                    <pic:cNvPicPr>
                      <a:picLocks noChangeAspect="1"/>
                    </pic:cNvPicPr>
                  </pic:nvPicPr>
                  <pic:blipFill>
                    <a:blip r:embed="rId35" cstate="print"/>
                    <a:stretch>
                      <a:fillRect/>
                    </a:stretch>
                  </pic:blipFill>
                  <pic:spPr>
                    <a:xfrm>
                      <a:off x="0" y="0"/>
                      <a:ext cx="5715635" cy="8267700"/>
                    </a:xfrm>
                    <a:prstGeom prst="rect">
                      <a:avLst/>
                    </a:prstGeom>
                    <a:noFill/>
                    <a:ln>
                      <a:noFill/>
                    </a:ln>
                  </pic:spPr>
                </pic:pic>
              </a:graphicData>
            </a:graphic>
          </wp:inline>
        </w:drawing>
      </w:r>
    </w:p>
    <w:sectPr>
      <w:pgSz w:w="11906" w:h="16838"/>
      <w:pgMar w:top="1440" w:right="1417"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Noto Sans CJK JP Regular">
    <w:altName w:val="Segoe Print"/>
    <w:panose1 w:val="00000000000000000000"/>
    <w:charset w:val="00"/>
    <w:family w:val="swiss"/>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TimesNewRomanPSMT">
    <w:altName w:val="Times New Roman"/>
    <w:panose1 w:val="00000000000000000000"/>
    <w:charset w:val="00"/>
    <w:family w:val="auto"/>
    <w:pitch w:val="default"/>
    <w:sig w:usb0="00000000" w:usb1="00000000" w:usb2="00000000" w:usb3="00000000" w:csb0="00040001" w:csb1="00000000"/>
  </w:font>
  <w:font w:name="方正小标宋简体">
    <w:altName w:val="微软雅黑"/>
    <w:panose1 w:val="02000000000000000000"/>
    <w:charset w:val="86"/>
    <w:family w:val="auto"/>
    <w:pitch w:val="default"/>
    <w:sig w:usb0="00000000" w:usb1="00000000" w:usb2="00000012" w:usb3="00000000" w:csb0="00040001" w:csb1="00000000"/>
  </w:font>
  <w:font w:name="华文中宋">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A1597">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477CE">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59F9B">
    <w:pPr>
      <w:pStyle w:val="13"/>
      <w:ind w:firstLine="360"/>
    </w:pPr>
    <w:r>
      <w:pict>
        <v:shape id="_x0000_s2049" o:spid="_x0000_s2049"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KhkOcVAgAAFQQAAA4AAABkcnMvZTJvRG9jLnhtbK1Ty47TMBTdI/EP&#10;lvc0aWF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miRDOFHZ2+fzv9+HX6+ZVAB4Ba62fw21h4hu6t6bDoQe+hjHN3&#10;lVPxxkQEdkB9vMArukB4DJpOptMcJg7b8ED+7DHcOh/eCaNIFArqsL8EKzusfehdB5dYTZtVI2Xa&#10;odSkLej166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MKhkOcVAgAAFQQAAA4AAAAAAAAA&#10;AQAgAAAAHwEAAGRycy9lMm9Eb2MueG1sUEsFBgAAAAAGAAYAWQEAAKYFAAAAAA==&#10;">
          <v:path/>
          <v:fill on="f" focussize="0,0"/>
          <v:stroke on="f" weight="0.5pt" joinstyle="miter"/>
          <v:imagedata o:title=""/>
          <o:lock v:ext="edit"/>
          <v:textbox inset="0mm,0mm,0mm,0mm" style="mso-fit-shape-to-text:t;">
            <w:txbxContent>
              <w:p w14:paraId="3D710CD6">
                <w:pPr>
                  <w:pStyle w:val="13"/>
                  <w:ind w:firstLine="360"/>
                </w:pPr>
                <w:r>
                  <w:fldChar w:fldCharType="begin"/>
                </w:r>
                <w:r>
                  <w:instrText xml:space="preserve"> PAGE  \* MERGEFORMAT </w:instrText>
                </w:r>
                <w:r>
                  <w:fldChar w:fldCharType="separate"/>
                </w:r>
                <w:r>
                  <w:t>12</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E0378">
    <w:pPr>
      <w:pStyle w:val="13"/>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548ED">
    <w:pPr>
      <w:pStyle w:val="13"/>
      <w:ind w:firstLine="360"/>
    </w:pPr>
    <w:r>
      <w:pict>
        <v:shape id="_x0000_s2050" o:spid="_x0000_s2050"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h3Pw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pFiWYKOzr9+H76+fv06xuBDgC11s/gt7HwDN0702HRg95DGefu&#10;KqfijYkI7ID6eIFXdIHwGDSdTKc5TBy24YH82VO4dT68F0aRKBTUYX8JVnZY+9C7Di6xmjarRsq0&#10;Q6lJW9Drq7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gh3PwVAgAAFQQAAA4AAAAAAAAA&#10;AQAgAAAAHwEAAGRycy9lMm9Eb2MueG1sUEsFBgAAAAAGAAYAWQEAAKYFAAAAAA==&#10;">
          <v:path/>
          <v:fill on="f" focussize="0,0"/>
          <v:stroke on="f" weight="0.5pt" joinstyle="miter"/>
          <v:imagedata o:title=""/>
          <o:lock v:ext="edit"/>
          <v:textbox inset="0mm,0mm,0mm,0mm" style="mso-fit-shape-to-text:t;">
            <w:txbxContent>
              <w:p w14:paraId="03FFCAA1">
                <w:pPr>
                  <w:pStyle w:val="13"/>
                  <w:ind w:firstLine="360"/>
                </w:pPr>
                <w:r>
                  <w:rPr>
                    <w:rFonts w:hint="eastAsia"/>
                  </w:rPr>
                  <w:fldChar w:fldCharType="begin"/>
                </w:r>
                <w:r>
                  <w:rPr>
                    <w:rFonts w:hint="eastAsia"/>
                  </w:rPr>
                  <w:instrText xml:space="preserve"> PAGE  \* MERGEFORMAT </w:instrText>
                </w:r>
                <w:r>
                  <w:rPr>
                    <w:rFonts w:hint="eastAsia"/>
                  </w:rPr>
                  <w:fldChar w:fldCharType="separate"/>
                </w:r>
                <w:r>
                  <w:t>IV</w:t>
                </w:r>
                <w:r>
                  <w:rPr>
                    <w:rFonts w:hint="eastAsia"/>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6AEC5">
    <w:pPr>
      <w:pStyle w:val="13"/>
      <w:ind w:firstLine="360"/>
    </w:pPr>
    <w:r>
      <w:pict>
        <v:shape id="_x0000_s2051" o:spid="_x0000_s2051"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yqR8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6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VyqR8VAgAAFQQAAA4AAAAAAAAA&#10;AQAgAAAAHwEAAGRycy9lMm9Eb2MueG1sUEsFBgAAAAAGAAYAWQEAAKYFAAAAAA==&#10;">
          <v:path/>
          <v:fill on="f" focussize="0,0"/>
          <v:stroke on="f" weight="0.5pt" joinstyle="miter"/>
          <v:imagedata o:title=""/>
          <o:lock v:ext="edit"/>
          <v:textbox inset="0mm,0mm,0mm,0mm" style="mso-fit-shape-to-text:t;">
            <w:txbxContent>
              <w:p w14:paraId="17318CB0">
                <w:pPr>
                  <w:pStyle w:val="13"/>
                  <w:ind w:firstLine="360"/>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9DC22">
    <w:pPr>
      <w:pStyle w:val="13"/>
      <w:ind w:firstLine="360"/>
    </w:pPr>
    <w:r>
      <w:pict>
        <v:shape id="_x0000_s2052" o:spid="_x0000_s2052"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aPvA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pFiWYKOzr9+H76+fv06xuBDgC11s/gt7HwDN0702HRg95DGefu&#10;KqfijYkI7ID6eIFXdIHwGDSdTKc5TBy24YH82VO4dT68F0aRKBTUYX8JVnZY+9C7Di6xmjarRsq0&#10;Q6lJW9Drt1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faPvAVAgAAFQQAAA4AAAAAAAAA&#10;AQAgAAAAHwEAAGRycy9lMm9Eb2MueG1sUEsFBgAAAAAGAAYAWQEAAKYFAAAAAA==&#10;">
          <v:path/>
          <v:fill on="f" focussize="0,0"/>
          <v:stroke on="f" weight="0.5pt" joinstyle="miter"/>
          <v:imagedata o:title=""/>
          <o:lock v:ext="edit"/>
          <v:textbox inset="0mm,0mm,0mm,0mm" style="mso-fit-shape-to-text:t;">
            <w:txbxContent>
              <w:p w14:paraId="7A06FA24">
                <w:pPr>
                  <w:pStyle w:val="13"/>
                  <w:ind w:firstLine="360"/>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93544">
    <w:pPr>
      <w:pStyle w:val="14"/>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5C1A4">
    <w:pPr>
      <w:pStyle w:val="14"/>
      <w:pBdr>
        <w:bottom w:val="double" w:color="auto" w:sz="8" w:space="0"/>
      </w:pBdr>
      <w:spacing w:line="240" w:lineRule="auto"/>
      <w:ind w:firstLine="360"/>
    </w:pPr>
    <w:r>
      <w:rPr>
        <w:rFonts w:hint="eastAsia"/>
        <w:lang w:eastAsia="zh-CN"/>
      </w:rPr>
      <w:t>江西洪城水业环保有限公司资溪县分公司</w:t>
    </w:r>
    <w:r>
      <w:rPr>
        <w:rFonts w:hint="eastAsia"/>
      </w:rPr>
      <w:t>突发环境事件应急预案</w:t>
    </w:r>
  </w:p>
  <w:p w14:paraId="3CFB8D26">
    <w:pPr>
      <w:pStyle w:val="14"/>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0EA1F">
    <w:pPr>
      <w:pStyle w:val="14"/>
      <w:pBdr>
        <w:bottom w:val="double" w:color="auto" w:sz="8" w:space="0"/>
      </w:pBdr>
      <w:spacing w:line="240" w:lineRule="auto"/>
      <w:ind w:firstLine="360"/>
    </w:pPr>
    <w:r>
      <w:rPr>
        <w:rFonts w:hint="eastAsia"/>
        <w:lang w:eastAsia="zh-CN"/>
      </w:rPr>
      <w:t>江西洪城水业环保有限公司资溪县分公司</w:t>
    </w:r>
    <w:r>
      <w:rPr>
        <w:rFonts w:hint="eastAsia"/>
      </w:rPr>
      <w:t>突发环境事件应急预案</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zUzMWQ1NDNlZDg5MzY0ODQ2OTRhYjkzNzM1ZWIxMDUifQ=="/>
  </w:docVars>
  <w:rsids>
    <w:rsidRoot w:val="00172A27"/>
    <w:rsid w:val="000036A0"/>
    <w:rsid w:val="00014B0B"/>
    <w:rsid w:val="00030BD6"/>
    <w:rsid w:val="00086E68"/>
    <w:rsid w:val="000B5C6B"/>
    <w:rsid w:val="000B6A61"/>
    <w:rsid w:val="000C4DC9"/>
    <w:rsid w:val="000E26B4"/>
    <w:rsid w:val="000F71E4"/>
    <w:rsid w:val="00105374"/>
    <w:rsid w:val="00133A51"/>
    <w:rsid w:val="00155781"/>
    <w:rsid w:val="00171C6F"/>
    <w:rsid w:val="001747BA"/>
    <w:rsid w:val="001A4DB1"/>
    <w:rsid w:val="001C7680"/>
    <w:rsid w:val="001D42BA"/>
    <w:rsid w:val="001F466B"/>
    <w:rsid w:val="001F4D45"/>
    <w:rsid w:val="00206806"/>
    <w:rsid w:val="002500E5"/>
    <w:rsid w:val="002526A3"/>
    <w:rsid w:val="00257A5D"/>
    <w:rsid w:val="002A714D"/>
    <w:rsid w:val="002A7DC8"/>
    <w:rsid w:val="002E7A2C"/>
    <w:rsid w:val="002E7B95"/>
    <w:rsid w:val="002F36CC"/>
    <w:rsid w:val="003126B2"/>
    <w:rsid w:val="00323C23"/>
    <w:rsid w:val="00327CF2"/>
    <w:rsid w:val="003327EC"/>
    <w:rsid w:val="003339CB"/>
    <w:rsid w:val="00347FA0"/>
    <w:rsid w:val="003545B5"/>
    <w:rsid w:val="00395BE7"/>
    <w:rsid w:val="003E5DA3"/>
    <w:rsid w:val="00411328"/>
    <w:rsid w:val="004314BE"/>
    <w:rsid w:val="00447994"/>
    <w:rsid w:val="0048532C"/>
    <w:rsid w:val="004F2B8A"/>
    <w:rsid w:val="004F4BFB"/>
    <w:rsid w:val="00510173"/>
    <w:rsid w:val="00536C1A"/>
    <w:rsid w:val="00570268"/>
    <w:rsid w:val="00587F29"/>
    <w:rsid w:val="00593C33"/>
    <w:rsid w:val="005E1453"/>
    <w:rsid w:val="005E52AF"/>
    <w:rsid w:val="00605BF0"/>
    <w:rsid w:val="00622F95"/>
    <w:rsid w:val="00627EC8"/>
    <w:rsid w:val="006620CC"/>
    <w:rsid w:val="006848BC"/>
    <w:rsid w:val="0068711B"/>
    <w:rsid w:val="006B5DDF"/>
    <w:rsid w:val="006E57DC"/>
    <w:rsid w:val="006E5EF1"/>
    <w:rsid w:val="00702449"/>
    <w:rsid w:val="00712080"/>
    <w:rsid w:val="00733D49"/>
    <w:rsid w:val="007357A4"/>
    <w:rsid w:val="00762F40"/>
    <w:rsid w:val="00776BFE"/>
    <w:rsid w:val="00792146"/>
    <w:rsid w:val="007A12E4"/>
    <w:rsid w:val="007D60C5"/>
    <w:rsid w:val="007E7733"/>
    <w:rsid w:val="00815C38"/>
    <w:rsid w:val="00825E7A"/>
    <w:rsid w:val="008364D2"/>
    <w:rsid w:val="008A7205"/>
    <w:rsid w:val="008C2A13"/>
    <w:rsid w:val="008C3EF2"/>
    <w:rsid w:val="008C61AB"/>
    <w:rsid w:val="008D0260"/>
    <w:rsid w:val="008D7F4C"/>
    <w:rsid w:val="008E4AA8"/>
    <w:rsid w:val="00925D3A"/>
    <w:rsid w:val="0096556C"/>
    <w:rsid w:val="009656CA"/>
    <w:rsid w:val="00A1086D"/>
    <w:rsid w:val="00A16EFC"/>
    <w:rsid w:val="00A24AE6"/>
    <w:rsid w:val="00A36FBC"/>
    <w:rsid w:val="00A47615"/>
    <w:rsid w:val="00A56B1D"/>
    <w:rsid w:val="00A67FB7"/>
    <w:rsid w:val="00AB0989"/>
    <w:rsid w:val="00AD4085"/>
    <w:rsid w:val="00B06761"/>
    <w:rsid w:val="00B27ED0"/>
    <w:rsid w:val="00B64BF0"/>
    <w:rsid w:val="00B809A5"/>
    <w:rsid w:val="00B872FF"/>
    <w:rsid w:val="00BC6E4E"/>
    <w:rsid w:val="00BF75B8"/>
    <w:rsid w:val="00C70BFF"/>
    <w:rsid w:val="00CC4B62"/>
    <w:rsid w:val="00CE3DEB"/>
    <w:rsid w:val="00D21FE3"/>
    <w:rsid w:val="00D22BBB"/>
    <w:rsid w:val="00D63F74"/>
    <w:rsid w:val="00D7604A"/>
    <w:rsid w:val="00DE77E3"/>
    <w:rsid w:val="00E21F5C"/>
    <w:rsid w:val="00E40390"/>
    <w:rsid w:val="00E9760E"/>
    <w:rsid w:val="00EB7F36"/>
    <w:rsid w:val="00F1027C"/>
    <w:rsid w:val="00F12027"/>
    <w:rsid w:val="00F63D8D"/>
    <w:rsid w:val="00F85AA1"/>
    <w:rsid w:val="00F91695"/>
    <w:rsid w:val="00FA1198"/>
    <w:rsid w:val="00FE519C"/>
    <w:rsid w:val="018E5C4B"/>
    <w:rsid w:val="020A0BA0"/>
    <w:rsid w:val="025074FC"/>
    <w:rsid w:val="032C01AC"/>
    <w:rsid w:val="03AF130F"/>
    <w:rsid w:val="03F4527E"/>
    <w:rsid w:val="04970DFE"/>
    <w:rsid w:val="057228FE"/>
    <w:rsid w:val="06071B42"/>
    <w:rsid w:val="07044910"/>
    <w:rsid w:val="0779772E"/>
    <w:rsid w:val="08013FB4"/>
    <w:rsid w:val="089F2EDA"/>
    <w:rsid w:val="09AE6BEA"/>
    <w:rsid w:val="0B43731A"/>
    <w:rsid w:val="0B860845"/>
    <w:rsid w:val="0C79238B"/>
    <w:rsid w:val="0D2A2817"/>
    <w:rsid w:val="0DBB5A94"/>
    <w:rsid w:val="0E060586"/>
    <w:rsid w:val="0F0C7620"/>
    <w:rsid w:val="0F227E06"/>
    <w:rsid w:val="0FB06F71"/>
    <w:rsid w:val="1008058C"/>
    <w:rsid w:val="103A1094"/>
    <w:rsid w:val="11A14508"/>
    <w:rsid w:val="11C43D9F"/>
    <w:rsid w:val="12685DD8"/>
    <w:rsid w:val="12C756E4"/>
    <w:rsid w:val="13083929"/>
    <w:rsid w:val="136C0A90"/>
    <w:rsid w:val="137405BB"/>
    <w:rsid w:val="144C4D8E"/>
    <w:rsid w:val="14574BB0"/>
    <w:rsid w:val="15A07014"/>
    <w:rsid w:val="15BE0B9F"/>
    <w:rsid w:val="18633962"/>
    <w:rsid w:val="19141D72"/>
    <w:rsid w:val="194C50EE"/>
    <w:rsid w:val="198F3627"/>
    <w:rsid w:val="19E90856"/>
    <w:rsid w:val="1A671380"/>
    <w:rsid w:val="1CFA214A"/>
    <w:rsid w:val="1D70782C"/>
    <w:rsid w:val="1D7F5E24"/>
    <w:rsid w:val="1F1F7C0F"/>
    <w:rsid w:val="20452C91"/>
    <w:rsid w:val="20D517CA"/>
    <w:rsid w:val="22235B69"/>
    <w:rsid w:val="22AE6372"/>
    <w:rsid w:val="245917DD"/>
    <w:rsid w:val="257F3570"/>
    <w:rsid w:val="25D3010F"/>
    <w:rsid w:val="26AE6896"/>
    <w:rsid w:val="27BB1053"/>
    <w:rsid w:val="29AE774D"/>
    <w:rsid w:val="2AE60BBA"/>
    <w:rsid w:val="2B3478AB"/>
    <w:rsid w:val="2B67585B"/>
    <w:rsid w:val="2BBA525D"/>
    <w:rsid w:val="2C107771"/>
    <w:rsid w:val="2CBE1485"/>
    <w:rsid w:val="2D2B7B69"/>
    <w:rsid w:val="2D595275"/>
    <w:rsid w:val="2DB40184"/>
    <w:rsid w:val="2E002948"/>
    <w:rsid w:val="2E5A6E43"/>
    <w:rsid w:val="2F637A08"/>
    <w:rsid w:val="2F7B6812"/>
    <w:rsid w:val="306B5398"/>
    <w:rsid w:val="322D4084"/>
    <w:rsid w:val="32C035E5"/>
    <w:rsid w:val="33BA6ECF"/>
    <w:rsid w:val="340735E6"/>
    <w:rsid w:val="34316AF3"/>
    <w:rsid w:val="35763254"/>
    <w:rsid w:val="35B270F3"/>
    <w:rsid w:val="35C24C72"/>
    <w:rsid w:val="35E30538"/>
    <w:rsid w:val="364E4E47"/>
    <w:rsid w:val="386211E0"/>
    <w:rsid w:val="38AE181C"/>
    <w:rsid w:val="39E43C6B"/>
    <w:rsid w:val="39F66925"/>
    <w:rsid w:val="3A4065AE"/>
    <w:rsid w:val="3BA80C5C"/>
    <w:rsid w:val="3BCB26C1"/>
    <w:rsid w:val="3CB323CA"/>
    <w:rsid w:val="3CF1733B"/>
    <w:rsid w:val="3E151EAD"/>
    <w:rsid w:val="3F981D9B"/>
    <w:rsid w:val="3FBE48ED"/>
    <w:rsid w:val="3FE214F2"/>
    <w:rsid w:val="425D41E8"/>
    <w:rsid w:val="426D00FA"/>
    <w:rsid w:val="434A3026"/>
    <w:rsid w:val="441427F7"/>
    <w:rsid w:val="445D7364"/>
    <w:rsid w:val="44632F9F"/>
    <w:rsid w:val="44BA0117"/>
    <w:rsid w:val="4723522B"/>
    <w:rsid w:val="47475E25"/>
    <w:rsid w:val="47CB0692"/>
    <w:rsid w:val="47DD1215"/>
    <w:rsid w:val="47DF3DA9"/>
    <w:rsid w:val="49FA3AED"/>
    <w:rsid w:val="4A601960"/>
    <w:rsid w:val="4C4D0FD4"/>
    <w:rsid w:val="4C740CF5"/>
    <w:rsid w:val="4CB27D76"/>
    <w:rsid w:val="4EA21742"/>
    <w:rsid w:val="4ED96CB3"/>
    <w:rsid w:val="4FEC0CC5"/>
    <w:rsid w:val="4FFD33A3"/>
    <w:rsid w:val="50603F43"/>
    <w:rsid w:val="50F273BF"/>
    <w:rsid w:val="51102E74"/>
    <w:rsid w:val="51440CC9"/>
    <w:rsid w:val="51BF4B7C"/>
    <w:rsid w:val="52AB07CA"/>
    <w:rsid w:val="52F1555B"/>
    <w:rsid w:val="52FA07ED"/>
    <w:rsid w:val="541128AF"/>
    <w:rsid w:val="5422686A"/>
    <w:rsid w:val="5573646E"/>
    <w:rsid w:val="55901C41"/>
    <w:rsid w:val="55FA4FFE"/>
    <w:rsid w:val="564F21E6"/>
    <w:rsid w:val="57E14874"/>
    <w:rsid w:val="582F38B6"/>
    <w:rsid w:val="586C31DF"/>
    <w:rsid w:val="58FD3402"/>
    <w:rsid w:val="592A5E0F"/>
    <w:rsid w:val="5A3400F7"/>
    <w:rsid w:val="5B1539E1"/>
    <w:rsid w:val="5BCD1433"/>
    <w:rsid w:val="5C064A28"/>
    <w:rsid w:val="5C0E660D"/>
    <w:rsid w:val="5C8929C1"/>
    <w:rsid w:val="5E527849"/>
    <w:rsid w:val="5EE2686A"/>
    <w:rsid w:val="601754C0"/>
    <w:rsid w:val="60175F72"/>
    <w:rsid w:val="61026FE7"/>
    <w:rsid w:val="616E2D1A"/>
    <w:rsid w:val="61AB14E4"/>
    <w:rsid w:val="62026D3B"/>
    <w:rsid w:val="63A135C8"/>
    <w:rsid w:val="63EE2C74"/>
    <w:rsid w:val="640E56F5"/>
    <w:rsid w:val="642F7BE1"/>
    <w:rsid w:val="64BF06B4"/>
    <w:rsid w:val="650435AE"/>
    <w:rsid w:val="656D5459"/>
    <w:rsid w:val="65D774B5"/>
    <w:rsid w:val="66AC23FD"/>
    <w:rsid w:val="67640CB9"/>
    <w:rsid w:val="67D96170"/>
    <w:rsid w:val="69527F64"/>
    <w:rsid w:val="6AC813C4"/>
    <w:rsid w:val="6ADB431B"/>
    <w:rsid w:val="6B2F640E"/>
    <w:rsid w:val="6B5650D8"/>
    <w:rsid w:val="6BCE6E72"/>
    <w:rsid w:val="6BDE5F90"/>
    <w:rsid w:val="6C0032BB"/>
    <w:rsid w:val="6D2E0A16"/>
    <w:rsid w:val="6EAC0598"/>
    <w:rsid w:val="6EBB0DF2"/>
    <w:rsid w:val="6F506DEB"/>
    <w:rsid w:val="6F5D74D7"/>
    <w:rsid w:val="70273477"/>
    <w:rsid w:val="714F3A1E"/>
    <w:rsid w:val="72DF046A"/>
    <w:rsid w:val="7342419F"/>
    <w:rsid w:val="74074959"/>
    <w:rsid w:val="76085468"/>
    <w:rsid w:val="77944B92"/>
    <w:rsid w:val="77BA00E9"/>
    <w:rsid w:val="77E578AD"/>
    <w:rsid w:val="783F2999"/>
    <w:rsid w:val="79050385"/>
    <w:rsid w:val="79426BF6"/>
    <w:rsid w:val="7A6F2585"/>
    <w:rsid w:val="7AAE41D5"/>
    <w:rsid w:val="7AE32427"/>
    <w:rsid w:val="7B7610C6"/>
    <w:rsid w:val="7E2E1ED0"/>
    <w:rsid w:val="7EC1660D"/>
    <w:rsid w:val="7F3D1630"/>
    <w:rsid w:val="7FBB274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qFormat="1" w:uiPriority="39" w:semiHidden="0" w:name="toc 4"/>
    <w:lsdException w:unhideWhenUsed="0" w:uiPriority="0" w:semiHidden="0" w:name="toc 5"/>
    <w:lsdException w:qFormat="1" w:unhideWhenUsed="0" w:uiPriority="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480" w:firstLineChars="200"/>
      <w:jc w:val="both"/>
    </w:pPr>
    <w:rPr>
      <w:rFonts w:ascii="Times New Roman" w:hAnsi="Times New Roman" w:eastAsia="宋体" w:cstheme="minorBidi"/>
      <w:kern w:val="2"/>
      <w:sz w:val="24"/>
      <w:szCs w:val="24"/>
      <w:lang w:val="en-US" w:eastAsia="zh-CN" w:bidi="ar-SA"/>
    </w:rPr>
  </w:style>
  <w:style w:type="paragraph" w:styleId="4">
    <w:name w:val="heading 1"/>
    <w:basedOn w:val="1"/>
    <w:next w:val="1"/>
    <w:autoRedefine/>
    <w:qFormat/>
    <w:uiPriority w:val="0"/>
    <w:pPr>
      <w:keepNext/>
      <w:keepLines/>
      <w:spacing w:beforeLines="50" w:afterLines="50"/>
      <w:ind w:firstLine="0" w:firstLineChars="0"/>
      <w:jc w:val="center"/>
      <w:outlineLvl w:val="0"/>
    </w:pPr>
    <w:rPr>
      <w:b/>
      <w:bCs/>
      <w:kern w:val="44"/>
      <w:sz w:val="44"/>
      <w:szCs w:val="44"/>
    </w:rPr>
  </w:style>
  <w:style w:type="paragraph" w:styleId="5">
    <w:name w:val="heading 2"/>
    <w:basedOn w:val="1"/>
    <w:next w:val="1"/>
    <w:autoRedefine/>
    <w:unhideWhenUsed/>
    <w:qFormat/>
    <w:uiPriority w:val="0"/>
    <w:pPr>
      <w:outlineLvl w:val="1"/>
    </w:pPr>
    <w:rPr>
      <w:sz w:val="32"/>
    </w:rPr>
  </w:style>
  <w:style w:type="paragraph" w:styleId="6">
    <w:name w:val="heading 3"/>
    <w:basedOn w:val="1"/>
    <w:next w:val="1"/>
    <w:autoRedefine/>
    <w:unhideWhenUsed/>
    <w:qFormat/>
    <w:uiPriority w:val="0"/>
    <w:pPr>
      <w:keepNext/>
      <w:keepLines/>
      <w:spacing w:beforeLines="50" w:afterLines="50"/>
      <w:ind w:firstLine="0" w:firstLineChars="0"/>
      <w:outlineLvl w:val="2"/>
    </w:pPr>
    <w:rPr>
      <w:b/>
      <w:bCs/>
      <w:sz w:val="28"/>
      <w:szCs w:val="28"/>
    </w:rPr>
  </w:style>
  <w:style w:type="paragraph" w:styleId="7">
    <w:name w:val="heading 4"/>
    <w:basedOn w:val="1"/>
    <w:next w:val="1"/>
    <w:autoRedefine/>
    <w:unhideWhenUsed/>
    <w:qFormat/>
    <w:uiPriority w:val="0"/>
    <w:pPr>
      <w:keepNext/>
      <w:keepLines/>
      <w:ind w:firstLine="0" w:firstLineChars="0"/>
      <w:jc w:val="left"/>
      <w:outlineLvl w:val="3"/>
    </w:pPr>
    <w:rPr>
      <w:b/>
    </w:rPr>
  </w:style>
  <w:style w:type="character" w:default="1" w:styleId="25">
    <w:name w:val="Default Paragraph Font"/>
    <w:autoRedefine/>
    <w:unhideWhenUsed/>
    <w:qFormat/>
    <w:uiPriority w:val="1"/>
  </w:style>
  <w:style w:type="table" w:default="1" w:styleId="23">
    <w:name w:val="Normal Table"/>
    <w:autoRedefine/>
    <w:unhideWhenUsed/>
    <w:qFormat/>
    <w:uiPriority w:val="99"/>
    <w:tblPr>
      <w:tblCellMar>
        <w:top w:w="0" w:type="dxa"/>
        <w:left w:w="108" w:type="dxa"/>
        <w:bottom w:w="0" w:type="dxa"/>
        <w:right w:w="108" w:type="dxa"/>
      </w:tblCellMar>
    </w:tblPr>
  </w:style>
  <w:style w:type="paragraph" w:customStyle="1" w:styleId="2">
    <w:name w:val="Default"/>
    <w:basedOn w:val="3"/>
    <w:autoRedefine/>
    <w:qFormat/>
    <w:uiPriority w:val="0"/>
    <w:pPr>
      <w:widowControl w:val="0"/>
      <w:autoSpaceDE w:val="0"/>
      <w:autoSpaceDN w:val="0"/>
      <w:adjustRightInd w:val="0"/>
    </w:pPr>
    <w:rPr>
      <w:rFonts w:asciiTheme="minorHAnsi" w:hAnsiTheme="minorHAnsi" w:eastAsiaTheme="minorEastAsia" w:cstheme="minorBidi"/>
      <w:color w:val="000000"/>
      <w:sz w:val="24"/>
      <w:szCs w:val="24"/>
      <w:lang w:val="en-US" w:eastAsia="zh-CN" w:bidi="ar-SA"/>
    </w:rPr>
  </w:style>
  <w:style w:type="paragraph" w:customStyle="1" w:styleId="3">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styleId="8">
    <w:name w:val="annotation text"/>
    <w:basedOn w:val="1"/>
    <w:autoRedefine/>
    <w:qFormat/>
    <w:uiPriority w:val="0"/>
    <w:pPr>
      <w:jc w:val="left"/>
    </w:pPr>
    <w:rPr>
      <w:szCs w:val="24"/>
    </w:rPr>
  </w:style>
  <w:style w:type="paragraph" w:styleId="9">
    <w:name w:val="Body Text"/>
    <w:basedOn w:val="1"/>
    <w:autoRedefine/>
    <w:qFormat/>
    <w:uiPriority w:val="99"/>
    <w:pPr>
      <w:ind w:left="220"/>
    </w:pPr>
    <w:rPr>
      <w:rFonts w:ascii="Noto Sans CJK JP Regular" w:hAnsi="Noto Sans CJK JP Regular" w:cs="Noto Sans CJK JP Regular"/>
      <w:lang w:val="zh-CN"/>
    </w:rPr>
  </w:style>
  <w:style w:type="paragraph" w:styleId="10">
    <w:name w:val="Body Text Indent"/>
    <w:basedOn w:val="1"/>
    <w:autoRedefine/>
    <w:qFormat/>
    <w:uiPriority w:val="0"/>
    <w:pPr>
      <w:spacing w:after="120"/>
      <w:ind w:left="420" w:leftChars="200"/>
    </w:pPr>
    <w:rPr>
      <w:kern w:val="0"/>
    </w:rPr>
  </w:style>
  <w:style w:type="paragraph" w:styleId="11">
    <w:name w:val="Date"/>
    <w:basedOn w:val="1"/>
    <w:next w:val="1"/>
    <w:autoRedefine/>
    <w:qFormat/>
    <w:uiPriority w:val="0"/>
    <w:pPr>
      <w:widowControl/>
      <w:suppressAutoHyphens/>
      <w:snapToGrid w:val="0"/>
      <w:spacing w:before="120"/>
      <w:ind w:left="754"/>
    </w:pPr>
    <w:rPr>
      <w:rFonts w:eastAsia="楷体"/>
      <w:bCs/>
      <w:color w:val="000000"/>
      <w:sz w:val="24"/>
      <w:szCs w:val="20"/>
    </w:rPr>
  </w:style>
  <w:style w:type="paragraph" w:styleId="12">
    <w:name w:val="Balloon Text"/>
    <w:basedOn w:val="1"/>
    <w:link w:val="37"/>
    <w:autoRedefine/>
    <w:qFormat/>
    <w:uiPriority w:val="0"/>
    <w:pPr>
      <w:spacing w:line="240" w:lineRule="auto"/>
    </w:pPr>
    <w:rPr>
      <w:sz w:val="18"/>
      <w:szCs w:val="18"/>
    </w:rPr>
  </w:style>
  <w:style w:type="paragraph" w:styleId="13">
    <w:name w:val="footer"/>
    <w:basedOn w:val="1"/>
    <w:autoRedefine/>
    <w:qFormat/>
    <w:uiPriority w:val="0"/>
    <w:pPr>
      <w:tabs>
        <w:tab w:val="center" w:pos="4153"/>
        <w:tab w:val="right" w:pos="8306"/>
      </w:tabs>
      <w:snapToGrid w:val="0"/>
      <w:jc w:val="left"/>
    </w:pPr>
    <w:rPr>
      <w:sz w:val="18"/>
      <w:szCs w:val="18"/>
    </w:rPr>
  </w:style>
  <w:style w:type="paragraph" w:styleId="14">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autoRedefine/>
    <w:qFormat/>
    <w:uiPriority w:val="39"/>
    <w:pPr>
      <w:ind w:firstLine="0" w:firstLineChars="0"/>
    </w:pPr>
    <w:rPr>
      <w:b/>
      <w:sz w:val="28"/>
      <w:szCs w:val="28"/>
    </w:rPr>
  </w:style>
  <w:style w:type="paragraph" w:styleId="16">
    <w:name w:val="toc 4"/>
    <w:basedOn w:val="1"/>
    <w:next w:val="1"/>
    <w:autoRedefine/>
    <w:unhideWhenUsed/>
    <w:qFormat/>
    <w:uiPriority w:val="39"/>
    <w:pPr>
      <w:ind w:left="720"/>
    </w:pPr>
    <w:rPr>
      <w:rFonts w:asciiTheme="minorHAnsi" w:hAnsiTheme="minorHAnsi" w:cstheme="minorHAnsi"/>
      <w:sz w:val="18"/>
      <w:szCs w:val="18"/>
    </w:rPr>
  </w:style>
  <w:style w:type="paragraph" w:styleId="17">
    <w:name w:val="List"/>
    <w:basedOn w:val="1"/>
    <w:autoRedefine/>
    <w:qFormat/>
    <w:uiPriority w:val="0"/>
    <w:pPr>
      <w:spacing w:line="240" w:lineRule="exact"/>
      <w:jc w:val="center"/>
    </w:pPr>
    <w:rPr>
      <w:rFonts w:ascii="华文新魏" w:eastAsia="华文新魏"/>
      <w:kern w:val="2"/>
      <w:sz w:val="21"/>
    </w:rPr>
  </w:style>
  <w:style w:type="paragraph" w:styleId="18">
    <w:name w:val="toc 6"/>
    <w:basedOn w:val="1"/>
    <w:next w:val="1"/>
    <w:autoRedefine/>
    <w:semiHidden/>
    <w:qFormat/>
    <w:uiPriority w:val="0"/>
    <w:pPr>
      <w:widowControl w:val="0"/>
      <w:ind w:left="2100" w:leftChars="1000"/>
      <w:jc w:val="both"/>
    </w:pPr>
    <w:rPr>
      <w:rFonts w:ascii="Times New Roman" w:hAnsi="Times New Roman" w:cs="Times New Roman"/>
      <w:kern w:val="2"/>
      <w:sz w:val="21"/>
    </w:rPr>
  </w:style>
  <w:style w:type="paragraph" w:styleId="19">
    <w:name w:val="toc 2"/>
    <w:basedOn w:val="1"/>
    <w:next w:val="1"/>
    <w:autoRedefine/>
    <w:qFormat/>
    <w:uiPriority w:val="39"/>
    <w:pPr>
      <w:ind w:left="480" w:leftChars="200" w:firstLine="0" w:firstLineChars="0"/>
    </w:pPr>
  </w:style>
  <w:style w:type="paragraph" w:styleId="20">
    <w:name w:val="Normal (Web)"/>
    <w:basedOn w:val="1"/>
    <w:autoRedefine/>
    <w:qFormat/>
    <w:uiPriority w:val="0"/>
    <w:pPr>
      <w:widowControl/>
      <w:spacing w:beforeAutospacing="1" w:afterAutospacing="1"/>
      <w:jc w:val="left"/>
    </w:pPr>
    <w:rPr>
      <w:rFonts w:ascii="宋体" w:hAnsi="宋体"/>
      <w:kern w:val="0"/>
      <w:sz w:val="24"/>
    </w:rPr>
  </w:style>
  <w:style w:type="paragraph" w:styleId="21">
    <w:name w:val="Body Text First Indent"/>
    <w:basedOn w:val="9"/>
    <w:next w:val="1"/>
    <w:autoRedefine/>
    <w:qFormat/>
    <w:uiPriority w:val="0"/>
    <w:pPr>
      <w:tabs>
        <w:tab w:val="left" w:pos="7920"/>
      </w:tabs>
      <w:ind w:firstLine="420" w:firstLineChars="100"/>
    </w:pPr>
  </w:style>
  <w:style w:type="paragraph" w:styleId="22">
    <w:name w:val="Body Text First Indent 2"/>
    <w:basedOn w:val="10"/>
    <w:next w:val="21"/>
    <w:autoRedefine/>
    <w:qFormat/>
    <w:uiPriority w:val="0"/>
    <w:pPr>
      <w:spacing w:after="0"/>
      <w:ind w:left="0" w:leftChars="0" w:firstLine="420"/>
    </w:pPr>
  </w:style>
  <w:style w:type="table" w:styleId="24">
    <w:name w:val="Table Grid"/>
    <w:basedOn w:val="2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page number"/>
    <w:basedOn w:val="25"/>
    <w:autoRedefine/>
    <w:qFormat/>
    <w:uiPriority w:val="0"/>
  </w:style>
  <w:style w:type="character" w:styleId="27">
    <w:name w:val="Hyperlink"/>
    <w:basedOn w:val="25"/>
    <w:autoRedefine/>
    <w:unhideWhenUsed/>
    <w:qFormat/>
    <w:uiPriority w:val="99"/>
    <w:rPr>
      <w:color w:val="0563C1" w:themeColor="hyperlink"/>
      <w:u w:val="single"/>
    </w:rPr>
  </w:style>
  <w:style w:type="paragraph" w:customStyle="1" w:styleId="28">
    <w:name w:val="Default1"/>
    <w:basedOn w:val="29"/>
    <w:next w:val="1"/>
    <w:autoRedefine/>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9">
    <w:name w:val="Normal_14_0"/>
    <w:autoRedefine/>
    <w:qFormat/>
    <w:uiPriority w:val="0"/>
    <w:pPr>
      <w:spacing w:before="120" w:after="240"/>
      <w:jc w:val="both"/>
    </w:pPr>
    <w:rPr>
      <w:rFonts w:ascii="Calibri" w:hAnsi="Calibri" w:eastAsia="Calibri" w:cs="Times New Roman"/>
      <w:sz w:val="22"/>
      <w:szCs w:val="22"/>
      <w:lang w:val="ru-RU" w:eastAsia="en-US" w:bidi="ar-SA"/>
    </w:rPr>
  </w:style>
  <w:style w:type="paragraph" w:customStyle="1" w:styleId="30">
    <w:name w:val="样式5"/>
    <w:basedOn w:val="1"/>
    <w:autoRedefine/>
    <w:unhideWhenUsed/>
    <w:qFormat/>
    <w:uiPriority w:val="0"/>
    <w:pPr>
      <w:snapToGrid w:val="0"/>
      <w:spacing w:beforeLines="0" w:afterLines="0"/>
      <w:ind w:firstLine="510"/>
    </w:pPr>
    <w:rPr>
      <w:rFonts w:hint="default"/>
      <w:sz w:val="24"/>
    </w:rPr>
  </w:style>
  <w:style w:type="paragraph" w:customStyle="1" w:styleId="31">
    <w:name w:val="00000000000000000000000"/>
    <w:basedOn w:val="1"/>
    <w:autoRedefine/>
    <w:qFormat/>
    <w:uiPriority w:val="0"/>
    <w:rPr>
      <w:snapToGrid w:val="0"/>
    </w:rPr>
  </w:style>
  <w:style w:type="paragraph" w:customStyle="1" w:styleId="32">
    <w:name w:val="111111111111111111111111"/>
    <w:basedOn w:val="33"/>
    <w:autoRedefine/>
    <w:qFormat/>
    <w:uiPriority w:val="0"/>
    <w:pPr>
      <w:spacing w:beforeLines="50" w:line="240" w:lineRule="auto"/>
      <w:ind w:firstLine="0" w:firstLineChars="0"/>
      <w:jc w:val="center"/>
    </w:pPr>
    <w:rPr>
      <w:b/>
    </w:rPr>
  </w:style>
  <w:style w:type="paragraph" w:customStyle="1" w:styleId="33">
    <w:name w:val="正本文字"/>
    <w:basedOn w:val="1"/>
    <w:autoRedefine/>
    <w:qFormat/>
    <w:uiPriority w:val="0"/>
    <w:pPr>
      <w:adjustRightInd w:val="0"/>
      <w:snapToGrid w:val="0"/>
      <w:ind w:firstLine="883"/>
      <w:jc w:val="left"/>
    </w:pPr>
    <w:rPr>
      <w:kern w:val="18"/>
      <w:szCs w:val="20"/>
    </w:rPr>
  </w:style>
  <w:style w:type="paragraph" w:customStyle="1" w:styleId="34">
    <w:name w:val="222222222222222222222222222"/>
    <w:basedOn w:val="1"/>
    <w:autoRedefine/>
    <w:qFormat/>
    <w:uiPriority w:val="0"/>
    <w:pPr>
      <w:spacing w:line="240" w:lineRule="auto"/>
      <w:ind w:firstLine="0" w:firstLineChars="0"/>
      <w:jc w:val="center"/>
    </w:pPr>
    <w:rPr>
      <w:sz w:val="21"/>
      <w:szCs w:val="21"/>
    </w:rPr>
  </w:style>
  <w:style w:type="paragraph" w:customStyle="1" w:styleId="35">
    <w:name w:val="表体"/>
    <w:basedOn w:val="1"/>
    <w:autoRedefine/>
    <w:qFormat/>
    <w:uiPriority w:val="0"/>
    <w:pPr>
      <w:overflowPunct w:val="0"/>
      <w:adjustRightInd w:val="0"/>
      <w:snapToGrid w:val="0"/>
      <w:jc w:val="center"/>
      <w:textAlignment w:val="baseline"/>
    </w:pPr>
    <w:rPr>
      <w:rFonts w:ascii="仿宋_GB2312" w:eastAsia="仿宋_GB2312"/>
      <w:color w:val="000000"/>
      <w:kern w:val="24"/>
    </w:rPr>
  </w:style>
  <w:style w:type="paragraph" w:customStyle="1" w:styleId="36">
    <w:name w:val="表注"/>
    <w:basedOn w:val="1"/>
    <w:autoRedefine/>
    <w:qFormat/>
    <w:uiPriority w:val="0"/>
    <w:pPr>
      <w:spacing w:line="240" w:lineRule="auto"/>
    </w:pPr>
    <w:rPr>
      <w:rFonts w:eastAsia="黑体"/>
      <w:sz w:val="18"/>
      <w:szCs w:val="18"/>
    </w:rPr>
  </w:style>
  <w:style w:type="character" w:customStyle="1" w:styleId="37">
    <w:name w:val="批注框文本 Char"/>
    <w:basedOn w:val="25"/>
    <w:link w:val="12"/>
    <w:autoRedefine/>
    <w:qFormat/>
    <w:uiPriority w:val="0"/>
    <w:rPr>
      <w:rFonts w:cstheme="minorBidi"/>
      <w:kern w:val="2"/>
      <w:sz w:val="18"/>
      <w:szCs w:val="18"/>
    </w:rPr>
  </w:style>
  <w:style w:type="paragraph" w:customStyle="1" w:styleId="38">
    <w:name w:val="2222222222"/>
    <w:basedOn w:val="1"/>
    <w:autoRedefine/>
    <w:qFormat/>
    <w:uiPriority w:val="0"/>
    <w:pPr>
      <w:spacing w:line="240" w:lineRule="auto"/>
      <w:ind w:firstLine="0" w:firstLineChars="0"/>
      <w:jc w:val="center"/>
    </w:pPr>
    <w:rPr>
      <w:sz w:val="21"/>
      <w:szCs w:val="21"/>
    </w:rPr>
  </w:style>
  <w:style w:type="paragraph" w:customStyle="1" w:styleId="39">
    <w:name w:val="君邦正文"/>
    <w:basedOn w:val="1"/>
    <w:autoRedefine/>
    <w:qFormat/>
    <w:uiPriority w:val="0"/>
    <w:pPr>
      <w:widowControl/>
      <w:spacing w:after="60"/>
      <w:ind w:firstLine="200"/>
      <w:jc w:val="left"/>
    </w:pPr>
    <w:rPr>
      <w:rFonts w:cs="Times New Roman"/>
      <w:szCs w:val="20"/>
    </w:rPr>
  </w:style>
  <w:style w:type="paragraph" w:customStyle="1" w:styleId="40">
    <w:name w:val="xl27"/>
    <w:basedOn w:val="1"/>
    <w:autoRedefine/>
    <w:qFormat/>
    <w:uiPriority w:val="0"/>
    <w:pPr>
      <w:widowControl/>
      <w:pBdr>
        <w:bottom w:val="single" w:color="auto" w:sz="12" w:space="0"/>
      </w:pBdr>
      <w:spacing w:before="100" w:after="100"/>
      <w:jc w:val="center"/>
    </w:pPr>
    <w:rPr>
      <w:rFonts w:ascii="Tahoma" w:hAnsi="Tahoma"/>
      <w:kern w:val="0"/>
      <w:szCs w:val="20"/>
    </w:rPr>
  </w:style>
  <w:style w:type="paragraph" w:customStyle="1" w:styleId="41">
    <w:name w:val="Table Paragraph"/>
    <w:basedOn w:val="1"/>
    <w:autoRedefine/>
    <w:qFormat/>
    <w:uiPriority w:val="0"/>
    <w:pPr>
      <w:spacing w:line="340" w:lineRule="exact"/>
      <w:ind w:left="108"/>
    </w:pPr>
    <w:rPr>
      <w:rFonts w:ascii="Noto Sans CJK JP Regular" w:hAnsi="Noto Sans CJK JP Regular" w:cs="Noto Sans CJK JP Regular"/>
      <w:lang w:val="zh-CN"/>
    </w:rPr>
  </w:style>
  <w:style w:type="paragraph" w:customStyle="1" w:styleId="42">
    <w:name w:val="D表内1磅"/>
    <w:basedOn w:val="43"/>
    <w:autoRedefine/>
    <w:qFormat/>
    <w:uiPriority w:val="0"/>
    <w:pPr>
      <w:spacing w:before="20" w:after="20" w:line="240" w:lineRule="auto"/>
      <w:ind w:firstLine="0" w:firstLineChars="0"/>
    </w:pPr>
  </w:style>
  <w:style w:type="paragraph" w:customStyle="1" w:styleId="43">
    <w:name w:val="D表内0磅"/>
    <w:basedOn w:val="44"/>
    <w:autoRedefine/>
    <w:qFormat/>
    <w:uiPriority w:val="0"/>
    <w:pPr>
      <w:spacing w:before="0" w:after="0"/>
    </w:pPr>
  </w:style>
  <w:style w:type="paragraph" w:customStyle="1" w:styleId="44">
    <w:name w:val="D表内"/>
    <w:basedOn w:val="45"/>
    <w:autoRedefine/>
    <w:qFormat/>
    <w:uiPriority w:val="0"/>
    <w:pPr>
      <w:spacing w:before="40" w:after="40"/>
    </w:pPr>
    <w:rPr>
      <w:rFonts w:ascii="Times New Roman" w:hAnsi="Times New Roman"/>
      <w:szCs w:val="21"/>
      <w:lang w:val="en-US" w:eastAsia="zh-CN"/>
    </w:rPr>
  </w:style>
  <w:style w:type="paragraph" w:customStyle="1" w:styleId="45">
    <w:name w:val="图表"/>
    <w:basedOn w:val="1"/>
    <w:autoRedefine/>
    <w:qFormat/>
    <w:uiPriority w:val="0"/>
    <w:pPr>
      <w:spacing w:before="120" w:after="120"/>
      <w:jc w:val="center"/>
    </w:pPr>
    <w:rPr>
      <w:rFonts w:ascii="宋体" w:hAnsi="宋体"/>
      <w:color w:val="auto"/>
      <w:sz w:val="21"/>
      <w:szCs w:val="20"/>
    </w:rPr>
  </w:style>
  <w:style w:type="paragraph" w:customStyle="1" w:styleId="46">
    <w:name w:val="xl25"/>
    <w:basedOn w:val="1"/>
    <w:autoRedefine/>
    <w:qFormat/>
    <w:uiPriority w:val="0"/>
    <w:pPr>
      <w:widowControl/>
      <w:pBdr>
        <w:bottom w:val="single" w:color="auto" w:sz="4" w:space="0"/>
        <w:right w:val="single" w:color="auto" w:sz="4" w:space="0"/>
      </w:pBdr>
      <w:spacing w:before="100" w:beforeAutospacing="1" w:after="100" w:afterAutospacing="1"/>
    </w:pPr>
    <w:rPr>
      <w:rFonts w:ascii="Times New Roman" w:hAnsi="Times New Roman" w:eastAsia="宋体" w:cs="Times New Roman"/>
      <w:kern w:val="0"/>
      <w:szCs w:val="21"/>
    </w:rPr>
  </w:style>
  <w:style w:type="paragraph" w:customStyle="1" w:styleId="47">
    <w:name w:val="xl36"/>
    <w:basedOn w:val="1"/>
    <w:autoRedefine/>
    <w:qFormat/>
    <w:uiPriority w:val="0"/>
    <w:pPr>
      <w:widowControl/>
      <w:pBdr>
        <w:left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 w:val="24"/>
      <w:szCs w:val="24"/>
    </w:rPr>
  </w:style>
  <w:style w:type="paragraph" w:customStyle="1" w:styleId="48">
    <w:name w:val="表中"/>
    <w:basedOn w:val="1"/>
    <w:autoRedefine/>
    <w:qFormat/>
    <w:uiPriority w:val="0"/>
    <w:pPr>
      <w:adjustRightInd w:val="0"/>
      <w:snapToGrid w:val="0"/>
      <w:spacing w:line="240" w:lineRule="atLeast"/>
      <w:jc w:val="left"/>
    </w:pPr>
    <w:rPr>
      <w:szCs w:val="21"/>
    </w:rPr>
  </w:style>
  <w:style w:type="paragraph" w:customStyle="1" w:styleId="49">
    <w:name w:val="Table Text"/>
    <w:basedOn w:val="1"/>
    <w:autoRedefine/>
    <w:semiHidden/>
    <w:qFormat/>
    <w:uiPriority w:val="0"/>
    <w:rPr>
      <w:rFonts w:ascii="宋体" w:hAnsi="宋体" w:eastAsia="宋体" w:cs="宋体"/>
      <w:sz w:val="20"/>
      <w:szCs w:val="20"/>
      <w:lang w:val="en-US" w:eastAsia="en-US" w:bidi="ar-SA"/>
    </w:rPr>
  </w:style>
  <w:style w:type="table" w:customStyle="1" w:styleId="50">
    <w:name w:val="Table Normal"/>
    <w:autoRedefine/>
    <w:unhideWhenUsed/>
    <w:qFormat/>
    <w:uiPriority w:val="0"/>
    <w:tblPr>
      <w:tblCellMar>
        <w:top w:w="0" w:type="dxa"/>
        <w:left w:w="0" w:type="dxa"/>
        <w:bottom w:w="0" w:type="dxa"/>
        <w:right w:w="0" w:type="dxa"/>
      </w:tblCellMar>
    </w:tblPr>
  </w:style>
  <w:style w:type="paragraph" w:customStyle="1" w:styleId="51">
    <w:name w:val="样式 正文文本文本正文正文文字 Char Char Char Char + 居中 首行缩进:  0 厘米 段前: 6 磅"/>
    <w:basedOn w:val="9"/>
    <w:autoRedefine/>
    <w:qFormat/>
    <w:uiPriority w:val="0"/>
    <w:pPr>
      <w:adjustRightInd w:val="0"/>
      <w:spacing w:before="120" w:after="0"/>
      <w:jc w:val="center"/>
      <w:textAlignment w:val="baseline"/>
    </w:pPr>
    <w:rPr>
      <w:rFonts w:ascii="宋体"/>
      <w:snapToGrid w:val="0"/>
      <w:w w:val="90"/>
      <w:sz w:val="24"/>
    </w:rPr>
  </w:style>
  <w:style w:type="paragraph" w:customStyle="1" w:styleId="52">
    <w:name w:val="表格中文字"/>
    <w:basedOn w:val="1"/>
    <w:autoRedefine/>
    <w:qFormat/>
    <w:uiPriority w:val="0"/>
    <w:pPr>
      <w:snapToGrid w:val="0"/>
      <w:spacing w:line="240" w:lineRule="auto"/>
      <w:ind w:firstLine="0" w:firstLineChars="0"/>
      <w:jc w:val="center"/>
    </w:pPr>
    <w:rPr>
      <w:sz w:val="21"/>
      <w:szCs w:val="21"/>
    </w:rPr>
  </w:style>
  <w:style w:type="paragraph" w:customStyle="1" w:styleId="53">
    <w:name w:val="表格正文"/>
    <w:basedOn w:val="1"/>
    <w:next w:val="1"/>
    <w:autoRedefine/>
    <w:qFormat/>
    <w:uiPriority w:val="0"/>
    <w:pPr>
      <w:adjustRightInd w:val="0"/>
      <w:snapToGrid w:val="0"/>
      <w:jc w:val="center"/>
      <w:textAlignment w:val="baseline"/>
    </w:pPr>
    <w:rPr>
      <w:rFonts w:ascii="宋体" w:hAnsi="宋体"/>
      <w:snapToGrid w:val="0"/>
      <w:spacing w:val="4"/>
      <w:kern w:val="0"/>
      <w:sz w:val="20"/>
    </w:rPr>
  </w:style>
  <w:style w:type="paragraph" w:customStyle="1" w:styleId="54">
    <w:name w:val="t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55">
    <w:name w:val="fontstyle01"/>
    <w:basedOn w:val="25"/>
    <w:autoRedefine/>
    <w:qFormat/>
    <w:uiPriority w:val="0"/>
    <w:rPr>
      <w:rFonts w:ascii="宋体" w:hAnsi="宋体" w:eastAsia="宋体" w:cs="宋体"/>
      <w:color w:val="000000"/>
      <w:sz w:val="22"/>
      <w:szCs w:val="22"/>
    </w:rPr>
  </w:style>
  <w:style w:type="character" w:customStyle="1" w:styleId="56">
    <w:name w:val="fontstyle21"/>
    <w:basedOn w:val="25"/>
    <w:autoRedefine/>
    <w:qFormat/>
    <w:uiPriority w:val="0"/>
    <w:rPr>
      <w:rFonts w:ascii="TimesNewRomanPSMT" w:hAnsi="TimesNewRomanPSMT" w:eastAsia="TimesNewRomanPSMT" w:cs="TimesNewRomanPSMT"/>
      <w:color w:val="000000"/>
      <w:sz w:val="22"/>
      <w:szCs w:val="22"/>
    </w:rPr>
  </w:style>
  <w:style w:type="paragraph" w:customStyle="1" w:styleId="57">
    <w:name w:val="1表格"/>
    <w:basedOn w:val="1"/>
    <w:autoRedefine/>
    <w:qFormat/>
    <w:uiPriority w:val="0"/>
    <w:pPr>
      <w:adjustRightInd w:val="0"/>
      <w:snapToGrid w:val="0"/>
      <w:jc w:val="center"/>
      <w:textAlignment w:val="baseline"/>
    </w:pPr>
    <w:rPr>
      <w:rFonts w:cs="宋体"/>
      <w:spacing w:val="4"/>
    </w:rPr>
  </w:style>
  <w:style w:type="paragraph" w:customStyle="1" w:styleId="58">
    <w:name w:val="List Paragraph"/>
    <w:basedOn w:val="1"/>
    <w:autoRedefine/>
    <w:qFormat/>
    <w:uiPriority w:val="99"/>
    <w:pPr>
      <w:ind w:firstLine="420" w:firstLineChars="200"/>
    </w:pPr>
  </w:style>
  <w:style w:type="paragraph" w:customStyle="1" w:styleId="59">
    <w:name w:val="IDC A-Head (2nd Line)"/>
    <w:basedOn w:val="1"/>
    <w:next w:val="1"/>
    <w:autoRedefine/>
    <w:qFormat/>
    <w:uiPriority w:val="0"/>
    <w:pPr>
      <w:jc w:val="center"/>
    </w:pPr>
    <w:rPr>
      <w:rFonts w:ascii="Times New Roman" w:hAnsi="Times New Roman" w:cs="Times New Roman"/>
      <w:caps/>
      <w:szCs w:val="20"/>
    </w:rPr>
  </w:style>
  <w:style w:type="character" w:customStyle="1" w:styleId="60">
    <w:name w:val="text_edit editable-title"/>
    <w:basedOn w:val="25"/>
    <w:autoRedefine/>
    <w:qFormat/>
    <w:uiPriority w:val="0"/>
  </w:style>
  <w:style w:type="paragraph" w:customStyle="1" w:styleId="61">
    <w:name w:val=" Char Char Char Char Char Char Char"/>
    <w:basedOn w:val="1"/>
    <w:autoRedefine/>
    <w:qFormat/>
    <w:uiPriority w:val="0"/>
  </w:style>
  <w:style w:type="paragraph" w:customStyle="1" w:styleId="62">
    <w:name w:val="ST1标题"/>
    <w:basedOn w:val="1"/>
    <w:autoRedefine/>
    <w:qFormat/>
    <w:uiPriority w:val="0"/>
    <w:pPr>
      <w:tabs>
        <w:tab w:val="left" w:pos="425"/>
      </w:tabs>
      <w:ind w:firstLine="0" w:firstLineChars="0"/>
      <w:jc w:val="left"/>
      <w:outlineLvl w:val="0"/>
    </w:pPr>
    <w:rPr>
      <w:rFonts w:eastAsia="宋体"/>
      <w:b/>
      <w:kern w:val="0"/>
      <w:sz w:val="30"/>
      <w:szCs w:val="20"/>
    </w:rPr>
  </w:style>
  <w:style w:type="paragraph" w:customStyle="1" w:styleId="63">
    <w:name w:val="ST表头"/>
    <w:basedOn w:val="64"/>
    <w:autoRedefine/>
    <w:qFormat/>
    <w:uiPriority w:val="0"/>
    <w:pPr>
      <w:spacing w:line="240" w:lineRule="auto"/>
      <w:ind w:firstLine="0" w:firstLineChars="0"/>
      <w:jc w:val="center"/>
    </w:pPr>
    <w:rPr>
      <w:rFonts w:eastAsia="宋体"/>
      <w:b/>
    </w:rPr>
  </w:style>
  <w:style w:type="paragraph" w:customStyle="1" w:styleId="64">
    <w:name w:val="ST正文"/>
    <w:basedOn w:val="65"/>
    <w:autoRedefine/>
    <w:qFormat/>
    <w:uiPriority w:val="0"/>
    <w:pPr>
      <w:spacing w:line="360" w:lineRule="auto"/>
      <w:ind w:firstLine="200"/>
    </w:pPr>
    <w:rPr>
      <w:rFonts w:ascii="Times New Roman" w:eastAsia="宋体"/>
      <w:sz w:val="24"/>
      <w:szCs w:val="24"/>
    </w:rPr>
  </w:style>
  <w:style w:type="paragraph" w:customStyle="1" w:styleId="65">
    <w:name w:val="环评正文"/>
    <w:basedOn w:val="11"/>
    <w:autoRedefine/>
    <w:qFormat/>
    <w:uiPriority w:val="0"/>
    <w:pPr>
      <w:widowControl w:val="0"/>
      <w:suppressAutoHyphens w:val="0"/>
      <w:snapToGrid/>
      <w:spacing w:before="0" w:line="500" w:lineRule="exact"/>
      <w:ind w:left="0" w:firstLine="560" w:firstLineChars="200"/>
    </w:pPr>
    <w:rPr>
      <w:rFonts w:ascii="仿宋_GB2312" w:eastAsia="仿宋_GB2312"/>
      <w:bCs w:val="0"/>
      <w:color w:val="auto"/>
      <w:sz w:val="28"/>
    </w:rPr>
  </w:style>
  <w:style w:type="paragraph" w:customStyle="1" w:styleId="66">
    <w:name w:val="ST表内样式"/>
    <w:basedOn w:val="1"/>
    <w:autoRedefine/>
    <w:qFormat/>
    <w:uiPriority w:val="0"/>
    <w:pPr>
      <w:spacing w:line="240" w:lineRule="auto"/>
      <w:ind w:firstLine="0" w:firstLineChars="0"/>
      <w:jc w:val="center"/>
    </w:pPr>
    <w:rPr>
      <w:rFonts w:cs="Times New Roman"/>
      <w:sz w:val="21"/>
    </w:rPr>
  </w:style>
  <w:style w:type="paragraph" w:customStyle="1" w:styleId="67">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jpeg"/><Relationship Id="rId30" Type="http://schemas.openxmlformats.org/officeDocument/2006/relationships/image" Target="media/image13.jpeg"/><Relationship Id="rId3" Type="http://schemas.openxmlformats.org/officeDocument/2006/relationships/footnotes" Target="footnotes.xml"/><Relationship Id="rId29" Type="http://schemas.openxmlformats.org/officeDocument/2006/relationships/image" Target="media/image12.jpeg"/><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jpe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2.png"/><Relationship Id="rId17" Type="http://schemas.openxmlformats.org/officeDocument/2006/relationships/image" Target="media/image1.emf"/><Relationship Id="rId16" Type="http://schemas.openxmlformats.org/officeDocument/2006/relationships/oleObject" Target="embeddings/oleObject1.bin"/><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3.xml"/><Relationship Id="rId11" Type="http://schemas.openxmlformats.org/officeDocument/2006/relationships/footer" Target="footer5.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85</Pages>
  <Words>34178</Words>
  <Characters>36724</Characters>
  <Lines>258</Lines>
  <Paragraphs>72</Paragraphs>
  <TotalTime>18</TotalTime>
  <ScaleCrop>false</ScaleCrop>
  <LinksUpToDate>false</LinksUpToDate>
  <CharactersWithSpaces>37081</CharactersWithSpaces>
  <Application>WPS Office_12.1.0.17140_F1E327BC-269C-435d-A152-05C5408002CA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2018-10-25T01:54:00Z</dcterms:created>
  <dc:creator>我有个梦想</dc:creator>
  <cp:lastModifiedBy>WPS_1675772086</cp:lastModifiedBy>
  <dcterms:modified xsi:type="dcterms:W3CDTF">2024-07-25T09:37:57Z</dcterms:modified>
  <cp:revision>101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2052-12.1.0.17140</vt:lpwstr>
  </property>
  <property fmtid="{D5CDD505-2E9C-101B-9397-08002B2CF9AE}" pid="3" name="ICV">
    <vt:lpwstr>8592E42A189444FB87F02A3CCB1D68BE_12</vt:lpwstr>
  </property>
</Properties>
</file>