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bCs/>
          <w:color w:val="FF0000"/>
          <w:sz w:val="32"/>
          <w:szCs w:val="32"/>
          <w:lang w:val="en-US" w:eastAsia="zh-CN"/>
        </w:rPr>
      </w:pPr>
      <w:r>
        <w:rPr>
          <w:rFonts w:hint="eastAsia" w:ascii="宋体" w:hAnsi="宋体" w:eastAsia="宋体" w:cs="宋体"/>
          <w:b/>
          <w:bCs/>
          <w:sz w:val="32"/>
          <w:szCs w:val="32"/>
          <w:lang w:eastAsia="zh-CN"/>
        </w:rPr>
        <w:t>江西洪城水业环保有限公司</w:t>
      </w:r>
      <w:r>
        <w:rPr>
          <w:rFonts w:hint="eastAsia" w:ascii="宋体" w:hAnsi="宋体" w:cs="宋体"/>
          <w:b/>
          <w:bCs/>
          <w:color w:val="auto"/>
          <w:sz w:val="32"/>
          <w:szCs w:val="32"/>
          <w:lang w:val="en-US" w:eastAsia="zh-CN"/>
        </w:rPr>
        <w:t>兴国县</w:t>
      </w:r>
      <w:r>
        <w:rPr>
          <w:rFonts w:hint="eastAsia" w:ascii="宋体" w:hAnsi="宋体" w:eastAsia="宋体" w:cs="宋体"/>
          <w:b/>
          <w:bCs/>
          <w:sz w:val="32"/>
          <w:szCs w:val="32"/>
          <w:lang w:eastAsia="zh-CN"/>
        </w:rPr>
        <w:t>分公司自行监测</w:t>
      </w:r>
      <w:r>
        <w:rPr>
          <w:rFonts w:hint="eastAsia" w:ascii="宋体" w:hAnsi="宋体" w:eastAsia="宋体" w:cs="宋体"/>
          <w:b/>
          <w:bCs/>
          <w:sz w:val="32"/>
          <w:szCs w:val="32"/>
          <w:lang w:val="en-US" w:eastAsia="zh-CN"/>
        </w:rPr>
        <w:t>方案</w:t>
      </w:r>
    </w:p>
    <w:p>
      <w:pPr>
        <w:pStyle w:val="17"/>
        <w:keepNext w:val="0"/>
        <w:keepLines w:val="0"/>
        <w:pageBreakBefore w:val="0"/>
        <w:numPr>
          <w:ilvl w:val="0"/>
          <w:numId w:val="1"/>
        </w:numPr>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排污单位基本情况</w:t>
      </w: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1、基本信息</w:t>
      </w:r>
    </w:p>
    <w:tbl>
      <w:tblPr>
        <w:tblStyle w:val="8"/>
        <w:tblpPr w:leftFromText="180" w:rightFromText="180" w:vertAnchor="text" w:horzAnchor="margin" w:tblpY="20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1943"/>
        <w:gridCol w:w="2127"/>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法定代表人</w:t>
            </w:r>
          </w:p>
        </w:tc>
        <w:tc>
          <w:tcPr>
            <w:tcW w:w="1943" w:type="dxa"/>
            <w:shd w:val="clear" w:color="auto" w:fill="auto"/>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刘熙芳</w:t>
            </w:r>
          </w:p>
        </w:tc>
        <w:tc>
          <w:tcPr>
            <w:tcW w:w="2127" w:type="dxa"/>
            <w:shd w:val="clear" w:color="auto" w:fill="auto"/>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企业曾用名</w:t>
            </w:r>
          </w:p>
        </w:tc>
        <w:tc>
          <w:tcPr>
            <w:tcW w:w="2205" w:type="dxa"/>
            <w:shd w:val="clear" w:color="auto" w:fill="auto"/>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企业类别</w:t>
            </w:r>
          </w:p>
        </w:tc>
        <w:tc>
          <w:tcPr>
            <w:tcW w:w="1943" w:type="dxa"/>
            <w:shd w:val="clear" w:color="auto" w:fill="auto"/>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废水 </w:t>
            </w:r>
          </w:p>
        </w:tc>
        <w:tc>
          <w:tcPr>
            <w:tcW w:w="2127" w:type="dxa"/>
            <w:shd w:val="clear" w:color="auto" w:fill="auto"/>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社会信用代码</w:t>
            </w:r>
          </w:p>
        </w:tc>
        <w:tc>
          <w:tcPr>
            <w:tcW w:w="2205" w:type="dxa"/>
            <w:shd w:val="clear" w:color="auto" w:fill="auto"/>
          </w:tcPr>
          <w:p>
            <w:pPr>
              <w:rPr>
                <w:rFonts w:ascii="仿宋" w:hAnsi="仿宋" w:eastAsia="仿宋"/>
                <w:sz w:val="21"/>
                <w:szCs w:val="21"/>
              </w:rPr>
            </w:pPr>
            <w:r>
              <w:rPr>
                <w:rFonts w:ascii="仿宋" w:hAnsi="仿宋" w:eastAsia="仿宋"/>
                <w:sz w:val="21"/>
                <w:szCs w:val="21"/>
              </w:rPr>
              <w:t>91360732556011653P</w:t>
            </w: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1" w:type="dxa"/>
            <w:shd w:val="clear" w:color="auto" w:fill="auto"/>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方案审核地址</w:t>
            </w:r>
          </w:p>
        </w:tc>
        <w:tc>
          <w:tcPr>
            <w:tcW w:w="6275" w:type="dxa"/>
            <w:gridSpan w:val="3"/>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赣州市兴国县生态环境局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restart"/>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中心经度</w:t>
            </w:r>
          </w:p>
        </w:tc>
        <w:tc>
          <w:tcPr>
            <w:tcW w:w="1943" w:type="dxa"/>
            <w:shd w:val="clear" w:color="auto" w:fill="auto"/>
          </w:tcPr>
          <w:p>
            <w:pPr>
              <w:keepNext w:val="0"/>
              <w:keepLines w:val="0"/>
              <w:pageBreakBefore w:val="0"/>
              <w:kinsoku/>
              <w:wordWrap/>
              <w:overflowPunct/>
              <w:topLinePunct w:val="0"/>
              <w:autoSpaceDE/>
              <w:autoSpaceDN/>
              <w:bidi w:val="0"/>
              <w:spacing w:line="24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115</w:t>
            </w:r>
            <w:r>
              <w:rPr>
                <w:rFonts w:hint="eastAsia" w:ascii="宋体" w:hAnsi="宋体" w:eastAsia="宋体" w:cs="宋体"/>
                <w:b w:val="0"/>
                <w:bCs w:val="0"/>
                <w:sz w:val="24"/>
                <w:szCs w:val="24"/>
              </w:rPr>
              <w:t>度</w:t>
            </w:r>
          </w:p>
        </w:tc>
        <w:tc>
          <w:tcPr>
            <w:tcW w:w="2127" w:type="dxa"/>
            <w:vMerge w:val="restart"/>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中心纬度</w:t>
            </w:r>
          </w:p>
        </w:tc>
        <w:tc>
          <w:tcPr>
            <w:tcW w:w="2205" w:type="dxa"/>
            <w:shd w:val="clear" w:color="auto" w:fill="auto"/>
          </w:tcPr>
          <w:p>
            <w:pPr>
              <w:keepNext w:val="0"/>
              <w:keepLines w:val="0"/>
              <w:pageBreakBefore w:val="0"/>
              <w:kinsoku/>
              <w:wordWrap/>
              <w:overflowPunct/>
              <w:topLinePunct w:val="0"/>
              <w:autoSpaceDE/>
              <w:autoSpaceDN/>
              <w:bidi w:val="0"/>
              <w:spacing w:line="24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26</w:t>
            </w:r>
            <w:r>
              <w:rPr>
                <w:rFonts w:hint="eastAsia" w:ascii="宋体" w:hAnsi="宋体" w:eastAsia="宋体" w:cs="宋体"/>
                <w:b w:val="0"/>
                <w:bCs w:val="0"/>
                <w:sz w:val="24"/>
                <w:szCs w:val="24"/>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p>
        </w:tc>
        <w:tc>
          <w:tcPr>
            <w:tcW w:w="1943" w:type="dxa"/>
            <w:shd w:val="clear" w:color="auto" w:fill="auto"/>
          </w:tcPr>
          <w:p>
            <w:pPr>
              <w:keepNext w:val="0"/>
              <w:keepLines w:val="0"/>
              <w:pageBreakBefore w:val="0"/>
              <w:kinsoku/>
              <w:wordWrap/>
              <w:overflowPunct/>
              <w:topLinePunct w:val="0"/>
              <w:autoSpaceDE/>
              <w:autoSpaceDN/>
              <w:bidi w:val="0"/>
              <w:spacing w:line="24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19</w:t>
            </w:r>
            <w:r>
              <w:rPr>
                <w:rFonts w:hint="eastAsia" w:ascii="宋体" w:hAnsi="宋体" w:eastAsia="宋体" w:cs="宋体"/>
                <w:b w:val="0"/>
                <w:bCs w:val="0"/>
                <w:sz w:val="24"/>
                <w:szCs w:val="24"/>
              </w:rPr>
              <w:t>分</w:t>
            </w:r>
          </w:p>
        </w:tc>
        <w:tc>
          <w:tcPr>
            <w:tcW w:w="2127" w:type="dxa"/>
            <w:vMerge w:val="continue"/>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p>
        </w:tc>
        <w:tc>
          <w:tcPr>
            <w:tcW w:w="2205" w:type="dxa"/>
            <w:shd w:val="clear" w:color="auto" w:fill="auto"/>
          </w:tcPr>
          <w:p>
            <w:pPr>
              <w:keepNext w:val="0"/>
              <w:keepLines w:val="0"/>
              <w:pageBreakBefore w:val="0"/>
              <w:kinsoku/>
              <w:wordWrap/>
              <w:overflowPunct/>
              <w:topLinePunct w:val="0"/>
              <w:autoSpaceDE/>
              <w:autoSpaceDN/>
              <w:bidi w:val="0"/>
              <w:spacing w:line="24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16</w:t>
            </w:r>
            <w:r>
              <w:rPr>
                <w:rFonts w:hint="eastAsia" w:ascii="宋体" w:hAnsi="宋体" w:eastAsia="宋体" w:cs="宋体"/>
                <w:b w:val="0"/>
                <w:bCs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p>
        </w:tc>
        <w:tc>
          <w:tcPr>
            <w:tcW w:w="1943" w:type="dxa"/>
            <w:shd w:val="clear" w:color="auto" w:fill="auto"/>
          </w:tcPr>
          <w:p>
            <w:pPr>
              <w:keepNext w:val="0"/>
              <w:keepLines w:val="0"/>
              <w:pageBreakBefore w:val="0"/>
              <w:kinsoku/>
              <w:wordWrap/>
              <w:overflowPunct/>
              <w:topLinePunct w:val="0"/>
              <w:autoSpaceDE/>
              <w:autoSpaceDN/>
              <w:bidi w:val="0"/>
              <w:spacing w:line="24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24.13</w:t>
            </w:r>
            <w:r>
              <w:rPr>
                <w:rFonts w:hint="eastAsia" w:ascii="宋体" w:hAnsi="宋体" w:eastAsia="宋体" w:cs="宋体"/>
                <w:b w:val="0"/>
                <w:bCs w:val="0"/>
                <w:sz w:val="24"/>
                <w:szCs w:val="24"/>
              </w:rPr>
              <w:t>秒</w:t>
            </w:r>
          </w:p>
        </w:tc>
        <w:tc>
          <w:tcPr>
            <w:tcW w:w="2127" w:type="dxa"/>
            <w:vMerge w:val="continue"/>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p>
        </w:tc>
        <w:tc>
          <w:tcPr>
            <w:tcW w:w="2205" w:type="dxa"/>
            <w:shd w:val="clear" w:color="auto" w:fill="auto"/>
          </w:tcPr>
          <w:p>
            <w:pPr>
              <w:keepNext w:val="0"/>
              <w:keepLines w:val="0"/>
              <w:pageBreakBefore w:val="0"/>
              <w:kinsoku/>
              <w:wordWrap/>
              <w:overflowPunct/>
              <w:topLinePunct w:val="0"/>
              <w:autoSpaceDE/>
              <w:autoSpaceDN/>
              <w:bidi w:val="0"/>
              <w:spacing w:line="24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43.97</w:t>
            </w:r>
            <w:r>
              <w:rPr>
                <w:rFonts w:hint="eastAsia" w:ascii="宋体" w:hAnsi="宋体" w:eastAsia="宋体" w:cs="宋体"/>
                <w:b w:val="0"/>
                <w:bCs w:val="0"/>
                <w:sz w:val="24"/>
                <w:szCs w:val="24"/>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联系人</w:t>
            </w:r>
          </w:p>
        </w:tc>
        <w:tc>
          <w:tcPr>
            <w:tcW w:w="1943"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刘熙芳</w:t>
            </w:r>
          </w:p>
        </w:tc>
        <w:tc>
          <w:tcPr>
            <w:tcW w:w="2127"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电话号码</w:t>
            </w:r>
          </w:p>
        </w:tc>
        <w:tc>
          <w:tcPr>
            <w:tcW w:w="2205"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 xml:space="preserve"> 13970750552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传真号码</w:t>
            </w:r>
          </w:p>
        </w:tc>
        <w:tc>
          <w:tcPr>
            <w:tcW w:w="1943" w:type="dxa"/>
            <w:shd w:val="clear" w:color="auto" w:fill="auto"/>
          </w:tcPr>
          <w:p>
            <w:pPr>
              <w:keepNext w:val="0"/>
              <w:keepLines w:val="0"/>
              <w:pageBreakBefore w:val="0"/>
              <w:kinsoku/>
              <w:wordWrap/>
              <w:overflowPunct/>
              <w:topLinePunct w:val="0"/>
              <w:autoSpaceDE/>
              <w:autoSpaceDN/>
              <w:bidi w:val="0"/>
              <w:spacing w:line="240" w:lineRule="auto"/>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0797-5390343</w:t>
            </w:r>
          </w:p>
        </w:tc>
        <w:tc>
          <w:tcPr>
            <w:tcW w:w="2127"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邮编</w:t>
            </w:r>
          </w:p>
        </w:tc>
        <w:tc>
          <w:tcPr>
            <w:tcW w:w="2205"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0797-5390343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是否为VOC企业</w:t>
            </w:r>
          </w:p>
        </w:tc>
        <w:tc>
          <w:tcPr>
            <w:tcW w:w="1943"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否</w:t>
            </w:r>
          </w:p>
        </w:tc>
        <w:tc>
          <w:tcPr>
            <w:tcW w:w="2127"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自行监测开展方式</w:t>
            </w:r>
          </w:p>
        </w:tc>
        <w:tc>
          <w:tcPr>
            <w:tcW w:w="2205"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手工+自动+委托监测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行业类别</w:t>
            </w:r>
          </w:p>
        </w:tc>
        <w:tc>
          <w:tcPr>
            <w:tcW w:w="1943"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污水处理及其再生利用</w:t>
            </w:r>
          </w:p>
        </w:tc>
        <w:tc>
          <w:tcPr>
            <w:tcW w:w="2127"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行业代码</w:t>
            </w:r>
          </w:p>
        </w:tc>
        <w:tc>
          <w:tcPr>
            <w:tcW w:w="2205" w:type="dxa"/>
            <w:shd w:val="clear" w:color="auto" w:fill="auto"/>
          </w:tcPr>
          <w:p>
            <w:pPr>
              <w:keepNext w:val="0"/>
              <w:keepLines w:val="0"/>
              <w:pageBreakBefore w:val="0"/>
              <w:kinsoku/>
              <w:wordWrap/>
              <w:overflowPunct/>
              <w:topLinePunct w:val="0"/>
              <w:autoSpaceDE/>
              <w:autoSpaceDN/>
              <w:bidi w:val="0"/>
              <w:spacing w:line="240" w:lineRule="auto"/>
              <w:jc w:val="left"/>
              <w:rPr>
                <w:rFonts w:hint="default"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D4620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技术负责人</w:t>
            </w:r>
          </w:p>
        </w:tc>
        <w:tc>
          <w:tcPr>
            <w:tcW w:w="1943"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钟清华</w:t>
            </w:r>
          </w:p>
        </w:tc>
        <w:tc>
          <w:tcPr>
            <w:tcW w:w="2127"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数据公开时限</w:t>
            </w:r>
          </w:p>
        </w:tc>
        <w:tc>
          <w:tcPr>
            <w:tcW w:w="2205"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手工：次日，自动：实时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eastAsia="zh-CN"/>
              </w:rPr>
              <w:t>排放方式</w:t>
            </w:r>
          </w:p>
        </w:tc>
        <w:tc>
          <w:tcPr>
            <w:tcW w:w="1943"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管道</w:t>
            </w:r>
          </w:p>
        </w:tc>
        <w:tc>
          <w:tcPr>
            <w:tcW w:w="2127"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eastAsia="zh-CN"/>
              </w:rPr>
              <w:t>受纳水体</w:t>
            </w:r>
          </w:p>
        </w:tc>
        <w:tc>
          <w:tcPr>
            <w:tcW w:w="2205"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eastAsia="zh-CN"/>
              </w:rPr>
              <w:t>平江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eastAsia="zh-CN"/>
              </w:rPr>
              <w:t>设计规模</w:t>
            </w:r>
          </w:p>
        </w:tc>
        <w:tc>
          <w:tcPr>
            <w:tcW w:w="1943"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4万吨/日</w:t>
            </w:r>
          </w:p>
        </w:tc>
        <w:tc>
          <w:tcPr>
            <w:tcW w:w="2127"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eastAsia="zh-CN"/>
              </w:rPr>
              <w:t>数据公开时限</w:t>
            </w:r>
          </w:p>
        </w:tc>
        <w:tc>
          <w:tcPr>
            <w:tcW w:w="2205"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手工：次日，自动：实时</w:t>
            </w:r>
          </w:p>
        </w:tc>
      </w:tr>
    </w:tbl>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2、污染物产生情况</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废水</w:t>
            </w:r>
          </w:p>
        </w:tc>
        <w:tc>
          <w:tcPr>
            <w:tcW w:w="7592"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根据环评及环评批复，我厂主要</w:t>
            </w:r>
            <w:r>
              <w:rPr>
                <w:rFonts w:hint="eastAsia" w:ascii="宋体" w:hAnsi="宋体" w:eastAsia="宋体" w:cs="宋体"/>
                <w:sz w:val="24"/>
                <w:szCs w:val="24"/>
              </w:rPr>
              <w:t>处理城镇生活管网收集的负荷相关接管标准的生活污水，脱泥压滤产生的污水回流</w:t>
            </w:r>
            <w:r>
              <w:rPr>
                <w:rFonts w:hint="eastAsia" w:ascii="宋体" w:hAnsi="宋体" w:eastAsia="宋体" w:cs="宋体"/>
                <w:sz w:val="24"/>
                <w:szCs w:val="24"/>
                <w:lang w:eastAsia="zh-CN"/>
              </w:rPr>
              <w:t>生化池</w:t>
            </w:r>
            <w:r>
              <w:rPr>
                <w:rFonts w:hint="eastAsia" w:ascii="宋体" w:hAnsi="宋体" w:eastAsia="宋体" w:cs="宋体"/>
                <w:sz w:val="24"/>
                <w:szCs w:val="24"/>
              </w:rPr>
              <w:t>，进行处理。生产所排放的污染物主要为经过处理后，尚未彻底消解，并达到国家相关排放标准的污水</w:t>
            </w:r>
            <w:r>
              <w:rPr>
                <w:rFonts w:hint="eastAsia" w:ascii="宋体" w:hAnsi="宋体" w:eastAsia="宋体" w:cs="宋体"/>
                <w:sz w:val="28"/>
                <w:szCs w:val="28"/>
              </w:rPr>
              <w:t>。</w:t>
            </w:r>
            <w:r>
              <w:rPr>
                <w:rFonts w:hint="eastAsia" w:ascii="宋体" w:hAnsi="宋体" w:eastAsia="宋体" w:cs="宋体"/>
                <w:color w:val="auto"/>
                <w:sz w:val="24"/>
                <w:szCs w:val="24"/>
              </w:rPr>
              <w:t>出水排至</w:t>
            </w:r>
            <w:r>
              <w:rPr>
                <w:rFonts w:hint="eastAsia" w:ascii="宋体" w:hAnsi="宋体" w:eastAsia="宋体" w:cs="宋体"/>
                <w:color w:val="auto"/>
                <w:sz w:val="24"/>
                <w:szCs w:val="24"/>
                <w:lang w:eastAsia="zh-CN"/>
              </w:rPr>
              <w:t>平江</w:t>
            </w:r>
            <w:r>
              <w:rPr>
                <w:rFonts w:hint="eastAsia" w:ascii="宋体" w:hAnsi="宋体" w:eastAsia="宋体" w:cs="宋体"/>
                <w:color w:val="auto"/>
                <w:sz w:val="24"/>
                <w:szCs w:val="24"/>
              </w:rPr>
              <w:t>河</w:t>
            </w:r>
            <w:r>
              <w:rPr>
                <w:rFonts w:hint="eastAsia" w:ascii="宋体" w:hAnsi="宋体" w:eastAsia="宋体" w:cs="宋体"/>
                <w:color w:val="auto"/>
                <w:sz w:val="24"/>
                <w:szCs w:val="24"/>
                <w:lang w:eastAsia="zh-CN"/>
              </w:rPr>
              <w:t>，</w:t>
            </w:r>
            <w:r>
              <w:rPr>
                <w:rFonts w:hint="eastAsia" w:ascii="宋体" w:hAnsi="宋体" w:eastAsia="宋体" w:cs="宋体"/>
                <w:b w:val="0"/>
                <w:bCs w:val="0"/>
                <w:sz w:val="24"/>
                <w:szCs w:val="24"/>
                <w:lang w:val="en-US" w:eastAsia="zh-CN"/>
              </w:rPr>
              <w:t>出水</w:t>
            </w:r>
            <w:r>
              <w:rPr>
                <w:rFonts w:hint="eastAsia" w:ascii="宋体" w:hAnsi="宋体" w:eastAsia="宋体" w:cs="宋体"/>
                <w:b w:val="0"/>
                <w:bCs w:val="0"/>
                <w:sz w:val="24"/>
                <w:szCs w:val="24"/>
              </w:rPr>
              <w:t>执行《城镇污水处理厂污染物排放标准》（GB18918-2002）</w:t>
            </w: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sz w:val="24"/>
                <w:szCs w:val="24"/>
              </w:rPr>
              <w:t>标准排放。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废气</w:t>
            </w:r>
          </w:p>
        </w:tc>
        <w:tc>
          <w:tcPr>
            <w:tcW w:w="7592"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根据环评及环评批复，废气主要为污水及污泥处理过程中产生的恶臭，相关废气执行《城镇污水处理厂污染物排放标准》（GB18918-2002）二级标准排放。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噪声</w:t>
            </w:r>
          </w:p>
        </w:tc>
        <w:tc>
          <w:tcPr>
            <w:tcW w:w="7592"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污水处理提升泵等设备运行过程中产生噪声</w:t>
            </w:r>
            <w:r>
              <w:rPr>
                <w:rFonts w:hint="eastAsia" w:ascii="宋体" w:hAnsi="宋体" w:eastAsia="宋体" w:cs="宋体"/>
                <w:sz w:val="24"/>
                <w:szCs w:val="24"/>
              </w:rPr>
              <w:t>执行</w:t>
            </w:r>
            <w:r>
              <w:rPr>
                <w:rFonts w:hint="eastAsia" w:ascii="宋体" w:hAnsi="宋体" w:eastAsia="宋体" w:cs="宋体"/>
                <w:color w:val="auto"/>
                <w:sz w:val="24"/>
                <w:szCs w:val="24"/>
              </w:rPr>
              <w:t>《</w:t>
            </w:r>
            <w:r>
              <w:rPr>
                <w:rFonts w:hint="eastAsia" w:ascii="宋体" w:hAnsi="宋体" w:eastAsia="宋体" w:cs="宋体"/>
                <w:b w:val="0"/>
                <w:bCs w:val="0"/>
                <w:color w:val="auto"/>
                <w:sz w:val="24"/>
                <w:szCs w:val="24"/>
              </w:rPr>
              <w:t>工业企业厂界环境噪声排放标准</w:t>
            </w:r>
            <w:r>
              <w:rPr>
                <w:rFonts w:hint="eastAsia" w:ascii="宋体" w:hAnsi="宋体" w:eastAsia="宋体" w:cs="宋体"/>
                <w:b w:val="0"/>
                <w:bCs w:val="0"/>
                <w:sz w:val="24"/>
                <w:szCs w:val="24"/>
              </w:rPr>
              <w:t>》</w:t>
            </w:r>
            <w:r>
              <w:rPr>
                <w:rFonts w:hint="eastAsia" w:ascii="宋体" w:hAnsi="宋体" w:eastAsia="宋体" w:cs="宋体"/>
                <w:b w:val="0"/>
                <w:bCs w:val="0"/>
                <w:color w:val="auto"/>
                <w:sz w:val="24"/>
                <w:szCs w:val="24"/>
              </w:rPr>
              <w:t xml:space="preserve"> GB 12348-2008</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color w:val="auto"/>
                <w:sz w:val="24"/>
                <w:szCs w:val="24"/>
              </w:rPr>
              <w:t>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固废</w:t>
            </w:r>
          </w:p>
        </w:tc>
        <w:tc>
          <w:tcPr>
            <w:tcW w:w="7592"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根据环评及环评批复，</w:t>
            </w:r>
            <w:r>
              <w:rPr>
                <w:rFonts w:hint="eastAsia" w:ascii="宋体" w:hAnsi="宋体" w:eastAsia="宋体" w:cs="宋体"/>
                <w:b w:val="0"/>
                <w:bCs/>
                <w:sz w:val="24"/>
                <w:szCs w:val="24"/>
                <w:lang w:val="en-US" w:eastAsia="zh-CN"/>
              </w:rPr>
              <w:t>2018年12月29日由兴国县环境保护局关于兴国县污水处理厂（二期）扩容和一期提标改造污泥处置项目环境影响评价文件的批复，兴环评函【2018】43号，我</w:t>
            </w:r>
            <w:r>
              <w:rPr>
                <w:rFonts w:hint="eastAsia" w:ascii="宋体" w:hAnsi="宋体" w:eastAsia="宋体" w:cs="宋体"/>
                <w:sz w:val="24"/>
                <w:szCs w:val="24"/>
              </w:rPr>
              <w:t>司污水处理厂固体废物主要为污水处理过程中产生的剩余污泥，固体废物满足相关稳定化和脱水处理后，进入垃圾填埋场进行妥善处理，防止二次污染。</w:t>
            </w:r>
            <w:r>
              <w:rPr>
                <w:rFonts w:hint="eastAsia" w:ascii="宋体" w:hAnsi="宋体" w:eastAsia="宋体" w:cs="宋体"/>
                <w:b w:val="0"/>
                <w:bCs w:val="0"/>
                <w:color w:val="auto"/>
                <w:sz w:val="24"/>
                <w:szCs w:val="24"/>
                <w:lang w:val="en-US" w:eastAsia="zh-CN"/>
              </w:rPr>
              <w:t>一年预计产生   4380吨</w:t>
            </w:r>
          </w:p>
        </w:tc>
      </w:tr>
    </w:tbl>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color w:val="FF0000"/>
          <w:sz w:val="28"/>
          <w:szCs w:val="28"/>
          <w:lang w:eastAsia="zh-CN"/>
        </w:rPr>
      </w:pPr>
      <w:r>
        <w:rPr>
          <w:rFonts w:hint="eastAsia" w:ascii="宋体" w:hAnsi="宋体" w:eastAsia="宋体" w:cs="宋体"/>
          <w:b w:val="0"/>
          <w:bCs w:val="0"/>
          <w:sz w:val="28"/>
          <w:szCs w:val="28"/>
          <w:lang w:eastAsia="zh-CN"/>
        </w:rPr>
        <w:t>3、污染处理设施情况</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废水治理设施</w:t>
            </w:r>
          </w:p>
        </w:tc>
        <w:tc>
          <w:tcPr>
            <w:tcW w:w="674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lang w:eastAsia="zh-CN"/>
              </w:rPr>
              <w:t>兴国县生活污水处理厂占地面积</w:t>
            </w:r>
            <w:r>
              <w:rPr>
                <w:rFonts w:hint="eastAsia" w:ascii="宋体" w:hAnsi="宋体" w:eastAsia="宋体" w:cs="宋体"/>
                <w:sz w:val="24"/>
                <w:szCs w:val="24"/>
                <w:lang w:val="en-US" w:eastAsia="zh-CN"/>
              </w:rPr>
              <w:t>72</w:t>
            </w:r>
            <w:r>
              <w:rPr>
                <w:rFonts w:hint="eastAsia" w:ascii="宋体" w:hAnsi="宋体" w:eastAsia="宋体" w:cs="宋体"/>
                <w:sz w:val="24"/>
                <w:szCs w:val="24"/>
                <w:lang w:eastAsia="zh-CN"/>
              </w:rPr>
              <w:t>亩，主要收集处理城区生活污水的处理，2009年完成一期日处理2万吨规模的建设，</w:t>
            </w: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rPr>
              <w:t>年完成二期2万吨规模的建设，现设计总处理规模为4万吨/日。</w:t>
            </w:r>
            <w:r>
              <w:rPr>
                <w:rFonts w:hint="eastAsia" w:ascii="宋体" w:hAnsi="宋体" w:eastAsia="宋体" w:cs="宋体"/>
                <w:sz w:val="24"/>
                <w:szCs w:val="24"/>
                <w:lang w:eastAsia="zh-CN"/>
              </w:rPr>
              <w:t>污水处理工艺为“沉砂池+</w:t>
            </w:r>
            <w:r>
              <w:rPr>
                <w:rFonts w:hint="eastAsia" w:ascii="宋体" w:hAnsi="宋体" w:eastAsia="宋体" w:cs="宋体"/>
                <w:b w:val="0"/>
                <w:bCs w:val="0"/>
                <w:sz w:val="24"/>
                <w:szCs w:val="24"/>
                <w:u w:val="none"/>
              </w:rPr>
              <w:t>改良型卡式氧化沟</w:t>
            </w:r>
            <w:r>
              <w:rPr>
                <w:rFonts w:hint="eastAsia" w:ascii="宋体" w:hAnsi="宋体" w:eastAsia="宋体" w:cs="宋体"/>
                <w:b w:val="0"/>
                <w:bCs w:val="0"/>
                <w:sz w:val="24"/>
                <w:szCs w:val="24"/>
                <w:u w:val="none"/>
                <w:lang w:val="en-US" w:eastAsia="zh-CN"/>
              </w:rPr>
              <w:t>+高效磁混凝池+反硝化深</w:t>
            </w:r>
            <w:r>
              <w:rPr>
                <w:rFonts w:hint="eastAsia" w:ascii="宋体" w:hAnsi="宋体" w:eastAsia="宋体" w:cs="宋体"/>
                <w:sz w:val="24"/>
                <w:szCs w:val="24"/>
                <w:u w:val="none"/>
              </w:rPr>
              <w:t>床</w:t>
            </w:r>
            <w:r>
              <w:rPr>
                <w:rFonts w:hint="eastAsia" w:ascii="宋体" w:hAnsi="宋体" w:eastAsia="宋体" w:cs="宋体"/>
                <w:sz w:val="24"/>
                <w:szCs w:val="24"/>
                <w:u w:val="none"/>
                <w:lang w:eastAsia="zh-CN"/>
              </w:rPr>
              <w:t>滤池</w:t>
            </w:r>
            <w:r>
              <w:rPr>
                <w:rFonts w:hint="eastAsia" w:ascii="宋体" w:hAnsi="宋体" w:eastAsia="宋体" w:cs="宋体"/>
                <w:b w:val="0"/>
                <w:bCs w:val="0"/>
                <w:sz w:val="24"/>
                <w:szCs w:val="24"/>
                <w:u w:val="none"/>
                <w:lang w:val="en-US" w:eastAsia="zh-CN"/>
              </w:rPr>
              <w:t>+次氯酸钠消毒</w:t>
            </w:r>
            <w:r>
              <w:rPr>
                <w:rFonts w:hint="eastAsia" w:ascii="宋体" w:hAnsi="宋体" w:eastAsia="宋体" w:cs="宋体"/>
                <w:sz w:val="24"/>
                <w:szCs w:val="24"/>
                <w:lang w:eastAsia="zh-CN"/>
              </w:rPr>
              <w:t>”，主要污染处理设施包括格栅，提升泵、沉砂池、氧化沟生化降解池，二沉池，</w:t>
            </w:r>
            <w:r>
              <w:rPr>
                <w:rFonts w:hint="eastAsia" w:ascii="宋体" w:hAnsi="宋体" w:eastAsia="宋体" w:cs="宋体"/>
                <w:b w:val="0"/>
                <w:bCs w:val="0"/>
                <w:sz w:val="24"/>
                <w:szCs w:val="24"/>
                <w:u w:val="none"/>
                <w:lang w:val="en-US" w:eastAsia="zh-CN"/>
              </w:rPr>
              <w:t>高效磁混凝池,反硝化深</w:t>
            </w:r>
            <w:r>
              <w:rPr>
                <w:rFonts w:hint="eastAsia" w:ascii="宋体" w:hAnsi="宋体" w:eastAsia="宋体" w:cs="宋体"/>
                <w:sz w:val="24"/>
                <w:szCs w:val="24"/>
                <w:u w:val="none"/>
              </w:rPr>
              <w:t>床</w:t>
            </w:r>
            <w:r>
              <w:rPr>
                <w:rFonts w:hint="eastAsia" w:ascii="宋体" w:hAnsi="宋体" w:eastAsia="宋体" w:cs="宋体"/>
                <w:sz w:val="24"/>
                <w:szCs w:val="24"/>
                <w:u w:val="none"/>
                <w:lang w:eastAsia="zh-CN"/>
              </w:rPr>
              <w:t>滤池</w:t>
            </w:r>
            <w:r>
              <w:rPr>
                <w:rFonts w:hint="eastAsia" w:ascii="宋体" w:hAnsi="宋体" w:eastAsia="宋体" w:cs="宋体"/>
                <w:sz w:val="24"/>
                <w:szCs w:val="24"/>
                <w:u w:val="none"/>
                <w:lang w:val="en-US" w:eastAsia="zh-CN"/>
              </w:rPr>
              <w:t>,</w:t>
            </w:r>
            <w:r>
              <w:rPr>
                <w:rFonts w:hint="eastAsia" w:ascii="宋体" w:hAnsi="宋体" w:eastAsia="宋体" w:cs="宋体"/>
                <w:b w:val="0"/>
                <w:bCs w:val="0"/>
                <w:sz w:val="24"/>
                <w:szCs w:val="24"/>
                <w:u w:val="none"/>
                <w:lang w:val="en-US" w:eastAsia="zh-CN"/>
              </w:rPr>
              <w:t>次氯酸钠消毒</w:t>
            </w:r>
            <w:r>
              <w:rPr>
                <w:rFonts w:hint="eastAsia" w:ascii="宋体" w:hAnsi="宋体" w:eastAsia="宋体" w:cs="宋体"/>
                <w:sz w:val="24"/>
                <w:szCs w:val="24"/>
                <w:lang w:eastAsia="zh-CN"/>
              </w:rPr>
              <w:t>等设备设施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废气治理设施</w:t>
            </w:r>
          </w:p>
        </w:tc>
        <w:tc>
          <w:tcPr>
            <w:tcW w:w="674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按环评要求设置了卫生防护距离，并在厂界四周种植了绿化隔离带。废气源通过风管收集至生物土壤滤池处理后无组织排放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噪声治理设施</w:t>
            </w:r>
          </w:p>
        </w:tc>
        <w:tc>
          <w:tcPr>
            <w:tcW w:w="674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采用低噪音环保设备并通过安装在室内、水下和消音装置及厂区内外种植树木等措施防治噪音。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固废治理设施</w:t>
            </w:r>
          </w:p>
        </w:tc>
        <w:tc>
          <w:tcPr>
            <w:tcW w:w="674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sz w:val="24"/>
                <w:szCs w:val="24"/>
              </w:rPr>
              <w:t>污泥经过稳定化和脱水处理后</w:t>
            </w:r>
            <w:r>
              <w:rPr>
                <w:rFonts w:hint="eastAsia" w:ascii="宋体" w:hAnsi="宋体" w:eastAsia="宋体" w:cs="宋体"/>
                <w:sz w:val="24"/>
                <w:szCs w:val="24"/>
                <w:lang w:eastAsia="zh-CN"/>
              </w:rPr>
              <w:t>，板框脱泥，含水率达到</w:t>
            </w:r>
            <w:r>
              <w:rPr>
                <w:rFonts w:hint="eastAsia" w:ascii="宋体" w:hAnsi="宋体" w:eastAsia="宋体" w:cs="宋体"/>
                <w:sz w:val="24"/>
                <w:szCs w:val="24"/>
                <w:lang w:val="en-US" w:eastAsia="zh-CN"/>
              </w:rPr>
              <w:t>60%以下，货车</w:t>
            </w:r>
            <w:r>
              <w:rPr>
                <w:rFonts w:hint="eastAsia" w:ascii="宋体" w:hAnsi="宋体" w:eastAsia="宋体" w:cs="宋体"/>
                <w:sz w:val="24"/>
                <w:szCs w:val="24"/>
              </w:rPr>
              <w:t>外运至</w:t>
            </w:r>
            <w:r>
              <w:rPr>
                <w:rFonts w:hint="eastAsia" w:ascii="宋体" w:hAnsi="宋体" w:eastAsia="宋体" w:cs="宋体"/>
                <w:sz w:val="24"/>
                <w:szCs w:val="24"/>
                <w:lang w:eastAsia="zh-CN"/>
              </w:rPr>
              <w:t>兴国县垃圾场填埋进行卫生填埋。</w:t>
            </w:r>
          </w:p>
        </w:tc>
      </w:tr>
    </w:tbl>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4"/>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二、工艺流程及废水监测点位</w:t>
      </w:r>
    </w:p>
    <w:p>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drawing>
          <wp:inline distT="0" distB="0" distL="114300" distR="114300">
            <wp:extent cx="8112125" cy="5198110"/>
            <wp:effectExtent l="0" t="0" r="2540" b="3175"/>
            <wp:docPr id="7" name="图片 7" descr="JL51~1Q_WEF{[FIPD3[K92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JL51~1Q_WEF{[FIPD3[K92J"/>
                    <pic:cNvPicPr>
                      <a:picLocks noChangeAspect="1"/>
                    </pic:cNvPicPr>
                  </pic:nvPicPr>
                  <pic:blipFill>
                    <a:blip r:embed="rId5"/>
                    <a:stretch>
                      <a:fillRect/>
                    </a:stretch>
                  </pic:blipFill>
                  <pic:spPr>
                    <a:xfrm rot="5400000">
                      <a:off x="0" y="0"/>
                      <a:ext cx="8112125" cy="5198110"/>
                    </a:xfrm>
                    <a:prstGeom prst="rect">
                      <a:avLst/>
                    </a:prstGeom>
                  </pic:spPr>
                </pic:pic>
              </a:graphicData>
            </a:graphic>
          </wp:inline>
        </w:drawing>
      </w:r>
    </w:p>
    <w:p>
      <w:pPr>
        <w:keepNext w:val="0"/>
        <w:keepLines w:val="0"/>
        <w:widowControl/>
        <w:suppressLineNumbers w:val="0"/>
        <w:jc w:val="left"/>
        <w:rPr>
          <w:rFonts w:hint="eastAsia" w:ascii="宋体" w:hAnsi="宋体" w:eastAsia="宋体" w:cs="宋体"/>
          <w:b w:val="0"/>
          <w:bCs w:val="0"/>
          <w:sz w:val="28"/>
          <w:szCs w:val="28"/>
          <w:lang w:eastAsia="zh-CN"/>
        </w:rPr>
      </w:pPr>
      <w:r>
        <w:rPr>
          <w:sz w:val="28"/>
        </w:rPr>
        <mc:AlternateContent>
          <mc:Choice Requires="wps">
            <w:drawing>
              <wp:anchor distT="0" distB="0" distL="114300" distR="114300" simplePos="0" relativeHeight="251674624" behindDoc="0" locked="0" layoutInCell="1" allowOverlap="1">
                <wp:simplePos x="0" y="0"/>
                <wp:positionH relativeFrom="column">
                  <wp:posOffset>204470</wp:posOffset>
                </wp:positionH>
                <wp:positionV relativeFrom="paragraph">
                  <wp:posOffset>-245110</wp:posOffset>
                </wp:positionV>
                <wp:extent cx="121920" cy="178435"/>
                <wp:effectExtent l="4445" t="4445" r="6985" b="7620"/>
                <wp:wrapNone/>
                <wp:docPr id="5" name="文本框 5"/>
                <wp:cNvGraphicFramePr/>
                <a:graphic xmlns:a="http://schemas.openxmlformats.org/drawingml/2006/main">
                  <a:graphicData uri="http://schemas.microsoft.com/office/word/2010/wordprocessingShape">
                    <wps:wsp>
                      <wps:cNvSpPr txBox="1"/>
                      <wps:spPr>
                        <a:xfrm>
                          <a:off x="1328420" y="1059815"/>
                          <a:ext cx="121920" cy="178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1pt;margin-top:-19.3pt;height:14.05pt;width:9.6pt;z-index:251674624;mso-width-relative:page;mso-height-relative:page;" fillcolor="#FFFFFF [3201]" filled="t" stroked="t" coordsize="21600,21600" o:gfxdata="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ubhV11gAAAAkBAAAPAAAAAAAAAAEAIAAAACIAAABkcnMvZG93bnJldi54bWxQSwECFAAUAAAA&#10;CACHTuJAoLfROWICAADCBAAADgAAAAAAAAABACAAAAAlAQAAZHJzL2Uyb0RvYy54bWxQSwUGAAAA&#10;AAYABgBZAQAA+QUAAAAA&#10;">
                <v:fill on="t" focussize="0,0"/>
                <v:stroke weight="0.5pt" color="#000000 [3204]" joinstyle="round"/>
                <v:imagedata o:title=""/>
                <o:lock v:ext="edit" aspectratio="f"/>
                <v:textbox>
                  <w:txbxContent>
                    <w:p>
                      <w:pPr>
                        <w:rPr>
                          <w:rFonts w:hint="eastAsia" w:eastAsiaTheme="minorEastAsia"/>
                          <w:lang w:eastAsia="zh-CN"/>
                        </w:rPr>
                      </w:pPr>
                    </w:p>
                  </w:txbxContent>
                </v:textbox>
              </v:shape>
            </w:pict>
          </mc:Fallback>
        </mc:AlternateContent>
      </w:r>
      <w:r>
        <w:rPr>
          <w:rFonts w:hint="eastAsia" w:ascii="宋体" w:hAnsi="宋体" w:eastAsia="宋体" w:cs="宋体"/>
          <w:b w:val="0"/>
          <w:bCs w:val="0"/>
          <w:sz w:val="28"/>
          <w:szCs w:val="28"/>
          <w:lang w:eastAsia="zh-CN"/>
        </w:rPr>
        <w:drawing>
          <wp:inline distT="0" distB="0" distL="114300" distR="114300">
            <wp:extent cx="5137150" cy="8851265"/>
            <wp:effectExtent l="0" t="0" r="6350" b="6985"/>
            <wp:docPr id="2" name="图片 2" descr="543bfd9dc4f422b09c6a00d62a23d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43bfd9dc4f422b09c6a00d62a23dc4"/>
                    <pic:cNvPicPr>
                      <a:picLocks noChangeAspect="1"/>
                    </pic:cNvPicPr>
                  </pic:nvPicPr>
                  <pic:blipFill>
                    <a:blip r:embed="rId6"/>
                    <a:stretch>
                      <a:fillRect/>
                    </a:stretch>
                  </pic:blipFill>
                  <pic:spPr>
                    <a:xfrm>
                      <a:off x="0" y="0"/>
                      <a:ext cx="5137150" cy="8851265"/>
                    </a:xfrm>
                    <a:prstGeom prst="rect">
                      <a:avLst/>
                    </a:prstGeom>
                  </pic:spPr>
                </pic:pic>
              </a:graphicData>
            </a:graphic>
          </wp:inline>
        </w:drawing>
      </w:r>
    </w:p>
    <w:p>
      <w:pPr>
        <w:pStyle w:val="17"/>
        <w:keepNext w:val="0"/>
        <w:keepLines w:val="0"/>
        <w:pageBreakBefore w:val="0"/>
        <w:kinsoku/>
        <w:wordWrap/>
        <w:overflowPunct/>
        <w:topLinePunct w:val="0"/>
        <w:autoSpaceDE/>
        <w:autoSpaceDN/>
        <w:bidi w:val="0"/>
        <w:spacing w:line="240" w:lineRule="auto"/>
        <w:ind w:firstLine="557" w:firstLineChars="199"/>
        <w:jc w:val="center"/>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图1  工艺流程图和废水监测点</w:t>
      </w: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4"/>
        <w:rPr>
          <w:rFonts w:hint="eastAsia" w:ascii="宋体" w:hAnsi="宋体" w:eastAsia="宋体" w:cs="宋体"/>
          <w:b/>
          <w:bCs/>
          <w:color w:val="FF0000"/>
          <w:sz w:val="28"/>
          <w:szCs w:val="28"/>
          <w:lang w:eastAsia="zh-CN"/>
        </w:rPr>
      </w:pPr>
      <w:r>
        <w:rPr>
          <w:rFonts w:hint="eastAsia" w:ascii="宋体" w:hAnsi="宋体" w:eastAsia="宋体" w:cs="宋体"/>
          <w:b/>
          <w:bCs/>
          <w:sz w:val="28"/>
          <w:szCs w:val="28"/>
          <w:lang w:eastAsia="zh-CN"/>
        </w:rPr>
        <w:t>三、无组织废气</w:t>
      </w:r>
      <w:r>
        <w:rPr>
          <w:rFonts w:hint="eastAsia" w:ascii="宋体" w:hAnsi="宋体" w:eastAsia="宋体" w:cs="宋体"/>
          <w:b/>
          <w:bCs/>
          <w:color w:val="FF0000"/>
          <w:sz w:val="28"/>
          <w:szCs w:val="28"/>
          <w:lang w:eastAsia="zh-CN"/>
        </w:rPr>
        <w:t>（按环评文件填写，</w:t>
      </w:r>
      <w:r>
        <w:rPr>
          <w:rFonts w:hint="eastAsia" w:ascii="宋体" w:hAnsi="宋体" w:eastAsia="宋体" w:cs="宋体"/>
          <w:b/>
          <w:bCs/>
          <w:color w:val="FF0000"/>
          <w:sz w:val="28"/>
          <w:szCs w:val="28"/>
          <w:lang w:val="en-US" w:eastAsia="zh-CN"/>
        </w:rPr>
        <w:t>有有组织废气的需增加</w:t>
      </w:r>
      <w:r>
        <w:rPr>
          <w:rFonts w:hint="eastAsia" w:ascii="宋体" w:hAnsi="宋体" w:eastAsia="宋体" w:cs="宋体"/>
          <w:b/>
          <w:bCs/>
          <w:color w:val="FF0000"/>
          <w:sz w:val="28"/>
          <w:szCs w:val="28"/>
          <w:lang w:eastAsia="zh-CN"/>
        </w:rPr>
        <w:t>）</w:t>
      </w:r>
    </w:p>
    <w:p>
      <w:pPr>
        <w:pStyle w:val="17"/>
        <w:keepNext w:val="0"/>
        <w:keepLines w:val="0"/>
        <w:pageBreakBefore w:val="0"/>
        <w:kinsoku/>
        <w:wordWrap/>
        <w:overflowPunct/>
        <w:topLinePunct w:val="0"/>
        <w:autoSpaceDE/>
        <w:autoSpaceDN/>
        <w:bidi w:val="0"/>
        <w:spacing w:line="240" w:lineRule="auto"/>
        <w:ind w:firstLine="560"/>
        <w:rPr>
          <w:rFonts w:hint="eastAsia" w:ascii="宋体" w:hAnsi="宋体" w:eastAsia="宋体" w:cs="宋体"/>
          <w:b w:val="0"/>
          <w:bCs w:val="0"/>
          <w:color w:val="auto"/>
          <w:sz w:val="28"/>
          <w:szCs w:val="28"/>
          <w:lang w:eastAsia="zh-CN"/>
        </w:rPr>
      </w:pPr>
      <w:r>
        <w:rPr>
          <w:rFonts w:hint="eastAsia" w:ascii="宋体" w:hAnsi="宋体" w:eastAsia="宋体" w:cs="宋体"/>
          <w:b w:val="0"/>
          <w:bCs w:val="0"/>
          <w:sz w:val="28"/>
          <w:szCs w:val="28"/>
          <w:lang w:eastAsia="zh-CN"/>
        </w:rPr>
        <w:t>本公司大气污染源主要</w:t>
      </w:r>
      <w:r>
        <w:rPr>
          <w:rFonts w:hint="eastAsia" w:ascii="宋体" w:hAnsi="宋体" w:cs="宋体"/>
          <w:b w:val="0"/>
          <w:bCs w:val="0"/>
          <w:sz w:val="28"/>
          <w:szCs w:val="28"/>
          <w:lang w:eastAsia="zh-CN"/>
        </w:rPr>
        <w:t>来源于</w:t>
      </w:r>
      <w:r>
        <w:rPr>
          <w:rFonts w:ascii="宋体"/>
          <w:sz w:val="28"/>
          <w:szCs w:val="28"/>
        </w:rPr>
        <w:t>污水及污泥处理过程中</w:t>
      </w:r>
      <w:r>
        <w:rPr>
          <w:rFonts w:hint="eastAsia" w:ascii="宋体" w:hAnsi="宋体" w:eastAsia="宋体" w:cs="宋体"/>
          <w:b w:val="0"/>
          <w:bCs w:val="0"/>
          <w:sz w:val="28"/>
          <w:szCs w:val="28"/>
          <w:lang w:eastAsia="zh-CN"/>
        </w:rPr>
        <w:t>产生的恶臭等。</w:t>
      </w:r>
      <w:r>
        <w:rPr>
          <w:rFonts w:hint="eastAsia" w:ascii="宋体" w:hAnsi="宋体" w:eastAsia="宋体" w:cs="宋体"/>
          <w:b w:val="0"/>
          <w:bCs w:val="0"/>
          <w:color w:val="auto"/>
          <w:sz w:val="28"/>
          <w:szCs w:val="28"/>
          <w:lang w:eastAsia="zh-CN"/>
        </w:rPr>
        <w:t>这个设施产生的恶臭为无组织排放，采取的主要环保措施是</w:t>
      </w:r>
      <w:r>
        <w:rPr>
          <w:rFonts w:hint="eastAsia" w:ascii="宋体" w:hAnsi="宋体" w:cs="宋体"/>
          <w:b w:val="0"/>
          <w:bCs w:val="0"/>
          <w:color w:val="auto"/>
          <w:sz w:val="28"/>
          <w:szCs w:val="28"/>
          <w:lang w:val="en-US" w:eastAsia="zh-CN"/>
        </w:rPr>
        <w:t>生物</w:t>
      </w:r>
      <w:r>
        <w:rPr>
          <w:rFonts w:ascii="宋体" w:hAnsi="宋体" w:eastAsia="宋体" w:cs="宋体"/>
          <w:color w:val="auto"/>
          <w:sz w:val="28"/>
          <w:szCs w:val="28"/>
        </w:rPr>
        <w:t>土壤除臭</w:t>
      </w:r>
      <w:r>
        <w:rPr>
          <w:rFonts w:hint="eastAsia" w:ascii="宋体" w:hAnsi="宋体" w:cs="宋体"/>
          <w:color w:val="auto"/>
          <w:sz w:val="28"/>
          <w:szCs w:val="28"/>
          <w:lang w:eastAsia="zh-CN"/>
        </w:rPr>
        <w:t>方法处理</w:t>
      </w:r>
      <w:r>
        <w:rPr>
          <w:rFonts w:hint="eastAsia" w:ascii="宋体" w:hAnsi="宋体" w:eastAsia="宋体" w:cs="宋体"/>
          <w:b w:val="0"/>
          <w:bCs w:val="0"/>
          <w:color w:val="auto"/>
          <w:sz w:val="28"/>
          <w:szCs w:val="28"/>
          <w:lang w:eastAsia="zh-CN"/>
        </w:rPr>
        <w:t>。</w:t>
      </w:r>
    </w:p>
    <w:p>
      <w:pPr>
        <w:pStyle w:val="17"/>
        <w:keepNext w:val="0"/>
        <w:keepLines w:val="0"/>
        <w:pageBreakBefore w:val="0"/>
        <w:kinsoku/>
        <w:wordWrap/>
        <w:overflowPunct/>
        <w:topLinePunct w:val="0"/>
        <w:autoSpaceDE/>
        <w:autoSpaceDN/>
        <w:bidi w:val="0"/>
        <w:spacing w:line="240" w:lineRule="auto"/>
        <w:ind w:firstLine="56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mc:AlternateContent>
          <mc:Choice Requires="wps">
            <w:drawing>
              <wp:anchor distT="0" distB="0" distL="114300" distR="114300" simplePos="0" relativeHeight="251660288" behindDoc="0" locked="0" layoutInCell="1" allowOverlap="1">
                <wp:simplePos x="0" y="0"/>
                <wp:positionH relativeFrom="column">
                  <wp:posOffset>-134620</wp:posOffset>
                </wp:positionH>
                <wp:positionV relativeFrom="paragraph">
                  <wp:posOffset>391160</wp:posOffset>
                </wp:positionV>
                <wp:extent cx="4824730" cy="3223260"/>
                <wp:effectExtent l="4445" t="4445" r="9525" b="10795"/>
                <wp:wrapNone/>
                <wp:docPr id="8" name="文本框 8"/>
                <wp:cNvGraphicFramePr/>
                <a:graphic xmlns:a="http://schemas.openxmlformats.org/drawingml/2006/main">
                  <a:graphicData uri="http://schemas.microsoft.com/office/word/2010/wordprocessingShape">
                    <wps:wsp>
                      <wps:cNvSpPr txBox="1"/>
                      <wps:spPr>
                        <a:xfrm>
                          <a:off x="0" y="0"/>
                          <a:ext cx="4824730" cy="3223260"/>
                        </a:xfrm>
                        <a:prstGeom prst="rect">
                          <a:avLst/>
                        </a:prstGeom>
                        <a:solidFill>
                          <a:schemeClr val="lt1"/>
                        </a:solidFill>
                        <a:ln w="6350">
                          <a:solidFill>
                            <a:prstClr val="black"/>
                          </a:solidFill>
                        </a:ln>
                      </wps:spPr>
                      <wps:txbx>
                        <w:txbxContent>
                          <w:p>
                            <w:pPr>
                              <w:ind w:left="560" w:hanging="560" w:hangingChars="200"/>
                              <w:rPr>
                                <w:rFonts w:hint="eastAsia" w:eastAsiaTheme="minorEastAsia"/>
                                <w:sz w:val="28"/>
                                <w:szCs w:val="28"/>
                                <w:lang w:eastAsia="zh-CN"/>
                              </w:rPr>
                            </w:pPr>
                            <w:r>
                              <w:rPr>
                                <w:rFonts w:hint="eastAsia" w:eastAsiaTheme="minorEastAsia"/>
                                <w:sz w:val="28"/>
                                <w:szCs w:val="28"/>
                                <w:lang w:eastAsia="zh-CN"/>
                              </w:rPr>
                              <w:drawing>
                                <wp:inline distT="0" distB="0" distL="114300" distR="114300">
                                  <wp:extent cx="4746625" cy="3155315"/>
                                  <wp:effectExtent l="0" t="0" r="15875" b="6985"/>
                                  <wp:docPr id="1" name="图片 1" descr="IMG20211210103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20211210103505"/>
                                          <pic:cNvPicPr>
                                            <a:picLocks noChangeAspect="1"/>
                                          </pic:cNvPicPr>
                                        </pic:nvPicPr>
                                        <pic:blipFill>
                                          <a:blip r:embed="rId7"/>
                                          <a:stretch>
                                            <a:fillRect/>
                                          </a:stretch>
                                        </pic:blipFill>
                                        <pic:spPr>
                                          <a:xfrm>
                                            <a:off x="0" y="0"/>
                                            <a:ext cx="4746625" cy="31553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0.8pt;height:253.8pt;width:379.9pt;z-index:251660288;mso-width-relative:page;mso-height-relative:page;" fillcolor="#FFFFFF [3201]" filled="t" stroked="t" coordsize="21600,21600" o:gfxdata="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lGlA5&#10;1wAAAAoBAAAPAAAAAAAAAAEAIAAAACIAAABkcnMvZG93bnJldi54bWxQSwECFAAUAAAACACHTuJA&#10;aF46uVsCAAC4BAAADgAAAAAAAAABACAAAAAmAQAAZHJzL2Uyb0RvYy54bWxQSwUGAAAAAAYABgBZ&#10;AQAA8wUAAAAA&#10;">
                <v:fill on="t" focussize="0,0"/>
                <v:stroke weight="0.5pt" color="#000000" joinstyle="round"/>
                <v:imagedata o:title=""/>
                <o:lock v:ext="edit" aspectratio="f"/>
                <v:textbox>
                  <w:txbxContent>
                    <w:p>
                      <w:pPr>
                        <w:ind w:left="560" w:hanging="560" w:hangingChars="200"/>
                        <w:rPr>
                          <w:rFonts w:hint="eastAsia" w:eastAsiaTheme="minorEastAsia"/>
                          <w:sz w:val="28"/>
                          <w:szCs w:val="28"/>
                          <w:lang w:eastAsia="zh-CN"/>
                        </w:rPr>
                      </w:pPr>
                      <w:r>
                        <w:rPr>
                          <w:rFonts w:hint="eastAsia" w:eastAsiaTheme="minorEastAsia"/>
                          <w:sz w:val="28"/>
                          <w:szCs w:val="28"/>
                          <w:lang w:eastAsia="zh-CN"/>
                        </w:rPr>
                        <w:drawing>
                          <wp:inline distT="0" distB="0" distL="114300" distR="114300">
                            <wp:extent cx="4746625" cy="3155315"/>
                            <wp:effectExtent l="0" t="0" r="15875" b="6985"/>
                            <wp:docPr id="1" name="图片 1" descr="IMG20211210103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20211210103505"/>
                                    <pic:cNvPicPr>
                                      <a:picLocks noChangeAspect="1"/>
                                    </pic:cNvPicPr>
                                  </pic:nvPicPr>
                                  <pic:blipFill>
                                    <a:blip r:embed="rId7"/>
                                    <a:stretch>
                                      <a:fillRect/>
                                    </a:stretch>
                                  </pic:blipFill>
                                  <pic:spPr>
                                    <a:xfrm>
                                      <a:off x="0" y="0"/>
                                      <a:ext cx="4746625" cy="3155315"/>
                                    </a:xfrm>
                                    <a:prstGeom prst="rect">
                                      <a:avLst/>
                                    </a:prstGeom>
                                  </pic:spPr>
                                </pic:pic>
                              </a:graphicData>
                            </a:graphic>
                          </wp:inline>
                        </w:drawing>
                      </w:r>
                    </w:p>
                  </w:txbxContent>
                </v:textbox>
              </v:shape>
            </w:pict>
          </mc:Fallback>
        </mc:AlternateContent>
      </w:r>
      <w:r>
        <w:rPr>
          <w:rFonts w:hint="eastAsia" w:ascii="宋体" w:hAnsi="宋体" w:eastAsia="宋体" w:cs="宋体"/>
          <w:b w:val="0"/>
          <w:bCs w:val="0"/>
          <w:sz w:val="28"/>
          <w:szCs w:val="28"/>
          <w:lang w:eastAsia="zh-CN"/>
        </w:rPr>
        <w:t>无组织废气监测期间同步监测气象因子</w:t>
      </w: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mc:AlternateContent>
          <mc:Choice Requires="wps">
            <w:drawing>
              <wp:anchor distT="0" distB="0" distL="114300" distR="114300" simplePos="0" relativeHeight="251669504" behindDoc="0" locked="0" layoutInCell="1" allowOverlap="1">
                <wp:simplePos x="0" y="0"/>
                <wp:positionH relativeFrom="column">
                  <wp:posOffset>4456430</wp:posOffset>
                </wp:positionH>
                <wp:positionV relativeFrom="paragraph">
                  <wp:posOffset>344170</wp:posOffset>
                </wp:positionV>
                <wp:extent cx="293370" cy="716280"/>
                <wp:effectExtent l="19050" t="19050" r="30480" b="26670"/>
                <wp:wrapNone/>
                <wp:docPr id="20" name="箭头: 上 20"/>
                <wp:cNvGraphicFramePr/>
                <a:graphic xmlns:a="http://schemas.openxmlformats.org/drawingml/2006/main">
                  <a:graphicData uri="http://schemas.microsoft.com/office/word/2010/wordprocessingShape">
                    <wps:wsp>
                      <wps:cNvSpPr/>
                      <wps:spPr>
                        <a:xfrm>
                          <a:off x="0" y="0"/>
                          <a:ext cx="293370" cy="71628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上 20" o:spid="_x0000_s1026" o:spt="68" type="#_x0000_t68" style="position:absolute;left:0pt;margin-left:350.9pt;margin-top:27.1pt;height:56.4pt;width:23.1pt;z-index:251669504;v-text-anchor:middle;mso-width-relative:page;mso-height-relative:page;" fillcolor="#4472C4 [3204]" filled="t" stroked="t" coordsize="21600,21600" o:gfxdata="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N&#10;BBF72AAAAAoBAAAPAAAAAAAAAAEAIAAAACIAAABkcnMvZG93bnJldi54bWxQSwECFAAUAAAACACH&#10;TuJAA+rIcpYCAAApBQAADgAAAAAAAAABACAAAAAnAQAAZHJzL2Uyb0RvYy54bWxQSwUGAAAAAAYA&#10;BgBZAQAALwYAAAAA&#10;" adj="4423,5400">
                <v:fill on="t" focussize="0,0"/>
                <v:stroke weight="1pt" color="#2F528F [3204]" miterlimit="8" joinstyle="miter"/>
                <v:imagedata o:title=""/>
                <o:lock v:ext="edit" aspectratio="f"/>
                <v:textbox>
                  <w:txbxContent>
                    <w:p>
                      <w:pPr>
                        <w:jc w:val="center"/>
                      </w:pPr>
                    </w:p>
                  </w:txbxContent>
                </v:textbox>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72576" behindDoc="0" locked="0" layoutInCell="1" allowOverlap="1">
                <wp:simplePos x="0" y="0"/>
                <wp:positionH relativeFrom="column">
                  <wp:posOffset>3874770</wp:posOffset>
                </wp:positionH>
                <wp:positionV relativeFrom="paragraph">
                  <wp:posOffset>4445</wp:posOffset>
                </wp:positionV>
                <wp:extent cx="601980" cy="38862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601980" cy="388620"/>
                        </a:xfrm>
                        <a:prstGeom prst="rect">
                          <a:avLst/>
                        </a:prstGeom>
                        <a:noFill/>
                        <a:ln w="6350">
                          <a:noFill/>
                        </a:ln>
                      </wps:spPr>
                      <wps:txbx>
                        <w:txbxContent>
                          <w:p>
                            <w:pPr>
                              <w:rPr>
                                <w:b/>
                                <w:bCs/>
                                <w:sz w:val="24"/>
                                <w:szCs w:val="24"/>
                              </w:rPr>
                            </w:pPr>
                            <w:r>
                              <w:rPr>
                                <w:rFonts w:hint="eastAsia"/>
                                <w:b/>
                                <w:bCs/>
                                <w:sz w:val="24"/>
                                <w:szCs w:val="24"/>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5.1pt;margin-top:0.35pt;height:30.6pt;width:47.4pt;z-index:251672576;mso-width-relative:page;mso-height-relative:page;" filled="f" stroked="f" coordsize="21600,21600" o:gfxdata="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eYUz9gAAAAHAQAADwAAAAAAAAABACAAAAAiAAAAZHJz&#10;L2Rvd25yZXYueG1sUEsBAhQAFAAAAAgAh07iQBERzf89AgAAZwQAAA4AAAAAAAAAAQAgAAAAJwEA&#10;AGRycy9lMm9Eb2MueG1sUEsFBgAAAAAGAAYAWQEAANYFAAAAAA==&#10;">
                <v:fill on="f" focussize="0,0"/>
                <v:stroke on="f" weight="0.5pt"/>
                <v:imagedata o:title=""/>
                <o:lock v:ext="edit" aspectratio="f"/>
                <v:textbox>
                  <w:txbxContent>
                    <w:p>
                      <w:pPr>
                        <w:rPr>
                          <w:b/>
                          <w:bCs/>
                          <w:sz w:val="24"/>
                          <w:szCs w:val="24"/>
                        </w:rPr>
                      </w:pPr>
                      <w:r>
                        <w:rPr>
                          <w:rFonts w:hint="eastAsia"/>
                          <w:b/>
                          <w:bCs/>
                          <w:sz w:val="24"/>
                          <w:szCs w:val="24"/>
                        </w:rPr>
                        <w:t>N</w:t>
                      </w:r>
                    </w:p>
                  </w:txbxContent>
                </v:textbox>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66432" behindDoc="0" locked="0" layoutInCell="1" allowOverlap="1">
                <wp:simplePos x="0" y="0"/>
                <wp:positionH relativeFrom="column">
                  <wp:posOffset>2948940</wp:posOffset>
                </wp:positionH>
                <wp:positionV relativeFrom="paragraph">
                  <wp:posOffset>319405</wp:posOffset>
                </wp:positionV>
                <wp:extent cx="327660" cy="38862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pPr>
                              <w:rPr>
                                <w:b/>
                                <w:bCs/>
                                <w:sz w:val="24"/>
                                <w:szCs w:val="24"/>
                              </w:rPr>
                            </w:pPr>
                            <w:r>
                              <w:rPr>
                                <w:b/>
                                <w:bCs/>
                                <w:sz w:val="24"/>
                                <w:szCs w:val="24"/>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2.2pt;margin-top:25.15pt;height:30.6pt;width:25.8pt;z-index:251666432;mso-width-relative:page;mso-height-relative:page;" filled="f" stroked="f" coordsize="21600,21600" o:gfxdata="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&#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NLfvg2gAAAAoBAAAPAAAAAAAAAAEAIAAAACIAAABk&#10;cnMvZG93bnJldi54bWxQSwECFAAUAAAACACHTuJAIMHBhz0CAABnBAAADgAAAAAAAAABACAAAAAp&#10;AQAAZHJzL2Uyb0RvYy54bWxQSwUGAAAAAAYABgBZAQAA2AUAAAAA&#10;">
                <v:fill on="f" focussize="0,0"/>
                <v:stroke on="f" weight="0.5pt"/>
                <v:imagedata o:title=""/>
                <o:lock v:ext="edit" aspectratio="f"/>
                <v:textbox>
                  <w:txbxContent>
                    <w:p>
                      <w:pPr>
                        <w:rPr>
                          <w:b/>
                          <w:bCs/>
                          <w:sz w:val="24"/>
                          <w:szCs w:val="24"/>
                        </w:rPr>
                      </w:pPr>
                      <w:r>
                        <w:rPr>
                          <w:b/>
                          <w:bCs/>
                          <w:sz w:val="24"/>
                          <w:szCs w:val="24"/>
                        </w:rPr>
                        <w:t>4</w:t>
                      </w:r>
                    </w:p>
                  </w:txbxContent>
                </v:textbox>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67456" behindDoc="0" locked="0" layoutInCell="1" allowOverlap="1">
                <wp:simplePos x="0" y="0"/>
                <wp:positionH relativeFrom="column">
                  <wp:posOffset>2209800</wp:posOffset>
                </wp:positionH>
                <wp:positionV relativeFrom="paragraph">
                  <wp:posOffset>319405</wp:posOffset>
                </wp:positionV>
                <wp:extent cx="327660" cy="3886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pPr>
                              <w:rPr>
                                <w:b/>
                                <w:bCs/>
                                <w:sz w:val="24"/>
                                <w:szCs w:val="24"/>
                              </w:rPr>
                            </w:pPr>
                            <w:r>
                              <w:rPr>
                                <w:b/>
                                <w:bCs/>
                                <w:sz w:val="24"/>
                                <w:szCs w:val="24"/>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4pt;margin-top:25.15pt;height:30.6pt;width:25.8pt;z-index:251667456;mso-width-relative:page;mso-height-relative:page;" filled="f" stroked="f" coordsize="21600,21600" o:gfxdata="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AA5K2wAAAAoBAAAPAAAAAAAAAAEAIAAAACIAAABk&#10;cnMvZG93bnJldi54bWxQSwECFAAUAAAACACHTuJAsVTFWzwCAABnBAAADgAAAAAAAAABACAAAAAq&#10;AQAAZHJzL2Uyb0RvYy54bWxQSwUGAAAAAAYABgBZAQAA2AUAAAAA&#10;">
                <v:fill on="f" focussize="0,0"/>
                <v:stroke on="f" weight="0.5pt"/>
                <v:imagedata o:title=""/>
                <o:lock v:ext="edit" aspectratio="f"/>
                <v:textbox>
                  <w:txbxContent>
                    <w:p>
                      <w:pPr>
                        <w:rPr>
                          <w:b/>
                          <w:bCs/>
                          <w:sz w:val="24"/>
                          <w:szCs w:val="24"/>
                        </w:rPr>
                      </w:pPr>
                      <w:r>
                        <w:rPr>
                          <w:b/>
                          <w:bCs/>
                          <w:sz w:val="24"/>
                          <w:szCs w:val="24"/>
                        </w:rPr>
                        <w:t>3</w:t>
                      </w:r>
                    </w:p>
                  </w:txbxContent>
                </v:textbox>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61312" behindDoc="0" locked="0" layoutInCell="1" allowOverlap="1">
                <wp:simplePos x="0" y="0"/>
                <wp:positionH relativeFrom="column">
                  <wp:posOffset>1463040</wp:posOffset>
                </wp:positionH>
                <wp:positionV relativeFrom="paragraph">
                  <wp:posOffset>320040</wp:posOffset>
                </wp:positionV>
                <wp:extent cx="327660" cy="38862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pPr>
                              <w:rPr>
                                <w:b/>
                                <w:bCs/>
                                <w:sz w:val="24"/>
                                <w:szCs w:val="24"/>
                              </w:rPr>
                            </w:pPr>
                            <w:r>
                              <w:rPr>
                                <w:b/>
                                <w:bCs/>
                                <w:sz w:val="24"/>
                                <w:szCs w:val="24"/>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2pt;margin-top:25.2pt;height:30.6pt;width:25.8pt;z-index:251661312;mso-width-relative:page;mso-height-relative:page;" filled="f" stroked="f" coordsize="21600,21600" o:gfxdata="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HlT7LaAAAACgEAAA8AAAAAAAAAAQAgAAAAIgAAAGRy&#10;cy9kb3ducmV2LnhtbFBLAQIUABQAAAAIAIdO4kBltxpwPAIAAGcEAAAOAAAAAAAAAAEAIAAAACkB&#10;AABkcnMvZTJvRG9jLnhtbFBLBQYAAAAABgAGAFkBAADXBQAAAAA=&#10;">
                <v:fill on="f" focussize="0,0"/>
                <v:stroke on="f" weight="0.5pt"/>
                <v:imagedata o:title=""/>
                <o:lock v:ext="edit" aspectratio="f"/>
                <v:textbox>
                  <w:txbxContent>
                    <w:p>
                      <w:pPr>
                        <w:rPr>
                          <w:b/>
                          <w:bCs/>
                          <w:sz w:val="24"/>
                          <w:szCs w:val="24"/>
                        </w:rPr>
                      </w:pPr>
                      <w:r>
                        <w:rPr>
                          <w:b/>
                          <w:bCs/>
                          <w:sz w:val="24"/>
                          <w:szCs w:val="24"/>
                        </w:rPr>
                        <w:t>2</w:t>
                      </w:r>
                    </w:p>
                  </w:txbxContent>
                </v:textbox>
              </v:shape>
            </w:pict>
          </mc:Fallback>
        </mc:AlternateContent>
      </w: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mc:AlternateContent>
          <mc:Choice Requires="wps">
            <w:drawing>
              <wp:anchor distT="0" distB="0" distL="114300" distR="114300" simplePos="0" relativeHeight="251671552" behindDoc="0" locked="0" layoutInCell="1" allowOverlap="1">
                <wp:simplePos x="0" y="0"/>
                <wp:positionH relativeFrom="column">
                  <wp:posOffset>4034790</wp:posOffset>
                </wp:positionH>
                <wp:positionV relativeFrom="paragraph">
                  <wp:posOffset>46355</wp:posOffset>
                </wp:positionV>
                <wp:extent cx="0" cy="640080"/>
                <wp:effectExtent l="57150" t="38100" r="57150" b="7620"/>
                <wp:wrapNone/>
                <wp:docPr id="23" name="直接箭头连接符 23"/>
                <wp:cNvGraphicFramePr/>
                <a:graphic xmlns:a="http://schemas.openxmlformats.org/drawingml/2006/main">
                  <a:graphicData uri="http://schemas.microsoft.com/office/word/2010/wordprocessingShape">
                    <wps:wsp>
                      <wps:cNvCnPr/>
                      <wps:spPr>
                        <a:xfrm flipV="1">
                          <a:off x="0" y="0"/>
                          <a:ext cx="0" cy="64008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17.7pt;margin-top:3.65pt;height:50.4pt;width:0pt;z-index:251671552;mso-width-relative:page;mso-height-relative:page;" filled="f" stroked="t" coordsize="21600,21600" o:gfxdata="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0Twow1wAAAAkBAAAPAAAAAAAAAAEAIAAA&#10;ACIAAABkcnMvZG93bnJldi54bWxQSwECFAAUAAAACACHTuJARAGrGA0CAADtAwAADgAAAAAAAAAB&#10;ACAAAAAmAQAAZHJzL2Uyb0RvYy54bWxQSwUGAAAAAAYABgBZAQAApQUAAAAA&#10;">
                <v:fill on="f" focussize="0,0"/>
                <v:stroke weight="3pt" color="#000000 [3213]" miterlimit="8" joinstyle="miter" endarrow="block"/>
                <v:imagedata o:title=""/>
                <o:lock v:ext="edit" aspectratio="f"/>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70528" behindDoc="0" locked="0" layoutInCell="1" allowOverlap="1">
                <wp:simplePos x="0" y="0"/>
                <wp:positionH relativeFrom="column">
                  <wp:posOffset>4724400</wp:posOffset>
                </wp:positionH>
                <wp:positionV relativeFrom="paragraph">
                  <wp:posOffset>170180</wp:posOffset>
                </wp:positionV>
                <wp:extent cx="601980" cy="38862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601980" cy="388620"/>
                        </a:xfrm>
                        <a:prstGeom prst="rect">
                          <a:avLst/>
                        </a:prstGeom>
                        <a:noFill/>
                        <a:ln w="6350">
                          <a:noFill/>
                        </a:ln>
                      </wps:spPr>
                      <wps:txbx>
                        <w:txbxContent>
                          <w:p>
                            <w:pPr>
                              <w:rPr>
                                <w:b/>
                                <w:bCs/>
                                <w:sz w:val="24"/>
                                <w:szCs w:val="24"/>
                              </w:rPr>
                            </w:pPr>
                            <w:r>
                              <w:rPr>
                                <w:rFonts w:hint="eastAsia"/>
                                <w:b/>
                                <w:bCs/>
                                <w:sz w:val="24"/>
                                <w:szCs w:val="24"/>
                              </w:rPr>
                              <w:t>风向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2pt;margin-top:13.4pt;height:30.6pt;width:47.4pt;z-index:251670528;mso-width-relative:page;mso-height-relative:page;" filled="f" stroked="f" coordsize="21600,21600" o:gfxdata="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hGUFNkAAAAJAQAADwAAAAAAAAABACAAAAAiAAAAZHJz&#10;L2Rvd25yZXYueG1sUEsBAhQAFAAAAAgAh07iQKGf4QI8AgAAZwQAAA4AAAAAAAAAAQAgAAAAKAEA&#10;AGRycy9lMm9Eb2MueG1sUEsFBgAAAAAGAAYAWQEAANYFAAAAAA==&#10;">
                <v:fill on="f" focussize="0,0"/>
                <v:stroke on="f" weight="0.5pt"/>
                <v:imagedata o:title=""/>
                <o:lock v:ext="edit" aspectratio="f"/>
                <v:textbox>
                  <w:txbxContent>
                    <w:p>
                      <w:pPr>
                        <w:rPr>
                          <w:b/>
                          <w:bCs/>
                          <w:sz w:val="24"/>
                          <w:szCs w:val="24"/>
                        </w:rPr>
                      </w:pPr>
                      <w:r>
                        <w:rPr>
                          <w:rFonts w:hint="eastAsia"/>
                          <w:b/>
                          <w:bCs/>
                          <w:sz w:val="24"/>
                          <w:szCs w:val="24"/>
                        </w:rPr>
                        <w:t>风向</w:t>
                      </w:r>
                    </w:p>
                  </w:txbxContent>
                </v:textbox>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63360" behindDoc="0" locked="0" layoutInCell="1" allowOverlap="1">
                <wp:simplePos x="0" y="0"/>
                <wp:positionH relativeFrom="column">
                  <wp:posOffset>1264920</wp:posOffset>
                </wp:positionH>
                <wp:positionV relativeFrom="paragraph">
                  <wp:posOffset>174625</wp:posOffset>
                </wp:positionV>
                <wp:extent cx="160020" cy="160020"/>
                <wp:effectExtent l="0" t="0" r="11430" b="11430"/>
                <wp:wrapNone/>
                <wp:docPr id="14" name="椭圆 14"/>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99.6pt;margin-top:13.75pt;height:12.6pt;width:12.6pt;z-index:251663360;v-text-anchor:middle;mso-width-relative:page;mso-height-relative:page;" filled="f" stroked="t" coordsize="21600,21600" o:gfxdata="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musLm1wAAAAkBAAAPAAAAAAAAAAEAIAAAACIAAABkcnMvZG93bnJldi54bWxQ&#10;SwECFAAUAAAACACHTuJA6rt55moCAADaBAAADgAAAAAAAAABACAAAAAmAQAAZHJzL2Uyb0RvYy54&#10;bWxQSwUGAAAAAAYABgBZAQAAAgYAAAAA&#10;">
                <v:fill on="f" focussize="0,0"/>
                <v:stroke weight="1pt" color="#000000 [3213]" miterlimit="8" joinstyle="miter"/>
                <v:imagedata o:title=""/>
                <o:lock v:ext="edit" aspectratio="f"/>
                <v:textbox>
                  <w:txbxContent>
                    <w:p>
                      <w:pPr>
                        <w:jc w:val="center"/>
                      </w:pPr>
                    </w:p>
                  </w:txbxContent>
                </v:textbox>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64384" behindDoc="0" locked="0" layoutInCell="1" allowOverlap="1">
                <wp:simplePos x="0" y="0"/>
                <wp:positionH relativeFrom="column">
                  <wp:posOffset>2095500</wp:posOffset>
                </wp:positionH>
                <wp:positionV relativeFrom="paragraph">
                  <wp:posOffset>174625</wp:posOffset>
                </wp:positionV>
                <wp:extent cx="160020" cy="160020"/>
                <wp:effectExtent l="0" t="0" r="11430" b="11430"/>
                <wp:wrapNone/>
                <wp:docPr id="15" name="椭圆 15"/>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65pt;margin-top:13.75pt;height:12.6pt;width:12.6pt;z-index:251664384;v-text-anchor:middle;mso-width-relative:page;mso-height-relative:page;" filled="f" stroked="t" coordsize="21600,21600" o:gfxdata="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kAjHG9cAAAAJAQAADwAAAAAAAAABACAAAAAiAAAAZHJzL2Rvd25yZXYueG1s&#10;UEsBAhQAFAAAAAgAh07iQKlw2MRrAgAA2gQAAA4AAAAAAAAAAQAgAAAAJgEAAGRycy9lMm9Eb2Mu&#10;eG1sUEsFBgAAAAAGAAYAWQEAAAMGAAAAAA==&#10;">
                <v:fill on="f" focussize="0,0"/>
                <v:stroke weight="1pt" color="#000000 [3213]" miterlimit="8" joinstyle="miter"/>
                <v:imagedata o:title=""/>
                <o:lock v:ext="edit" aspectratio="f"/>
                <v:textbox>
                  <w:txbxContent>
                    <w:p>
                      <w:pPr>
                        <w:jc w:val="center"/>
                      </w:pPr>
                    </w:p>
                  </w:txbxContent>
                </v:textbox>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62336" behindDoc="0" locked="0" layoutInCell="1" allowOverlap="1">
                <wp:simplePos x="0" y="0"/>
                <wp:positionH relativeFrom="column">
                  <wp:posOffset>2788920</wp:posOffset>
                </wp:positionH>
                <wp:positionV relativeFrom="paragraph">
                  <wp:posOffset>177800</wp:posOffset>
                </wp:positionV>
                <wp:extent cx="160020" cy="160020"/>
                <wp:effectExtent l="0" t="0" r="11430" b="11430"/>
                <wp:wrapNone/>
                <wp:docPr id="12" name="椭圆 12"/>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19.6pt;margin-top:14pt;height:12.6pt;width:12.6pt;z-index:251662336;v-text-anchor:middle;mso-width-relative:page;mso-height-relative:page;" filled="f" stroked="t" coordsize="21600,21600" o:gfxdata="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FKtmhtgAAAAJAQAADwAAAAAAAAABACAAAAAiAAAAZHJzL2Rvd25yZXYueG1s&#10;UEsBAhQAFAAAAAgAh07iQGAAvSlqAgAA2gQAAA4AAAAAAAAAAQAgAAAAJwEAAGRycy9lMm9Eb2Mu&#10;eG1sUEsFBgAAAAAGAAYAWQEAAAMGAAAAAA==&#10;">
                <v:fill on="f" focussize="0,0"/>
                <v:stroke weight="1pt" color="#000000 [3213]" miterlimit="8" joinstyle="miter"/>
                <v:imagedata o:title=""/>
                <o:lock v:ext="edit" aspectratio="f"/>
                <v:textbox>
                  <w:txbxContent>
                    <w:p>
                      <w:pPr>
                        <w:jc w:val="center"/>
                      </w:pPr>
                    </w:p>
                  </w:txbxContent>
                </v:textbox>
              </v:shape>
            </w:pict>
          </mc:Fallback>
        </mc:AlternateContent>
      </w: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mc:AlternateContent>
          <mc:Choice Requires="wps">
            <w:drawing>
              <wp:anchor distT="0" distB="0" distL="114300" distR="114300" simplePos="0" relativeHeight="251673600" behindDoc="0" locked="0" layoutInCell="1" allowOverlap="1">
                <wp:simplePos x="0" y="0"/>
                <wp:positionH relativeFrom="column">
                  <wp:posOffset>4745990</wp:posOffset>
                </wp:positionH>
                <wp:positionV relativeFrom="paragraph">
                  <wp:posOffset>71120</wp:posOffset>
                </wp:positionV>
                <wp:extent cx="1214755" cy="1554480"/>
                <wp:effectExtent l="0" t="0" r="4445" b="7620"/>
                <wp:wrapNone/>
                <wp:docPr id="25" name="文本框 25"/>
                <wp:cNvGraphicFramePr/>
                <a:graphic xmlns:a="http://schemas.openxmlformats.org/drawingml/2006/main">
                  <a:graphicData uri="http://schemas.microsoft.com/office/word/2010/wordprocessingShape">
                    <wps:wsp>
                      <wps:cNvSpPr txBox="1"/>
                      <wps:spPr>
                        <a:xfrm>
                          <a:off x="0" y="0"/>
                          <a:ext cx="1214755" cy="1554480"/>
                        </a:xfrm>
                        <a:prstGeom prst="rect">
                          <a:avLst/>
                        </a:prstGeom>
                        <a:solidFill>
                          <a:schemeClr val="lt1"/>
                        </a:solidFill>
                        <a:ln w="6350">
                          <a:noFill/>
                        </a:ln>
                      </wps:spPr>
                      <wps:txbx>
                        <w:txbxContent>
                          <w:p>
                            <w:pPr>
                              <w:pStyle w:val="17"/>
                              <w:spacing w:line="240" w:lineRule="atLeast"/>
                              <w:ind w:firstLine="0" w:firstLineChars="0"/>
                              <w:rPr>
                                <w:rFonts w:ascii="宋体" w:hAnsi="宋体"/>
                                <w:sz w:val="18"/>
                                <w:szCs w:val="18"/>
                                <w:lang w:eastAsia="zh-CN"/>
                              </w:rPr>
                            </w:pPr>
                            <w:r>
                              <w:rPr>
                                <w:rFonts w:hint="eastAsia" w:ascii="宋体" w:hAnsi="宋体"/>
                                <w:sz w:val="18"/>
                                <w:szCs w:val="18"/>
                                <w:lang w:eastAsia="zh-CN"/>
                              </w:rPr>
                              <w:t>注：</w:t>
                            </w:r>
                            <w:r>
                              <w:rPr>
                                <w:rFonts w:hint="eastAsia" w:ascii="宋体" w:hAnsi="宋体"/>
                                <w:sz w:val="18"/>
                                <w:szCs w:val="18"/>
                                <w:lang w:eastAsia="zh-CN"/>
                              </w:rPr>
                              <w:drawing>
                                <wp:inline distT="0" distB="0" distL="0" distR="0">
                                  <wp:extent cx="167640" cy="167640"/>
                                  <wp:effectExtent l="0" t="0" r="3810" b="381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7640" cy="167640"/>
                                          </a:xfrm>
                                          <a:prstGeom prst="rect">
                                            <a:avLst/>
                                          </a:prstGeom>
                                          <a:noFill/>
                                          <a:ln>
                                            <a:noFill/>
                                          </a:ln>
                                        </pic:spPr>
                                      </pic:pic>
                                    </a:graphicData>
                                  </a:graphic>
                                </wp:inline>
                              </w:drawing>
                            </w:r>
                            <w:r>
                              <w:rPr>
                                <w:rFonts w:hint="eastAsia" w:ascii="宋体" w:hAnsi="宋体"/>
                                <w:sz w:val="18"/>
                                <w:szCs w:val="18"/>
                                <w:lang w:eastAsia="zh-CN"/>
                              </w:rPr>
                              <w:t>为监测点</w:t>
                            </w:r>
                          </w:p>
                          <w:p>
                            <w:pPr>
                              <w:pStyle w:val="17"/>
                              <w:spacing w:line="240" w:lineRule="atLeast"/>
                              <w:ind w:firstLine="0" w:firstLineChars="0"/>
                              <w:rPr>
                                <w:rFonts w:ascii="宋体" w:hAnsi="宋体"/>
                                <w:color w:val="auto"/>
                                <w:sz w:val="28"/>
                                <w:szCs w:val="28"/>
                                <w:lang w:eastAsia="zh-CN"/>
                              </w:rPr>
                            </w:pPr>
                            <w:r>
                              <w:rPr>
                                <w:rFonts w:hint="eastAsia" w:ascii="宋体" w:hAnsi="宋体"/>
                                <w:color w:val="auto"/>
                                <w:sz w:val="18"/>
                                <w:szCs w:val="18"/>
                                <w:lang w:eastAsia="zh-CN"/>
                              </w:rPr>
                              <w:t>根据监测期间的风向确定点位布设，上风向设1个参照点，下风向设3个监控点。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3.7pt;margin-top:5.6pt;height:122.4pt;width:95.65pt;z-index:251673600;mso-width-relative:page;mso-height-relative:page;" fillcolor="#FFFFFF [3201]" filled="t" stroked="f" coordsize="21600,21600" o:gfxdata="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5QF+1gAAAAoBAAAP&#10;AAAAAAAAAAEAIAAAACIAAABkcnMvZG93bnJldi54bWxQSwECFAAUAAAACACHTuJAWuMzj1MCAACS&#10;BAAADgAAAAAAAAABACAAAAAlAQAAZHJzL2Uyb0RvYy54bWxQSwUGAAAAAAYABgBZAQAA6gUAAAAA&#10;">
                <v:fill on="t" focussize="0,0"/>
                <v:stroke on="f" weight="0.5pt"/>
                <v:imagedata o:title=""/>
                <o:lock v:ext="edit" aspectratio="f"/>
                <v:textbox>
                  <w:txbxContent>
                    <w:p>
                      <w:pPr>
                        <w:pStyle w:val="17"/>
                        <w:spacing w:line="240" w:lineRule="atLeast"/>
                        <w:ind w:firstLine="0" w:firstLineChars="0"/>
                        <w:rPr>
                          <w:rFonts w:ascii="宋体" w:hAnsi="宋体"/>
                          <w:sz w:val="18"/>
                          <w:szCs w:val="18"/>
                          <w:lang w:eastAsia="zh-CN"/>
                        </w:rPr>
                      </w:pPr>
                      <w:r>
                        <w:rPr>
                          <w:rFonts w:hint="eastAsia" w:ascii="宋体" w:hAnsi="宋体"/>
                          <w:sz w:val="18"/>
                          <w:szCs w:val="18"/>
                          <w:lang w:eastAsia="zh-CN"/>
                        </w:rPr>
                        <w:t>注：</w:t>
                      </w:r>
                      <w:r>
                        <w:rPr>
                          <w:rFonts w:hint="eastAsia" w:ascii="宋体" w:hAnsi="宋体"/>
                          <w:sz w:val="18"/>
                          <w:szCs w:val="18"/>
                          <w:lang w:eastAsia="zh-CN"/>
                        </w:rPr>
                        <w:drawing>
                          <wp:inline distT="0" distB="0" distL="0" distR="0">
                            <wp:extent cx="167640" cy="167640"/>
                            <wp:effectExtent l="0" t="0" r="3810" b="381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7640" cy="167640"/>
                                    </a:xfrm>
                                    <a:prstGeom prst="rect">
                                      <a:avLst/>
                                    </a:prstGeom>
                                    <a:noFill/>
                                    <a:ln>
                                      <a:noFill/>
                                    </a:ln>
                                  </pic:spPr>
                                </pic:pic>
                              </a:graphicData>
                            </a:graphic>
                          </wp:inline>
                        </w:drawing>
                      </w:r>
                      <w:r>
                        <w:rPr>
                          <w:rFonts w:hint="eastAsia" w:ascii="宋体" w:hAnsi="宋体"/>
                          <w:sz w:val="18"/>
                          <w:szCs w:val="18"/>
                          <w:lang w:eastAsia="zh-CN"/>
                        </w:rPr>
                        <w:t>为监测点</w:t>
                      </w:r>
                    </w:p>
                    <w:p>
                      <w:pPr>
                        <w:pStyle w:val="17"/>
                        <w:spacing w:line="240" w:lineRule="atLeast"/>
                        <w:ind w:firstLine="0" w:firstLineChars="0"/>
                        <w:rPr>
                          <w:rFonts w:ascii="宋体" w:hAnsi="宋体"/>
                          <w:color w:val="auto"/>
                          <w:sz w:val="28"/>
                          <w:szCs w:val="28"/>
                          <w:lang w:eastAsia="zh-CN"/>
                        </w:rPr>
                      </w:pPr>
                      <w:r>
                        <w:rPr>
                          <w:rFonts w:hint="eastAsia" w:ascii="宋体" w:hAnsi="宋体"/>
                          <w:color w:val="auto"/>
                          <w:sz w:val="18"/>
                          <w:szCs w:val="18"/>
                          <w:lang w:eastAsia="zh-CN"/>
                        </w:rPr>
                        <w:t>根据监测期间的风向确定点位布设，上风向设1个参照点，下风向设3个监控点。</w:t>
                      </w:r>
                    </w:p>
                  </w:txbxContent>
                </v:textbox>
              </v:shape>
            </w:pict>
          </mc:Fallback>
        </mc:AlternateContent>
      </w: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mc:AlternateContent>
          <mc:Choice Requires="wps">
            <w:drawing>
              <wp:anchor distT="0" distB="0" distL="114300" distR="114300" simplePos="0" relativeHeight="251668480" behindDoc="0" locked="0" layoutInCell="1" allowOverlap="1">
                <wp:simplePos x="0" y="0"/>
                <wp:positionH relativeFrom="column">
                  <wp:posOffset>2331720</wp:posOffset>
                </wp:positionH>
                <wp:positionV relativeFrom="paragraph">
                  <wp:posOffset>319405</wp:posOffset>
                </wp:positionV>
                <wp:extent cx="327660" cy="38862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pPr>
                              <w:rPr>
                                <w:b/>
                                <w:bCs/>
                                <w:sz w:val="24"/>
                                <w:szCs w:val="24"/>
                              </w:rPr>
                            </w:pPr>
                            <w:r>
                              <w:rPr>
                                <w:rFonts w:hint="eastAsia"/>
                                <w:b/>
                                <w:bCs/>
                                <w:sz w:val="24"/>
                                <w:szCs w:val="24"/>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3.6pt;margin-top:25.15pt;height:30.6pt;width:25.8pt;z-index:251668480;mso-width-relative:page;mso-height-relative:page;" filled="f" stroked="f" coordsize="21600,21600" o:gfxdata="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O/Xk9sAAAAKAQAADwAAAAAAAAABACAAAAAiAAAA&#10;ZHJzL2Rvd25yZXYueG1sUEsBAhQAFAAAAAgAh07iQOsrBrM9AgAAZwQAAA4AAAAAAAAAAQAgAAAA&#10;KgEAAGRycy9lMm9Eb2MueG1sUEsFBgAAAAAGAAYAWQEAANkFAAAAAA==&#10;">
                <v:fill on="f" focussize="0,0"/>
                <v:stroke on="f" weight="0.5pt"/>
                <v:imagedata o:title=""/>
                <o:lock v:ext="edit" aspectratio="f"/>
                <v:textbox>
                  <w:txbxContent>
                    <w:p>
                      <w:pPr>
                        <w:rPr>
                          <w:b/>
                          <w:bCs/>
                          <w:sz w:val="24"/>
                          <w:szCs w:val="24"/>
                        </w:rPr>
                      </w:pPr>
                      <w:r>
                        <w:rPr>
                          <w:rFonts w:hint="eastAsia"/>
                          <w:b/>
                          <w:bCs/>
                          <w:sz w:val="24"/>
                          <w:szCs w:val="24"/>
                        </w:rPr>
                        <w:t>1</w:t>
                      </w:r>
                    </w:p>
                  </w:txbxContent>
                </v:textbox>
              </v:shape>
            </w:pict>
          </mc:Fallback>
        </mc:AlternateContent>
      </w: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mc:AlternateContent>
          <mc:Choice Requires="wps">
            <w:drawing>
              <wp:anchor distT="0" distB="0" distL="114300" distR="114300" simplePos="0" relativeHeight="251665408" behindDoc="0" locked="0" layoutInCell="1" allowOverlap="1">
                <wp:simplePos x="0" y="0"/>
                <wp:positionH relativeFrom="column">
                  <wp:posOffset>2171700</wp:posOffset>
                </wp:positionH>
                <wp:positionV relativeFrom="paragraph">
                  <wp:posOffset>182245</wp:posOffset>
                </wp:positionV>
                <wp:extent cx="160020" cy="160020"/>
                <wp:effectExtent l="0" t="0" r="11430" b="11430"/>
                <wp:wrapNone/>
                <wp:docPr id="16" name="椭圆 16"/>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71pt;margin-top:14.35pt;height:12.6pt;width:12.6pt;z-index:251665408;v-text-anchor:middle;mso-width-relative:page;mso-height-relative:page;" filled="f" stroked="t" coordsize="21600,21600" o:gfxdata="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L1N6m3YAAAACQEAAA8AAAAAAAAAAQAgAAAAIgAAAGRycy9kb3ducmV2Lnht&#10;bFBLAQIUABQAAAAIAIdO4kBsLTqjawIAANoEAAAOAAAAAAAAAAEAIAAAACcBAABkcnMvZTJvRG9j&#10;LnhtbFBLBQYAAAAABgAGAFkBAAAEBgAAAAA=&#10;">
                <v:fill on="f" focussize="0,0"/>
                <v:stroke weight="1pt" color="#000000 [3213]" miterlimit="8" joinstyle="miter"/>
                <v:imagedata o:title=""/>
                <o:lock v:ext="edit" aspectratio="f"/>
                <v:textbox>
                  <w:txbxContent>
                    <w:p>
                      <w:pPr>
                        <w:jc w:val="center"/>
                      </w:pPr>
                    </w:p>
                  </w:txbxContent>
                </v:textbox>
              </v:shape>
            </w:pict>
          </mc:Fallback>
        </mc:AlternateContent>
      </w: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p>
    <w:p>
      <w:pPr>
        <w:pStyle w:val="17"/>
        <w:keepNext w:val="0"/>
        <w:keepLines w:val="0"/>
        <w:pageBreakBefore w:val="0"/>
        <w:kinsoku/>
        <w:wordWrap/>
        <w:overflowPunct/>
        <w:topLinePunct w:val="0"/>
        <w:autoSpaceDE/>
        <w:autoSpaceDN/>
        <w:bidi w:val="0"/>
        <w:spacing w:line="240" w:lineRule="auto"/>
        <w:ind w:firstLine="482"/>
        <w:jc w:val="center"/>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图2  无组织排放废气监测布点示意图</w:t>
      </w: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四、监测指标及相关信息</w:t>
      </w:r>
    </w:p>
    <w:p>
      <w:pPr>
        <w:pStyle w:val="17"/>
        <w:keepNext w:val="0"/>
        <w:keepLines w:val="0"/>
        <w:pageBreakBefore w:val="0"/>
        <w:kinsoku/>
        <w:wordWrap/>
        <w:overflowPunct/>
        <w:topLinePunct w:val="0"/>
        <w:autoSpaceDE/>
        <w:autoSpaceDN/>
        <w:bidi w:val="0"/>
        <w:spacing w:line="240" w:lineRule="auto"/>
        <w:ind w:firstLine="56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本公司自行监测的具体监测点位、监测指标、监测频次和监测方法见下表。</w:t>
      </w:r>
    </w:p>
    <w:tbl>
      <w:tblPr>
        <w:tblStyle w:val="8"/>
        <w:tblW w:w="8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70"/>
        <w:gridCol w:w="1260"/>
        <w:gridCol w:w="687"/>
        <w:gridCol w:w="2432"/>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2"/>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污染源类型</w:t>
            </w:r>
          </w:p>
        </w:tc>
        <w:tc>
          <w:tcPr>
            <w:tcW w:w="68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序号</w:t>
            </w:r>
          </w:p>
        </w:tc>
        <w:tc>
          <w:tcPr>
            <w:tcW w:w="2432"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监测点位名称</w:t>
            </w:r>
          </w:p>
        </w:tc>
        <w:tc>
          <w:tcPr>
            <w:tcW w:w="297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排口编号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2"/>
            <w:vMerge w:val="restart"/>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废水</w:t>
            </w:r>
          </w:p>
        </w:tc>
        <w:tc>
          <w:tcPr>
            <w:tcW w:w="68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FF0000"/>
                <w:sz w:val="28"/>
                <w:szCs w:val="28"/>
                <w:lang w:val="en-US" w:eastAsia="zh-CN"/>
              </w:rPr>
            </w:pPr>
            <w:r>
              <w:rPr>
                <w:rFonts w:hint="eastAsia" w:ascii="宋体" w:hAnsi="宋体" w:eastAsia="宋体" w:cs="宋体"/>
                <w:color w:val="auto"/>
                <w:sz w:val="28"/>
                <w:szCs w:val="28"/>
                <w:lang w:val="en-US" w:eastAsia="zh-CN"/>
              </w:rPr>
              <w:t>1</w:t>
            </w:r>
          </w:p>
        </w:tc>
        <w:tc>
          <w:tcPr>
            <w:tcW w:w="2432"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进水口</w:t>
            </w:r>
          </w:p>
        </w:tc>
        <w:tc>
          <w:tcPr>
            <w:tcW w:w="297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lang w:val="en-US" w:eastAsia="zh-CN"/>
              </w:rPr>
            </w:pPr>
            <w:r>
              <w:rPr>
                <w:rFonts w:hint="default" w:ascii="Arial" w:hAnsi="Arial" w:eastAsia="宋体" w:cs="Arial"/>
                <w:i w:val="0"/>
                <w:iCs w:val="0"/>
                <w:caps w:val="0"/>
                <w:color w:val="auto"/>
                <w:spacing w:val="0"/>
                <w:sz w:val="21"/>
                <w:szCs w:val="21"/>
                <w:shd w:val="clear" w:fill="FFFFFF"/>
              </w:rPr>
              <w:t>MW001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2830" w:type="dxa"/>
            <w:gridSpan w:val="2"/>
            <w:vMerge w:val="continue"/>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p>
        </w:tc>
        <w:tc>
          <w:tcPr>
            <w:tcW w:w="68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p>
        </w:tc>
        <w:tc>
          <w:tcPr>
            <w:tcW w:w="2432"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出水总排放口</w:t>
            </w:r>
          </w:p>
        </w:tc>
        <w:tc>
          <w:tcPr>
            <w:tcW w:w="2977" w:type="dxa"/>
            <w:vAlign w:val="center"/>
          </w:tcPr>
          <w:p>
            <w:pPr>
              <w:pStyle w:val="31"/>
              <w:keepNext w:val="0"/>
              <w:keepLines w:val="0"/>
              <w:suppressLineNumbers w:val="0"/>
              <w:snapToGrid w:val="0"/>
              <w:spacing w:before="0" w:beforeAutospacing="0" w:after="0" w:afterAutospacing="0"/>
              <w:ind w:left="0" w:right="0"/>
              <w:contextualSpacing/>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DW001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2"/>
            <w:vMerge w:val="continue"/>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p>
        </w:tc>
        <w:tc>
          <w:tcPr>
            <w:tcW w:w="68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2432"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雨水排放口</w:t>
            </w:r>
          </w:p>
        </w:tc>
        <w:tc>
          <w:tcPr>
            <w:tcW w:w="297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DW002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570" w:type="dxa"/>
            <w:vMerge w:val="restart"/>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废气</w:t>
            </w:r>
          </w:p>
        </w:tc>
        <w:tc>
          <w:tcPr>
            <w:tcW w:w="1260" w:type="dxa"/>
            <w:vMerge w:val="restart"/>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无组织</w:t>
            </w:r>
          </w:p>
        </w:tc>
        <w:tc>
          <w:tcPr>
            <w:tcW w:w="68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rPr>
            </w:pPr>
            <w:r>
              <w:rPr>
                <w:rFonts w:hint="eastAsia" w:ascii="宋体" w:hAnsi="宋体" w:eastAsia="宋体" w:cs="宋体"/>
                <w:sz w:val="28"/>
                <w:szCs w:val="28"/>
                <w:lang w:val="en-US" w:eastAsia="zh-CN"/>
              </w:rPr>
              <w:t>1</w:t>
            </w:r>
          </w:p>
        </w:tc>
        <w:tc>
          <w:tcPr>
            <w:tcW w:w="2432"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上风向</w:t>
            </w:r>
          </w:p>
        </w:tc>
        <w:tc>
          <w:tcPr>
            <w:tcW w:w="297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rPr>
            </w:pPr>
            <w:r>
              <w:rPr>
                <w:rFonts w:hint="eastAsia" w:ascii="宋体" w:hAnsi="宋体" w:eastAsia="宋体" w:cs="宋体"/>
                <w:sz w:val="28"/>
                <w:szCs w:val="28"/>
                <w:lang w:val="en-US" w:eastAsia="zh-CN"/>
              </w:rPr>
              <w:t>SF001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570" w:type="dxa"/>
            <w:vMerge w:val="continue"/>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p>
        </w:tc>
        <w:tc>
          <w:tcPr>
            <w:tcW w:w="1260" w:type="dxa"/>
            <w:vMerge w:val="continue"/>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p>
        </w:tc>
        <w:tc>
          <w:tcPr>
            <w:tcW w:w="68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rPr>
            </w:pPr>
            <w:r>
              <w:rPr>
                <w:rFonts w:hint="eastAsia" w:ascii="宋体" w:hAnsi="宋体" w:eastAsia="宋体" w:cs="宋体"/>
                <w:sz w:val="28"/>
                <w:szCs w:val="28"/>
                <w:lang w:val="en-US" w:eastAsia="zh-CN"/>
              </w:rPr>
              <w:t>2</w:t>
            </w:r>
          </w:p>
        </w:tc>
        <w:tc>
          <w:tcPr>
            <w:tcW w:w="2432"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rPr>
            </w:pPr>
            <w:r>
              <w:rPr>
                <w:rFonts w:hint="eastAsia" w:ascii="宋体" w:hAnsi="宋体" w:eastAsia="宋体" w:cs="宋体"/>
                <w:sz w:val="28"/>
                <w:szCs w:val="28"/>
                <w:lang w:eastAsia="zh-CN"/>
              </w:rPr>
              <w:t>下风向</w:t>
            </w:r>
            <w:r>
              <w:rPr>
                <w:rFonts w:hint="eastAsia" w:ascii="宋体" w:hAnsi="宋体" w:eastAsia="宋体" w:cs="宋体"/>
                <w:sz w:val="28"/>
                <w:szCs w:val="28"/>
                <w:lang w:val="en-US" w:eastAsia="zh-CN"/>
              </w:rPr>
              <w:t>1</w:t>
            </w:r>
          </w:p>
        </w:tc>
        <w:tc>
          <w:tcPr>
            <w:tcW w:w="297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XF001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570" w:type="dxa"/>
            <w:vMerge w:val="continue"/>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p>
        </w:tc>
        <w:tc>
          <w:tcPr>
            <w:tcW w:w="1260" w:type="dxa"/>
            <w:vMerge w:val="continue"/>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p>
        </w:tc>
        <w:tc>
          <w:tcPr>
            <w:tcW w:w="68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rPr>
            </w:pPr>
            <w:r>
              <w:rPr>
                <w:rFonts w:hint="eastAsia" w:ascii="宋体" w:hAnsi="宋体" w:eastAsia="宋体" w:cs="宋体"/>
                <w:sz w:val="28"/>
                <w:szCs w:val="28"/>
                <w:lang w:val="en-US" w:eastAsia="zh-CN"/>
              </w:rPr>
              <w:t>3</w:t>
            </w:r>
          </w:p>
        </w:tc>
        <w:tc>
          <w:tcPr>
            <w:tcW w:w="2432"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rPr>
            </w:pPr>
            <w:r>
              <w:rPr>
                <w:rFonts w:hint="eastAsia" w:ascii="宋体" w:hAnsi="宋体" w:eastAsia="宋体" w:cs="宋体"/>
                <w:sz w:val="28"/>
                <w:szCs w:val="28"/>
                <w:lang w:eastAsia="zh-CN"/>
              </w:rPr>
              <w:t>下风向</w:t>
            </w:r>
            <w:r>
              <w:rPr>
                <w:rFonts w:hint="eastAsia" w:ascii="宋体" w:hAnsi="宋体" w:eastAsia="宋体" w:cs="宋体"/>
                <w:sz w:val="28"/>
                <w:szCs w:val="28"/>
                <w:lang w:val="en-US" w:eastAsia="zh-CN"/>
              </w:rPr>
              <w:t>2</w:t>
            </w:r>
          </w:p>
        </w:tc>
        <w:tc>
          <w:tcPr>
            <w:tcW w:w="297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XF002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570" w:type="dxa"/>
            <w:vMerge w:val="continue"/>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p>
        </w:tc>
        <w:tc>
          <w:tcPr>
            <w:tcW w:w="1260" w:type="dxa"/>
            <w:vMerge w:val="continue"/>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p>
        </w:tc>
        <w:tc>
          <w:tcPr>
            <w:tcW w:w="68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rPr>
            </w:pPr>
            <w:r>
              <w:rPr>
                <w:rFonts w:hint="eastAsia" w:ascii="宋体" w:hAnsi="宋体" w:eastAsia="宋体" w:cs="宋体"/>
                <w:sz w:val="28"/>
                <w:szCs w:val="28"/>
                <w:lang w:val="en-US" w:eastAsia="zh-CN"/>
              </w:rPr>
              <w:t>4</w:t>
            </w:r>
          </w:p>
        </w:tc>
        <w:tc>
          <w:tcPr>
            <w:tcW w:w="2432"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rPr>
            </w:pPr>
            <w:r>
              <w:rPr>
                <w:rFonts w:hint="eastAsia" w:ascii="宋体" w:hAnsi="宋体" w:eastAsia="宋体" w:cs="宋体"/>
                <w:sz w:val="28"/>
                <w:szCs w:val="28"/>
                <w:lang w:eastAsia="zh-CN"/>
              </w:rPr>
              <w:t>下风向</w:t>
            </w:r>
            <w:r>
              <w:rPr>
                <w:rFonts w:hint="eastAsia" w:ascii="宋体" w:hAnsi="宋体" w:eastAsia="宋体" w:cs="宋体"/>
                <w:sz w:val="28"/>
                <w:szCs w:val="28"/>
                <w:lang w:val="en-US" w:eastAsia="zh-CN"/>
              </w:rPr>
              <w:t>3</w:t>
            </w:r>
          </w:p>
        </w:tc>
        <w:tc>
          <w:tcPr>
            <w:tcW w:w="297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XF003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70" w:type="dxa"/>
            <w:vMerge w:val="continue"/>
            <w:vAlign w:val="center"/>
          </w:tcPr>
          <w:p>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1260" w:type="dxa"/>
            <w:vMerge w:val="continue"/>
            <w:vAlign w:val="center"/>
          </w:tcPr>
          <w:p>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68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p>
        </w:tc>
        <w:tc>
          <w:tcPr>
            <w:tcW w:w="2432"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厂区体积浓度最高处</w:t>
            </w:r>
          </w:p>
        </w:tc>
        <w:tc>
          <w:tcPr>
            <w:tcW w:w="297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rPr>
            </w:pPr>
            <w:r>
              <w:rPr>
                <w:rFonts w:hint="eastAsia" w:ascii="宋体" w:hAnsi="宋体" w:eastAsia="宋体" w:cs="宋体"/>
                <w:sz w:val="28"/>
                <w:szCs w:val="28"/>
              </w:rPr>
              <w:t>CN001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70" w:type="dxa"/>
            <w:vAlign w:val="center"/>
          </w:tcPr>
          <w:p>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1260" w:type="dxa"/>
            <w:vAlign w:val="center"/>
          </w:tcPr>
          <w:p>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68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w:t>
            </w:r>
          </w:p>
        </w:tc>
        <w:tc>
          <w:tcPr>
            <w:tcW w:w="2432"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厂区体积浓度最高处</w:t>
            </w:r>
          </w:p>
        </w:tc>
        <w:tc>
          <w:tcPr>
            <w:tcW w:w="297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lang w:eastAsia="zh-CN"/>
              </w:rPr>
            </w:pPr>
            <w:r>
              <w:rPr>
                <w:rFonts w:hint="eastAsia" w:ascii="宋体" w:hAnsi="宋体" w:eastAsia="宋体" w:cs="宋体"/>
                <w:sz w:val="28"/>
                <w:szCs w:val="28"/>
              </w:rPr>
              <w:t>CN00</w:t>
            </w:r>
            <w:r>
              <w:rPr>
                <w:rFonts w:hint="eastAsia" w:ascii="宋体" w:hAnsi="宋体" w:eastAsia="宋体" w:cs="宋体"/>
                <w:sz w:val="28"/>
                <w:szCs w:val="28"/>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2"/>
            <w:vMerge w:val="restart"/>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噪声</w:t>
            </w:r>
          </w:p>
        </w:tc>
        <w:tc>
          <w:tcPr>
            <w:tcW w:w="68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1</w:t>
            </w:r>
          </w:p>
        </w:tc>
        <w:tc>
          <w:tcPr>
            <w:tcW w:w="2432" w:type="dxa"/>
            <w:vAlign w:val="center"/>
          </w:tcPr>
          <w:p>
            <w:pPr>
              <w:pStyle w:val="32"/>
              <w:keepNext w:val="0"/>
              <w:keepLines w:val="0"/>
              <w:suppressLineNumbers w:val="0"/>
              <w:snapToGrid w:val="0"/>
              <w:spacing w:before="0" w:beforeAutospacing="0" w:after="0" w:afterAutospacing="0"/>
              <w:ind w:left="0" w:right="0"/>
              <w:contextualSpacing/>
              <w:rPr>
                <w:rFonts w:hint="eastAsia" w:ascii="宋体" w:hAnsi="宋体" w:eastAsia="宋体" w:cs="宋体"/>
                <w:sz w:val="28"/>
                <w:szCs w:val="28"/>
              </w:rPr>
            </w:pPr>
            <w:r>
              <w:rPr>
                <w:rFonts w:hint="eastAsia" w:ascii="宋体" w:hAnsi="宋体" w:eastAsia="宋体" w:cs="宋体"/>
                <w:sz w:val="28"/>
                <w:szCs w:val="28"/>
              </w:rPr>
              <w:t xml:space="preserve">  厂界噪声（东）</w:t>
            </w:r>
          </w:p>
        </w:tc>
        <w:tc>
          <w:tcPr>
            <w:tcW w:w="2977" w:type="dxa"/>
            <w:vAlign w:val="center"/>
          </w:tcPr>
          <w:p>
            <w:pPr>
              <w:pStyle w:val="33"/>
              <w:keepNext w:val="0"/>
              <w:keepLines w:val="0"/>
              <w:suppressLineNumbers w:val="0"/>
              <w:snapToGrid w:val="0"/>
              <w:spacing w:before="0" w:beforeAutospacing="0" w:after="0" w:afterAutospacing="0"/>
              <w:ind w:right="0" w:firstLine="280" w:firstLineChars="100"/>
              <w:contextualSpacing/>
              <w:jc w:val="both"/>
              <w:rPr>
                <w:rFonts w:hint="eastAsia" w:ascii="宋体" w:hAnsi="宋体" w:eastAsia="宋体" w:cs="宋体"/>
                <w:sz w:val="28"/>
                <w:szCs w:val="28"/>
              </w:rPr>
            </w:pPr>
            <w:r>
              <w:rPr>
                <w:rFonts w:hint="eastAsia" w:ascii="宋体" w:hAnsi="宋体" w:eastAsia="宋体" w:cs="宋体"/>
                <w:sz w:val="28"/>
                <w:szCs w:val="28"/>
              </w:rPr>
              <w:t>ZS001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2"/>
            <w:vMerge w:val="continue"/>
            <w:vAlign w:val="center"/>
          </w:tcPr>
          <w:p>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68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2</w:t>
            </w:r>
          </w:p>
        </w:tc>
        <w:tc>
          <w:tcPr>
            <w:tcW w:w="2432" w:type="dxa"/>
            <w:vAlign w:val="center"/>
          </w:tcPr>
          <w:p>
            <w:pPr>
              <w:pStyle w:val="32"/>
              <w:keepNext w:val="0"/>
              <w:keepLines w:val="0"/>
              <w:suppressLineNumbers w:val="0"/>
              <w:snapToGrid w:val="0"/>
              <w:spacing w:before="0" w:beforeAutospacing="0" w:after="0" w:afterAutospacing="0"/>
              <w:ind w:left="0" w:right="0"/>
              <w:contextualSpacing/>
              <w:rPr>
                <w:rFonts w:hint="eastAsia" w:ascii="宋体" w:hAnsi="宋体" w:eastAsia="宋体" w:cs="宋体"/>
                <w:sz w:val="28"/>
                <w:szCs w:val="28"/>
              </w:rPr>
            </w:pPr>
            <w:r>
              <w:rPr>
                <w:rFonts w:hint="eastAsia" w:ascii="宋体" w:hAnsi="宋体" w:eastAsia="宋体" w:cs="宋体"/>
                <w:sz w:val="28"/>
                <w:szCs w:val="28"/>
              </w:rPr>
              <w:t xml:space="preserve">  厂界噪声（南）</w:t>
            </w:r>
          </w:p>
        </w:tc>
        <w:tc>
          <w:tcPr>
            <w:tcW w:w="2977" w:type="dxa"/>
            <w:vAlign w:val="center"/>
          </w:tcPr>
          <w:p>
            <w:pPr>
              <w:pStyle w:val="33"/>
              <w:keepNext w:val="0"/>
              <w:keepLines w:val="0"/>
              <w:suppressLineNumbers w:val="0"/>
              <w:snapToGrid w:val="0"/>
              <w:spacing w:before="0" w:beforeAutospacing="0" w:after="0" w:afterAutospacing="0"/>
              <w:ind w:left="199" w:right="0" w:firstLine="840" w:firstLineChars="300"/>
              <w:contextualSpacing/>
              <w:jc w:val="both"/>
              <w:rPr>
                <w:rFonts w:hint="eastAsia" w:ascii="宋体" w:hAnsi="宋体" w:eastAsia="宋体" w:cs="宋体"/>
                <w:sz w:val="28"/>
                <w:szCs w:val="28"/>
              </w:rPr>
            </w:pPr>
            <w:r>
              <w:rPr>
                <w:rFonts w:hint="eastAsia" w:ascii="宋体" w:hAnsi="宋体" w:eastAsia="宋体" w:cs="宋体"/>
                <w:sz w:val="28"/>
                <w:szCs w:val="28"/>
              </w:rPr>
              <w:t>ZS002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2"/>
            <w:vMerge w:val="continue"/>
            <w:vAlign w:val="center"/>
          </w:tcPr>
          <w:p>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68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3</w:t>
            </w:r>
          </w:p>
        </w:tc>
        <w:tc>
          <w:tcPr>
            <w:tcW w:w="2432" w:type="dxa"/>
            <w:vAlign w:val="center"/>
          </w:tcPr>
          <w:p>
            <w:pPr>
              <w:pStyle w:val="32"/>
              <w:keepNext w:val="0"/>
              <w:keepLines w:val="0"/>
              <w:suppressLineNumbers w:val="0"/>
              <w:snapToGrid w:val="0"/>
              <w:spacing w:before="0" w:beforeAutospacing="0" w:after="0" w:afterAutospacing="0"/>
              <w:ind w:left="0" w:right="0" w:firstLine="280" w:firstLineChars="100"/>
              <w:contextualSpacing/>
              <w:rPr>
                <w:rFonts w:hint="eastAsia" w:ascii="宋体" w:hAnsi="宋体" w:eastAsia="宋体" w:cs="宋体"/>
                <w:sz w:val="28"/>
                <w:szCs w:val="28"/>
              </w:rPr>
            </w:pPr>
            <w:r>
              <w:rPr>
                <w:rFonts w:hint="eastAsia" w:ascii="宋体" w:hAnsi="宋体" w:eastAsia="宋体" w:cs="宋体"/>
                <w:sz w:val="28"/>
                <w:szCs w:val="28"/>
              </w:rPr>
              <w:t>厂界噪声（西）</w:t>
            </w:r>
          </w:p>
        </w:tc>
        <w:tc>
          <w:tcPr>
            <w:tcW w:w="2977" w:type="dxa"/>
            <w:vAlign w:val="center"/>
          </w:tcPr>
          <w:p>
            <w:pPr>
              <w:pStyle w:val="33"/>
              <w:keepNext w:val="0"/>
              <w:keepLines w:val="0"/>
              <w:suppressLineNumbers w:val="0"/>
              <w:snapToGrid w:val="0"/>
              <w:spacing w:before="0" w:beforeAutospacing="0" w:after="200" w:afterAutospacing="0" w:line="252" w:lineRule="auto"/>
              <w:ind w:left="199" w:right="0" w:firstLine="840" w:firstLineChars="300"/>
              <w:contextualSpacing/>
              <w:jc w:val="both"/>
              <w:rPr>
                <w:rFonts w:hint="eastAsia" w:ascii="宋体" w:hAnsi="宋体" w:eastAsia="宋体" w:cs="宋体"/>
                <w:sz w:val="28"/>
                <w:szCs w:val="28"/>
              </w:rPr>
            </w:pPr>
            <w:r>
              <w:rPr>
                <w:rFonts w:hint="eastAsia" w:ascii="宋体" w:hAnsi="宋体" w:eastAsia="宋体" w:cs="宋体"/>
                <w:sz w:val="28"/>
                <w:szCs w:val="28"/>
              </w:rPr>
              <w:t>ZS003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2"/>
            <w:vMerge w:val="continue"/>
            <w:vAlign w:val="center"/>
          </w:tcPr>
          <w:p>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68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4</w:t>
            </w:r>
          </w:p>
        </w:tc>
        <w:tc>
          <w:tcPr>
            <w:tcW w:w="2432" w:type="dxa"/>
            <w:vAlign w:val="center"/>
          </w:tcPr>
          <w:p>
            <w:pPr>
              <w:pStyle w:val="32"/>
              <w:keepNext w:val="0"/>
              <w:keepLines w:val="0"/>
              <w:suppressLineNumbers w:val="0"/>
              <w:snapToGrid w:val="0"/>
              <w:spacing w:before="0" w:beforeAutospacing="0" w:after="0" w:afterAutospacing="0"/>
              <w:ind w:left="0" w:right="0" w:firstLine="280" w:firstLineChars="100"/>
              <w:contextualSpacing/>
              <w:rPr>
                <w:rFonts w:hint="eastAsia" w:ascii="宋体" w:hAnsi="宋体" w:eastAsia="宋体" w:cs="宋体"/>
                <w:sz w:val="28"/>
                <w:szCs w:val="28"/>
              </w:rPr>
            </w:pPr>
            <w:r>
              <w:rPr>
                <w:rFonts w:hint="eastAsia" w:ascii="宋体" w:hAnsi="宋体" w:eastAsia="宋体" w:cs="宋体"/>
                <w:sz w:val="28"/>
                <w:szCs w:val="28"/>
              </w:rPr>
              <w:t>厂界噪声（北）</w:t>
            </w:r>
          </w:p>
        </w:tc>
        <w:tc>
          <w:tcPr>
            <w:tcW w:w="2977" w:type="dxa"/>
            <w:vAlign w:val="center"/>
          </w:tcPr>
          <w:p>
            <w:pPr>
              <w:pStyle w:val="33"/>
              <w:keepNext w:val="0"/>
              <w:keepLines w:val="0"/>
              <w:suppressLineNumbers w:val="0"/>
              <w:snapToGrid w:val="0"/>
              <w:spacing w:before="0" w:beforeAutospacing="0" w:after="200" w:afterAutospacing="0" w:line="252" w:lineRule="auto"/>
              <w:ind w:right="0" w:firstLine="280" w:firstLineChars="100"/>
              <w:contextualSpacing/>
              <w:jc w:val="both"/>
              <w:rPr>
                <w:rFonts w:hint="eastAsia" w:ascii="宋体" w:hAnsi="宋体" w:eastAsia="宋体" w:cs="宋体"/>
                <w:sz w:val="28"/>
                <w:szCs w:val="28"/>
              </w:rPr>
            </w:pPr>
            <w:r>
              <w:rPr>
                <w:rFonts w:hint="eastAsia" w:ascii="宋体" w:hAnsi="宋体" w:eastAsia="宋体" w:cs="宋体"/>
                <w:sz w:val="28"/>
                <w:szCs w:val="28"/>
              </w:rPr>
              <w:t>ZS004</w:t>
            </w:r>
          </w:p>
        </w:tc>
      </w:tr>
    </w:tbl>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numPr>
          <w:ilvl w:val="0"/>
          <w:numId w:val="2"/>
        </w:numPr>
        <w:kinsoku/>
        <w:wordWrap/>
        <w:overflowPunct/>
        <w:topLinePunct w:val="0"/>
        <w:autoSpaceDE/>
        <w:autoSpaceDN/>
        <w:bidi w:val="0"/>
        <w:adjustRightInd w:val="0"/>
        <w:snapToGrid w:val="0"/>
        <w:spacing w:after="0" w:line="240" w:lineRule="auto"/>
        <w:jc w:val="left"/>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废气</w:t>
      </w:r>
      <w:r>
        <w:rPr>
          <w:rFonts w:hint="eastAsia" w:ascii="宋体" w:hAnsi="宋体" w:eastAsia="宋体" w:cs="宋体"/>
          <w:b w:val="0"/>
          <w:bCs w:val="0"/>
          <w:color w:val="000000"/>
          <w:sz w:val="28"/>
          <w:szCs w:val="28"/>
        </w:rPr>
        <w:t>自行监测及记录信息表</w:t>
      </w:r>
      <w:bookmarkStart w:id="0" w:name="BIAO15"/>
    </w:p>
    <w:tbl>
      <w:tblPr>
        <w:tblStyle w:val="8"/>
        <w:tblpPr w:leftFromText="180" w:rightFromText="180" w:vertAnchor="text" w:horzAnchor="page" w:tblpX="1201" w:tblpY="573"/>
        <w:tblOverlap w:val="never"/>
        <w:tblW w:w="221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8" w:type="dxa"/>
          <w:bottom w:w="0" w:type="dxa"/>
          <w:right w:w="108" w:type="dxa"/>
        </w:tblCellMar>
      </w:tblPr>
      <w:tblGrid>
        <w:gridCol w:w="808"/>
        <w:gridCol w:w="808"/>
        <w:gridCol w:w="910"/>
        <w:gridCol w:w="808"/>
        <w:gridCol w:w="858"/>
        <w:gridCol w:w="809"/>
        <w:gridCol w:w="2983"/>
        <w:gridCol w:w="1418"/>
        <w:gridCol w:w="1580"/>
        <w:gridCol w:w="1822"/>
        <w:gridCol w:w="1701"/>
        <w:gridCol w:w="3827"/>
        <w:gridCol w:w="1984"/>
        <w:gridCol w:w="18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858" w:hRule="atLeast"/>
          <w:tblHeader/>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序号</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污染源类别/监测类别</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排放口编号/监测点位</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监测点位名称</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监测指标</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监测设施</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排放标准</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排放限值</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方法检出限</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手工监测采样方法及个数</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手工监测频次</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手工测定方法</w:t>
            </w:r>
          </w:p>
        </w:tc>
        <w:tc>
          <w:tcPr>
            <w:tcW w:w="198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手工检测设备</w:t>
            </w:r>
          </w:p>
        </w:tc>
        <w:tc>
          <w:tcPr>
            <w:tcW w:w="184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其他信息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sz w:val="21"/>
                <w:szCs w:val="21"/>
                <w:lang w:val="en-US" w:eastAsia="zh-CN"/>
              </w:rPr>
              <w:t>SF001</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FF0000"/>
                <w:kern w:val="0"/>
                <w:sz w:val="24"/>
                <w:szCs w:val="24"/>
              </w:rPr>
              <w:t>10(无量纲）</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GB/T 14675-1993</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color w:val="auto"/>
                <w:highlight w:val="none"/>
              </w:rPr>
            </w:pPr>
            <w:r>
              <w:rPr>
                <w:rFonts w:hint="eastAsia"/>
                <w:color w:val="auto"/>
                <w:highlight w:val="none"/>
              </w:rPr>
              <w:t>2</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XF001</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FF0000"/>
                <w:kern w:val="0"/>
                <w:sz w:val="24"/>
                <w:szCs w:val="24"/>
              </w:rPr>
              <w:t>10(无量纲）</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GB/T 14675-1993</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XF001</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FF0000"/>
                <w:kern w:val="0"/>
                <w:sz w:val="24"/>
                <w:szCs w:val="24"/>
              </w:rPr>
              <w:t>10(无量纲）</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GB/T 14675-1993</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XF001</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FF0000"/>
                <w:kern w:val="0"/>
                <w:sz w:val="24"/>
                <w:szCs w:val="24"/>
              </w:rPr>
              <w:t>10(无量纲）</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GB/T 14675-1993</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93"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en-US" w:eastAsia="zh-CN"/>
              </w:rPr>
              <w:t>SF001</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FF0000"/>
                <w:sz w:val="24"/>
                <w:szCs w:val="24"/>
              </w:rPr>
              <w:t>0.01</w:t>
            </w:r>
            <w:r>
              <w:rPr>
                <w:rFonts w:hint="eastAsia" w:ascii="宋体" w:hAnsi="宋体" w:eastAsia="宋体" w:cs="宋体"/>
                <w:color w:val="FF0000"/>
                <w:kern w:val="0"/>
                <w:sz w:val="24"/>
                <w:szCs w:val="24"/>
              </w:rPr>
              <w:t>mg/Nm</w:t>
            </w:r>
            <w:r>
              <w:rPr>
                <w:rFonts w:hint="eastAsia" w:ascii="宋体" w:hAnsi="宋体" w:eastAsia="宋体" w:cs="宋体"/>
                <w:color w:val="FF0000"/>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环境空气和废气 氨的测定 </w:t>
            </w:r>
            <w:r>
              <w:rPr>
                <w:rFonts w:hint="eastAsia" w:ascii="宋体" w:hAnsi="宋体" w:eastAsia="宋体" w:cs="宋体"/>
                <w:color w:val="auto"/>
                <w:kern w:val="0"/>
                <w:sz w:val="24"/>
                <w:szCs w:val="24"/>
                <w:highlight w:val="none"/>
                <w:lang w:eastAsia="zh-CN" w:bidi="ar"/>
              </w:rPr>
              <w:t>次氯酸钠</w:t>
            </w:r>
            <w:r>
              <w:rPr>
                <w:rFonts w:hint="eastAsia" w:ascii="宋体" w:hAnsi="宋体" w:eastAsia="宋体" w:cs="宋体"/>
                <w:color w:val="auto"/>
                <w:kern w:val="0"/>
                <w:sz w:val="24"/>
                <w:szCs w:val="24"/>
                <w:highlight w:val="none"/>
                <w:lang w:val="en-US" w:eastAsia="zh-CN" w:bidi="ar"/>
              </w:rPr>
              <w:t>-水杨酸分光光度法</w:t>
            </w:r>
            <w:r>
              <w:rPr>
                <w:rFonts w:hint="eastAsia" w:ascii="宋体" w:hAnsi="宋体" w:eastAsia="宋体" w:cs="宋体"/>
                <w:color w:val="auto"/>
                <w:kern w:val="0"/>
                <w:sz w:val="24"/>
                <w:szCs w:val="24"/>
                <w:highlight w:val="none"/>
                <w:lang w:bidi="ar"/>
              </w:rPr>
              <w:t xml:space="preserve"> HJ 53</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-2009</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81"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en-US" w:eastAsia="zh-CN"/>
              </w:rPr>
              <w:t>XF002</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FF0000"/>
                <w:sz w:val="24"/>
                <w:szCs w:val="24"/>
              </w:rPr>
              <w:t>0.01</w:t>
            </w:r>
            <w:r>
              <w:rPr>
                <w:rFonts w:hint="eastAsia" w:ascii="宋体" w:hAnsi="宋体" w:eastAsia="宋体" w:cs="宋体"/>
                <w:color w:val="FF0000"/>
                <w:kern w:val="0"/>
                <w:sz w:val="24"/>
                <w:szCs w:val="24"/>
              </w:rPr>
              <w:t>mg/Nm</w:t>
            </w:r>
            <w:r>
              <w:rPr>
                <w:rFonts w:hint="eastAsia" w:ascii="宋体" w:hAnsi="宋体" w:eastAsia="宋体" w:cs="宋体"/>
                <w:color w:val="FF0000"/>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环境空气和废气 氨的测定 </w:t>
            </w:r>
            <w:r>
              <w:rPr>
                <w:rFonts w:hint="eastAsia" w:ascii="宋体" w:hAnsi="宋体" w:eastAsia="宋体" w:cs="宋体"/>
                <w:color w:val="auto"/>
                <w:kern w:val="0"/>
                <w:sz w:val="24"/>
                <w:szCs w:val="24"/>
                <w:highlight w:val="none"/>
                <w:lang w:eastAsia="zh-CN" w:bidi="ar"/>
              </w:rPr>
              <w:t>次氯酸钠</w:t>
            </w:r>
            <w:r>
              <w:rPr>
                <w:rFonts w:hint="eastAsia" w:ascii="宋体" w:hAnsi="宋体" w:eastAsia="宋体" w:cs="宋体"/>
                <w:color w:val="auto"/>
                <w:kern w:val="0"/>
                <w:sz w:val="24"/>
                <w:szCs w:val="24"/>
                <w:highlight w:val="none"/>
                <w:lang w:val="en-US" w:eastAsia="zh-CN" w:bidi="ar"/>
              </w:rPr>
              <w:t>-水杨酸分光光度法</w:t>
            </w:r>
            <w:r>
              <w:rPr>
                <w:rFonts w:hint="eastAsia" w:ascii="宋体" w:hAnsi="宋体" w:eastAsia="宋体" w:cs="宋体"/>
                <w:color w:val="auto"/>
                <w:kern w:val="0"/>
                <w:sz w:val="24"/>
                <w:szCs w:val="24"/>
                <w:highlight w:val="none"/>
                <w:lang w:bidi="ar"/>
              </w:rPr>
              <w:t xml:space="preserve"> HJ 53</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-2009</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95"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en-US" w:eastAsia="zh-CN"/>
              </w:rPr>
              <w:t>XF002</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FF0000"/>
                <w:sz w:val="24"/>
                <w:szCs w:val="24"/>
              </w:rPr>
              <w:t>0.01</w:t>
            </w:r>
            <w:r>
              <w:rPr>
                <w:rFonts w:hint="eastAsia" w:ascii="宋体" w:hAnsi="宋体" w:eastAsia="宋体" w:cs="宋体"/>
                <w:color w:val="FF0000"/>
                <w:kern w:val="0"/>
                <w:sz w:val="24"/>
                <w:szCs w:val="24"/>
              </w:rPr>
              <w:t>mg/Nm</w:t>
            </w:r>
            <w:r>
              <w:rPr>
                <w:rFonts w:hint="eastAsia" w:ascii="宋体" w:hAnsi="宋体" w:eastAsia="宋体" w:cs="宋体"/>
                <w:color w:val="FF0000"/>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环境空气和废气 氨的测定 </w:t>
            </w:r>
            <w:r>
              <w:rPr>
                <w:rFonts w:hint="eastAsia" w:ascii="宋体" w:hAnsi="宋体" w:eastAsia="宋体" w:cs="宋体"/>
                <w:color w:val="auto"/>
                <w:kern w:val="0"/>
                <w:sz w:val="24"/>
                <w:szCs w:val="24"/>
                <w:highlight w:val="none"/>
                <w:lang w:eastAsia="zh-CN" w:bidi="ar"/>
              </w:rPr>
              <w:t>次氯酸钠</w:t>
            </w:r>
            <w:r>
              <w:rPr>
                <w:rFonts w:hint="eastAsia" w:ascii="宋体" w:hAnsi="宋体" w:eastAsia="宋体" w:cs="宋体"/>
                <w:color w:val="auto"/>
                <w:kern w:val="0"/>
                <w:sz w:val="24"/>
                <w:szCs w:val="24"/>
                <w:highlight w:val="none"/>
                <w:lang w:val="en-US" w:eastAsia="zh-CN" w:bidi="ar"/>
              </w:rPr>
              <w:t>-水杨酸分光光度法</w:t>
            </w:r>
            <w:r>
              <w:rPr>
                <w:rFonts w:hint="eastAsia" w:ascii="宋体" w:hAnsi="宋体" w:eastAsia="宋体" w:cs="宋体"/>
                <w:color w:val="auto"/>
                <w:kern w:val="0"/>
                <w:sz w:val="24"/>
                <w:szCs w:val="24"/>
                <w:highlight w:val="none"/>
                <w:lang w:bidi="ar"/>
              </w:rPr>
              <w:t xml:space="preserve"> HJ 53</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-2009</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81"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en-US" w:eastAsia="zh-CN"/>
              </w:rPr>
              <w:t>XF002</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FF0000"/>
                <w:sz w:val="24"/>
                <w:szCs w:val="24"/>
              </w:rPr>
              <w:t>0.01</w:t>
            </w:r>
            <w:r>
              <w:rPr>
                <w:rFonts w:hint="eastAsia" w:ascii="宋体" w:hAnsi="宋体" w:eastAsia="宋体" w:cs="宋体"/>
                <w:color w:val="FF0000"/>
                <w:kern w:val="0"/>
                <w:sz w:val="24"/>
                <w:szCs w:val="24"/>
              </w:rPr>
              <w:t>mg/Nm</w:t>
            </w:r>
            <w:r>
              <w:rPr>
                <w:rFonts w:hint="eastAsia" w:ascii="宋体" w:hAnsi="宋体" w:eastAsia="宋体" w:cs="宋体"/>
                <w:color w:val="FF0000"/>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环境空气和废气 氨的测定 </w:t>
            </w:r>
            <w:r>
              <w:rPr>
                <w:rFonts w:hint="eastAsia" w:ascii="宋体" w:hAnsi="宋体" w:eastAsia="宋体" w:cs="宋体"/>
                <w:color w:val="auto"/>
                <w:kern w:val="0"/>
                <w:sz w:val="24"/>
                <w:szCs w:val="24"/>
                <w:highlight w:val="none"/>
                <w:lang w:eastAsia="zh-CN" w:bidi="ar"/>
              </w:rPr>
              <w:t>次氯酸钠</w:t>
            </w:r>
            <w:r>
              <w:rPr>
                <w:rFonts w:hint="eastAsia" w:ascii="宋体" w:hAnsi="宋体" w:eastAsia="宋体" w:cs="宋体"/>
                <w:color w:val="auto"/>
                <w:kern w:val="0"/>
                <w:sz w:val="24"/>
                <w:szCs w:val="24"/>
                <w:highlight w:val="none"/>
                <w:lang w:val="en-US" w:eastAsia="zh-CN" w:bidi="ar"/>
              </w:rPr>
              <w:t>-水杨酸分光光度法</w:t>
            </w:r>
            <w:r>
              <w:rPr>
                <w:rFonts w:hint="eastAsia" w:ascii="宋体" w:hAnsi="宋体" w:eastAsia="宋体" w:cs="宋体"/>
                <w:color w:val="auto"/>
                <w:kern w:val="0"/>
                <w:sz w:val="24"/>
                <w:szCs w:val="24"/>
                <w:highlight w:val="none"/>
                <w:lang w:bidi="ar"/>
              </w:rPr>
              <w:t xml:space="preserve"> HJ 53</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-2009</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7"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9</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en-US" w:eastAsia="zh-CN"/>
              </w:rPr>
              <w:t>SF001</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0.001</w:t>
            </w:r>
            <w:r>
              <w:rPr>
                <w:rFonts w:hint="eastAsia" w:ascii="宋体" w:hAnsi="宋体" w:eastAsia="宋体" w:cs="宋体"/>
                <w:color w:val="FF0000"/>
                <w:kern w:val="0"/>
                <w:sz w:val="24"/>
                <w:szCs w:val="24"/>
              </w:rPr>
              <w:t>mg/Nm</w:t>
            </w:r>
            <w:r>
              <w:rPr>
                <w:rFonts w:hint="eastAsia" w:ascii="宋体" w:hAnsi="宋体" w:eastAsia="宋体" w:cs="宋体"/>
                <w:color w:val="FF0000"/>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可见</w:t>
            </w:r>
            <w:r>
              <w:rPr>
                <w:rFonts w:hint="eastAsia" w:ascii="宋体" w:hAnsi="宋体" w:eastAsia="宋体" w:cs="宋体"/>
                <w:color w:val="auto"/>
                <w:sz w:val="24"/>
                <w:szCs w:val="24"/>
                <w:highlight w:val="none"/>
              </w:rPr>
              <w:t>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en-US" w:eastAsia="zh-CN"/>
              </w:rPr>
              <w:t>XF003</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0.001</w:t>
            </w:r>
            <w:r>
              <w:rPr>
                <w:rFonts w:hint="eastAsia" w:ascii="宋体" w:hAnsi="宋体" w:eastAsia="宋体" w:cs="宋体"/>
                <w:color w:val="FF0000"/>
                <w:kern w:val="0"/>
                <w:sz w:val="24"/>
                <w:szCs w:val="24"/>
              </w:rPr>
              <w:t>mg/Nm</w:t>
            </w:r>
            <w:r>
              <w:rPr>
                <w:rFonts w:hint="eastAsia" w:ascii="宋体" w:hAnsi="宋体" w:eastAsia="宋体" w:cs="宋体"/>
                <w:color w:val="FF0000"/>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可见</w:t>
            </w:r>
            <w:r>
              <w:rPr>
                <w:rFonts w:hint="eastAsia" w:ascii="宋体" w:hAnsi="宋体" w:eastAsia="宋体" w:cs="宋体"/>
                <w:color w:val="auto"/>
                <w:sz w:val="24"/>
                <w:szCs w:val="24"/>
                <w:highlight w:val="none"/>
              </w:rPr>
              <w:t>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en-US" w:eastAsia="zh-CN"/>
              </w:rPr>
              <w:t>XF003</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0.001</w:t>
            </w:r>
            <w:r>
              <w:rPr>
                <w:rFonts w:hint="eastAsia" w:ascii="宋体" w:hAnsi="宋体" w:eastAsia="宋体" w:cs="宋体"/>
                <w:color w:val="FF0000"/>
                <w:kern w:val="0"/>
                <w:sz w:val="24"/>
                <w:szCs w:val="24"/>
              </w:rPr>
              <w:t>mg/Nm</w:t>
            </w:r>
            <w:r>
              <w:rPr>
                <w:rFonts w:hint="eastAsia" w:ascii="宋体" w:hAnsi="宋体" w:eastAsia="宋体" w:cs="宋体"/>
                <w:color w:val="FF0000"/>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可见</w:t>
            </w:r>
            <w:r>
              <w:rPr>
                <w:rFonts w:hint="eastAsia" w:ascii="宋体" w:hAnsi="宋体" w:eastAsia="宋体" w:cs="宋体"/>
                <w:color w:val="auto"/>
                <w:sz w:val="24"/>
                <w:szCs w:val="24"/>
                <w:highlight w:val="none"/>
              </w:rPr>
              <w:t>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12</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en-US" w:eastAsia="zh-CN"/>
              </w:rPr>
              <w:t>XF003</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0.001</w:t>
            </w:r>
            <w:r>
              <w:rPr>
                <w:rFonts w:hint="eastAsia" w:ascii="宋体" w:hAnsi="宋体" w:eastAsia="宋体" w:cs="宋体"/>
                <w:color w:val="FF0000"/>
                <w:kern w:val="0"/>
                <w:sz w:val="24"/>
                <w:szCs w:val="24"/>
              </w:rPr>
              <w:t>mg/Nm</w:t>
            </w:r>
            <w:r>
              <w:rPr>
                <w:rFonts w:hint="eastAsia" w:ascii="宋体" w:hAnsi="宋体" w:eastAsia="宋体" w:cs="宋体"/>
                <w:color w:val="FF0000"/>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可见</w:t>
            </w:r>
            <w:r>
              <w:rPr>
                <w:rFonts w:hint="eastAsia" w:ascii="宋体" w:hAnsi="宋体" w:eastAsia="宋体" w:cs="宋体"/>
                <w:color w:val="auto"/>
                <w:sz w:val="24"/>
                <w:szCs w:val="24"/>
                <w:highlight w:val="none"/>
              </w:rPr>
              <w:t>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13</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CN001</w:t>
            </w:r>
          </w:p>
        </w:tc>
        <w:tc>
          <w:tcPr>
            <w:tcW w:w="808"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厂区体积浓度最高处</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甲烷</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FF0000"/>
                <w:sz w:val="24"/>
                <w:szCs w:val="24"/>
              </w:rPr>
              <w:t>0.06</w:t>
            </w:r>
            <w:r>
              <w:rPr>
                <w:rFonts w:hint="eastAsia" w:ascii="宋体" w:hAnsi="宋体" w:eastAsia="宋体" w:cs="宋体"/>
                <w:color w:val="FF0000"/>
                <w:kern w:val="0"/>
                <w:sz w:val="24"/>
                <w:szCs w:val="24"/>
              </w:rPr>
              <w:t>mg/Nm</w:t>
            </w:r>
            <w:r>
              <w:rPr>
                <w:rFonts w:hint="eastAsia" w:ascii="宋体" w:hAnsi="宋体" w:eastAsia="宋体" w:cs="宋体"/>
                <w:color w:val="FF0000"/>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环境空气 总烃、甲烷和非甲烷总烃的测定 直接进样-气相色谱法 HJ 604-2017</w:t>
            </w:r>
          </w:p>
        </w:tc>
        <w:tc>
          <w:tcPr>
            <w:tcW w:w="198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eastAsia="zh-CN" w:bidi="ar"/>
              </w:rPr>
              <w:t>福立</w:t>
            </w:r>
            <w:r>
              <w:rPr>
                <w:rFonts w:hint="eastAsia" w:ascii="宋体" w:hAnsi="宋体" w:eastAsia="宋体" w:cs="宋体"/>
                <w:color w:val="auto"/>
                <w:kern w:val="0"/>
                <w:sz w:val="24"/>
                <w:szCs w:val="24"/>
                <w:highlight w:val="none"/>
                <w:lang w:val="en-US" w:eastAsia="zh-CN" w:bidi="ar"/>
              </w:rPr>
              <w:t>GC9790II非甲烷专用仪</w:t>
            </w:r>
          </w:p>
        </w:tc>
        <w:tc>
          <w:tcPr>
            <w:tcW w:w="184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9"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CN00</w:t>
            </w:r>
            <w:r>
              <w:rPr>
                <w:rFonts w:hint="eastAsia" w:ascii="宋体" w:hAnsi="宋体" w:eastAsia="宋体" w:cs="宋体"/>
                <w:color w:val="auto"/>
                <w:sz w:val="24"/>
                <w:szCs w:val="24"/>
                <w:highlight w:val="none"/>
                <w:lang w:val="en-US" w:eastAsia="zh-CN"/>
              </w:rPr>
              <w:t>2</w:t>
            </w:r>
          </w:p>
        </w:tc>
        <w:tc>
          <w:tcPr>
            <w:tcW w:w="808" w:type="dxa"/>
            <w:tcBorders>
              <w:tl2br w:val="nil"/>
              <w:tr2bl w:val="nil"/>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厂区体积浓度最高处</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甲烷</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上限:1%</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FF0000"/>
                <w:sz w:val="24"/>
                <w:szCs w:val="24"/>
              </w:rPr>
              <w:t>0.06</w:t>
            </w:r>
            <w:r>
              <w:rPr>
                <w:rFonts w:hint="eastAsia" w:ascii="宋体" w:hAnsi="宋体" w:eastAsia="宋体" w:cs="宋体"/>
                <w:color w:val="FF0000"/>
                <w:kern w:val="0"/>
                <w:sz w:val="24"/>
                <w:szCs w:val="24"/>
              </w:rPr>
              <w:t>mg/Nm</w:t>
            </w:r>
            <w:r>
              <w:rPr>
                <w:rFonts w:hint="eastAsia" w:ascii="宋体" w:hAnsi="宋体" w:eastAsia="宋体" w:cs="宋体"/>
                <w:color w:val="FF0000"/>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1次/年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 xml:space="preserve"> 环境空气 总烃、甲烷和非甲烷总烃的测定 直接进样-气相色谱法 HJ 604-2017</w:t>
            </w:r>
          </w:p>
        </w:tc>
        <w:tc>
          <w:tcPr>
            <w:tcW w:w="198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bidi="ar"/>
              </w:rPr>
              <w:t>福立</w:t>
            </w:r>
            <w:r>
              <w:rPr>
                <w:rFonts w:hint="eastAsia" w:ascii="宋体" w:hAnsi="宋体" w:eastAsia="宋体" w:cs="宋体"/>
                <w:color w:val="auto"/>
                <w:kern w:val="0"/>
                <w:sz w:val="24"/>
                <w:szCs w:val="24"/>
                <w:highlight w:val="none"/>
                <w:lang w:val="en-US" w:eastAsia="zh-CN" w:bidi="ar"/>
              </w:rPr>
              <w:t>GC9790II非甲烷专用仪</w:t>
            </w:r>
          </w:p>
        </w:tc>
        <w:tc>
          <w:tcPr>
            <w:tcW w:w="184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委托检测</w:t>
            </w:r>
          </w:p>
        </w:tc>
      </w:tr>
    </w:tbl>
    <w:p>
      <w:pPr>
        <w:adjustRightInd w:val="0"/>
        <w:snapToGrid w:val="0"/>
        <w:jc w:val="center"/>
        <w:rPr>
          <w:rFonts w:ascii="宋体" w:hAnsi="宋体" w:eastAsia="宋体" w:cs="宋体"/>
          <w:color w:val="auto"/>
          <w:sz w:val="28"/>
          <w:szCs w:val="28"/>
          <w:highlight w:val="none"/>
        </w:rPr>
      </w:pPr>
    </w:p>
    <w:p>
      <w:pPr>
        <w:keepNext w:val="0"/>
        <w:keepLines w:val="0"/>
        <w:pageBreakBefore w:val="0"/>
        <w:numPr>
          <w:ilvl w:val="0"/>
          <w:numId w:val="0"/>
        </w:numPr>
        <w:kinsoku/>
        <w:wordWrap/>
        <w:overflowPunct/>
        <w:topLinePunct w:val="0"/>
        <w:autoSpaceDE/>
        <w:autoSpaceDN/>
        <w:bidi w:val="0"/>
        <w:adjustRightInd w:val="0"/>
        <w:snapToGrid w:val="0"/>
        <w:spacing w:after="0" w:line="240" w:lineRule="auto"/>
        <w:jc w:val="left"/>
        <w:rPr>
          <w:rFonts w:hint="eastAsia" w:ascii="宋体" w:hAnsi="宋体" w:eastAsia="宋体" w:cs="宋体"/>
          <w:b w:val="0"/>
          <w:bCs w:val="0"/>
          <w:color w:val="000000"/>
          <w:sz w:val="28"/>
          <w:szCs w:val="28"/>
          <w:lang w:val="en-US" w:eastAsia="zh-CN"/>
        </w:rPr>
      </w:pPr>
      <w:r>
        <w:rPr>
          <w:rFonts w:ascii="宋体" w:hAnsi="宋体" w:eastAsia="宋体" w:cs="宋体"/>
          <w:color w:val="000000"/>
          <w:sz w:val="28"/>
          <w:szCs w:val="28"/>
        </w:rPr>
        <w:br w:type="page"/>
      </w:r>
      <w:bookmarkEnd w:id="0"/>
    </w:p>
    <w:p>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2.废水</w:t>
      </w:r>
      <w:r>
        <w:rPr>
          <w:rFonts w:hint="eastAsia" w:ascii="宋体" w:hAnsi="宋体" w:eastAsia="宋体" w:cs="宋体"/>
          <w:b w:val="0"/>
          <w:bCs w:val="0"/>
          <w:color w:val="000000"/>
          <w:sz w:val="28"/>
          <w:szCs w:val="28"/>
        </w:rPr>
        <w:t>自行监测及记录信息表</w:t>
      </w:r>
    </w:p>
    <w:tbl>
      <w:tblPr>
        <w:tblStyle w:val="8"/>
        <w:tblpPr w:leftFromText="180" w:rightFromText="180" w:vertAnchor="text" w:horzAnchor="page" w:tblpX="1063" w:tblpY="396"/>
        <w:tblOverlap w:val="never"/>
        <w:tblW w:w="22122"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Layout w:type="fixed"/>
        <w:tblCellMar>
          <w:top w:w="0" w:type="dxa"/>
          <w:left w:w="108" w:type="dxa"/>
          <w:bottom w:w="0" w:type="dxa"/>
          <w:right w:w="108" w:type="dxa"/>
        </w:tblCellMar>
      </w:tblPr>
      <w:tblGrid>
        <w:gridCol w:w="525"/>
        <w:gridCol w:w="684"/>
        <w:gridCol w:w="160"/>
        <w:gridCol w:w="900"/>
        <w:gridCol w:w="1125"/>
        <w:gridCol w:w="826"/>
        <w:gridCol w:w="580"/>
        <w:gridCol w:w="943"/>
        <w:gridCol w:w="2712"/>
        <w:gridCol w:w="971"/>
        <w:gridCol w:w="845"/>
        <w:gridCol w:w="1134"/>
        <w:gridCol w:w="1284"/>
        <w:gridCol w:w="1540"/>
        <w:gridCol w:w="1197"/>
        <w:gridCol w:w="1589"/>
        <w:gridCol w:w="1209"/>
        <w:gridCol w:w="1209"/>
        <w:gridCol w:w="1489"/>
        <w:gridCol w:w="120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355" w:hRule="atLeast"/>
          <w:tblHeader/>
        </w:trPr>
        <w:tc>
          <w:tcPr>
            <w:tcW w:w="525"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序号</w:t>
            </w:r>
          </w:p>
        </w:tc>
        <w:tc>
          <w:tcPr>
            <w:tcW w:w="844" w:type="dxa"/>
            <w:gridSpan w:val="2"/>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污染源类别/监测类别</w:t>
            </w:r>
          </w:p>
        </w:tc>
        <w:tc>
          <w:tcPr>
            <w:tcW w:w="900"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排放口编号/监测点位</w:t>
            </w:r>
          </w:p>
        </w:tc>
        <w:tc>
          <w:tcPr>
            <w:tcW w:w="1125"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排放口名称/监测点位名称</w:t>
            </w:r>
          </w:p>
        </w:tc>
        <w:tc>
          <w:tcPr>
            <w:tcW w:w="826"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监测指标</w:t>
            </w:r>
          </w:p>
        </w:tc>
        <w:tc>
          <w:tcPr>
            <w:tcW w:w="580"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监测设施</w:t>
            </w:r>
          </w:p>
        </w:tc>
        <w:tc>
          <w:tcPr>
            <w:tcW w:w="943"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排放</w:t>
            </w:r>
            <w:r>
              <w:rPr>
                <w:rStyle w:val="10"/>
                <w:rFonts w:hint="eastAsia" w:ascii="宋体" w:hAnsi="宋体" w:cs="宋体"/>
                <w:b w:val="0"/>
                <w:bCs w:val="0"/>
                <w:sz w:val="24"/>
                <w:szCs w:val="24"/>
                <w:lang w:val="en-US" w:eastAsia="zh-CN"/>
              </w:rPr>
              <w:t>限值</w:t>
            </w:r>
          </w:p>
        </w:tc>
        <w:tc>
          <w:tcPr>
            <w:tcW w:w="2712"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lang w:val="en-US" w:eastAsia="zh-CN"/>
              </w:rPr>
            </w:pPr>
            <w:r>
              <w:rPr>
                <w:rStyle w:val="10"/>
                <w:rFonts w:hint="eastAsia" w:ascii="宋体" w:hAnsi="宋体" w:cs="宋体"/>
                <w:b w:val="0"/>
                <w:bCs w:val="0"/>
                <w:sz w:val="24"/>
                <w:szCs w:val="24"/>
                <w:lang w:val="en-US" w:eastAsia="zh-CN"/>
              </w:rPr>
              <w:t>排放标准</w:t>
            </w:r>
          </w:p>
        </w:tc>
        <w:tc>
          <w:tcPr>
            <w:tcW w:w="971"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自动监测是否联网</w:t>
            </w:r>
          </w:p>
        </w:tc>
        <w:tc>
          <w:tcPr>
            <w:tcW w:w="845"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自动监测仪器名称</w:t>
            </w:r>
          </w:p>
        </w:tc>
        <w:tc>
          <w:tcPr>
            <w:tcW w:w="1134"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自动监测设施安装位置</w:t>
            </w:r>
          </w:p>
        </w:tc>
        <w:tc>
          <w:tcPr>
            <w:tcW w:w="1284"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自动监测设施是否符合安装、运行、维护等管理要求</w:t>
            </w:r>
          </w:p>
        </w:tc>
        <w:tc>
          <w:tcPr>
            <w:tcW w:w="1540"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手工监测采样方法及个数</w:t>
            </w:r>
          </w:p>
        </w:tc>
        <w:tc>
          <w:tcPr>
            <w:tcW w:w="1197"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手工监测频次（处理量≥2万吨/日）</w:t>
            </w:r>
          </w:p>
        </w:tc>
        <w:tc>
          <w:tcPr>
            <w:tcW w:w="1589"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手工测定方法</w:t>
            </w:r>
          </w:p>
        </w:tc>
        <w:tc>
          <w:tcPr>
            <w:tcW w:w="1209"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sz w:val="24"/>
                <w:szCs w:val="24"/>
                <w:lang w:eastAsia="zh-CN"/>
              </w:rPr>
            </w:pPr>
            <w:r>
              <w:rPr>
                <w:rFonts w:hint="eastAsia" w:ascii="宋体" w:hAnsi="宋体" w:cs="宋体"/>
                <w:sz w:val="24"/>
                <w:szCs w:val="24"/>
                <w:lang w:eastAsia="zh-CN"/>
              </w:rPr>
              <w:t>方法检出限</w:t>
            </w:r>
          </w:p>
        </w:tc>
        <w:tc>
          <w:tcPr>
            <w:tcW w:w="1209"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lang w:val="en-US" w:eastAsia="zh-CN"/>
              </w:rPr>
            </w:pPr>
            <w:r>
              <w:rPr>
                <w:rFonts w:hint="eastAsia" w:ascii="宋体" w:hAnsi="宋体" w:cs="宋体"/>
                <w:sz w:val="24"/>
                <w:szCs w:val="24"/>
              </w:rPr>
              <w:t>手工检测设备</w:t>
            </w:r>
          </w:p>
        </w:tc>
        <w:tc>
          <w:tcPr>
            <w:tcW w:w="1489"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lang w:val="en-US" w:eastAsia="zh-CN"/>
              </w:rPr>
            </w:pPr>
            <w:r>
              <w:rPr>
                <w:rFonts w:hint="eastAsia" w:ascii="宋体" w:hAnsi="宋体" w:cs="宋体"/>
                <w:sz w:val="24"/>
                <w:szCs w:val="24"/>
              </w:rPr>
              <w:t>样品保存</w:t>
            </w:r>
          </w:p>
        </w:tc>
        <w:tc>
          <w:tcPr>
            <w:tcW w:w="1200"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其他信息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987"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pH值</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6-9</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pH/T在线监测设备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总排口堰槽</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lang w:val="en-US" w:eastAsia="zh-CN"/>
              </w:rPr>
              <w:t>/</w:t>
            </w:r>
          </w:p>
        </w:tc>
        <w:tc>
          <w:tcPr>
            <w:tcW w:w="1209" w:type="dxa"/>
            <w:tcBorders>
              <w:tl2br w:val="nil"/>
              <w:tr2bl w:val="nil"/>
            </w:tcBorders>
            <w:shd w:val="clear" w:color="auto" w:fill="auto"/>
            <w:vAlign w:val="center"/>
          </w:tcPr>
          <w:p>
            <w:pPr>
              <w:keepNext w:val="0"/>
              <w:keepLines w:val="0"/>
              <w:pageBreakBefore w:val="0"/>
              <w:numPr>
                <w:ilvl w:val="0"/>
                <w:numId w:val="0"/>
              </w:numPr>
              <w:suppressLineNumbers w:val="0"/>
              <w:kinsoku/>
              <w:wordWrap/>
              <w:overflowPunct/>
              <w:topLinePunct w:val="0"/>
              <w:autoSpaceDE/>
              <w:autoSpaceDN/>
              <w:bidi w:val="0"/>
              <w:adjustRightInd w:val="0"/>
              <w:snapToGrid w:val="0"/>
              <w:spacing w:before="250" w:beforeLines="80" w:beforeAutospacing="0" w:after="0" w:afterAutospacing="0" w:line="240" w:lineRule="auto"/>
              <w:ind w:left="0" w:leftChars="0" w:right="0" w:firstLine="480" w:firstLineChars="200"/>
              <w:jc w:val="both"/>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numPr>
                <w:ilvl w:val="0"/>
                <w:numId w:val="0"/>
              </w:numPr>
              <w:suppressLineNumbers w:val="0"/>
              <w:kinsoku/>
              <w:wordWrap/>
              <w:overflowPunct/>
              <w:topLinePunct w:val="0"/>
              <w:autoSpaceDE/>
              <w:autoSpaceDN/>
              <w:bidi w:val="0"/>
              <w:adjustRightInd w:val="0"/>
              <w:snapToGrid w:val="0"/>
              <w:spacing w:before="250" w:beforeLines="80" w:beforeAutospacing="0" w:after="0" w:afterAutospacing="0" w:line="240" w:lineRule="auto"/>
              <w:ind w:left="0" w:leftChars="0" w:right="0" w:firstLine="480" w:firstLineChars="200"/>
              <w:jc w:val="both"/>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pPr>
              <w:keepNext w:val="0"/>
              <w:keepLines w:val="0"/>
              <w:pageBreakBefore w:val="0"/>
              <w:numPr>
                <w:ilvl w:val="0"/>
                <w:numId w:val="0"/>
              </w:numPr>
              <w:suppressLineNumbers w:val="0"/>
              <w:kinsoku/>
              <w:wordWrap/>
              <w:overflowPunct/>
              <w:topLinePunct w:val="0"/>
              <w:autoSpaceDE/>
              <w:autoSpaceDN/>
              <w:bidi w:val="0"/>
              <w:adjustRightInd w:val="0"/>
              <w:snapToGrid w:val="0"/>
              <w:spacing w:before="250" w:beforeLines="80" w:beforeAutospacing="0" w:after="0" w:afterAutospacing="0" w:line="240" w:lineRule="auto"/>
              <w:ind w:left="0" w:leftChars="0" w:right="0"/>
              <w:jc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numPr>
                <w:ilvl w:val="0"/>
                <w:numId w:val="0"/>
              </w:numPr>
              <w:suppressLineNumbers w:val="0"/>
              <w:kinsoku/>
              <w:wordWrap/>
              <w:overflowPunct/>
              <w:topLinePunct w:val="0"/>
              <w:autoSpaceDE/>
              <w:autoSpaceDN/>
              <w:bidi w:val="0"/>
              <w:adjustRightInd w:val="0"/>
              <w:snapToGrid w:val="0"/>
              <w:spacing w:before="250" w:beforeLines="80" w:beforeAutospacing="0" w:after="0" w:afterAutospacing="0" w:line="240" w:lineRule="auto"/>
              <w:ind w:left="0" w:leftChars="0" w:right="0"/>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色度（稀释倍数）</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30倍</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 xml:space="preserve">1次/月 </w:t>
            </w:r>
          </w:p>
        </w:tc>
        <w:tc>
          <w:tcPr>
            <w:tcW w:w="158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色度的测定》</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Style w:val="25"/>
                <w:rFonts w:hint="eastAsia" w:ascii="宋体" w:hAnsi="宋体" w:eastAsia="宋体" w:cs="宋体"/>
                <w:color w:val="auto"/>
                <w:sz w:val="24"/>
                <w:szCs w:val="24"/>
                <w:highlight w:val="none"/>
                <w:lang w:bidi="ar"/>
              </w:rPr>
              <w:t xml:space="preserve"> HJ 1182-2021</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2倍</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比色管</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悬浮物</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10mg/L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 xml:space="preserve">瞬时采样 至少3个瞬时样 </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GB</w:t>
            </w:r>
            <w:r>
              <w:rPr>
                <w:rStyle w:val="25"/>
                <w:rFonts w:hint="eastAsia" w:ascii="宋体" w:hAnsi="宋体" w:eastAsia="宋体" w:cs="宋体"/>
                <w:b w:val="0"/>
                <w:bCs w:val="0"/>
                <w:color w:val="auto"/>
                <w:sz w:val="24"/>
                <w:szCs w:val="24"/>
                <w:lang w:val="en-US" w:eastAsia="zh-CN" w:bidi="ar"/>
              </w:rPr>
              <w:t xml:space="preserve">/T 11901-1989 </w:t>
            </w:r>
            <w:r>
              <w:rPr>
                <w:rStyle w:val="26"/>
                <w:rFonts w:hint="eastAsia" w:ascii="宋体" w:hAnsi="宋体" w:eastAsia="宋体" w:cs="宋体"/>
                <w:b w:val="0"/>
                <w:bCs w:val="0"/>
                <w:color w:val="auto"/>
                <w:sz w:val="24"/>
                <w:szCs w:val="24"/>
                <w:lang w:val="en-US" w:eastAsia="zh-CN" w:bidi="ar"/>
              </w:rPr>
              <w:t>水质悬浮物的测定重量法</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Style w:val="26"/>
                <w:rFonts w:hint="default" w:ascii="宋体" w:hAnsi="宋体" w:eastAsia="宋体" w:cs="宋体"/>
                <w:sz w:val="24"/>
                <w:szCs w:val="24"/>
                <w:lang w:val="en-US" w:eastAsia="zh-CN" w:bidi="ar"/>
              </w:rPr>
            </w:pPr>
            <w:r>
              <w:rPr>
                <w:rStyle w:val="26"/>
                <w:rFonts w:hint="eastAsia" w:ascii="宋体" w:hAnsi="宋体" w:eastAsia="宋体" w:cs="宋体"/>
                <w:sz w:val="24"/>
                <w:szCs w:val="24"/>
                <w:lang w:val="en-US" w:eastAsia="zh-CN" w:bidi="ar"/>
              </w:rPr>
              <w:t>5</w:t>
            </w:r>
            <w:r>
              <w:rPr>
                <w:rFonts w:hint="eastAsia" w:ascii="宋体" w:hAnsi="宋体" w:eastAsia="宋体" w:cs="宋体"/>
                <w:b w:val="0"/>
                <w:bCs w:val="0"/>
                <w:i w:val="0"/>
                <w:iCs w:val="0"/>
                <w:color w:val="auto"/>
                <w:sz w:val="24"/>
                <w:szCs w:val="24"/>
                <w:u w:val="none"/>
                <w:lang w:val="en-US" w:eastAsia="zh-CN"/>
              </w:rPr>
              <w:t>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Style w:val="26"/>
                <w:rFonts w:hint="eastAsia" w:ascii="宋体" w:hAnsi="宋体" w:eastAsia="宋体" w:cs="宋体"/>
                <w:sz w:val="24"/>
                <w:szCs w:val="24"/>
                <w:lang w:eastAsia="zh-CN" w:bidi="ar"/>
              </w:rPr>
              <w:t>万分之一天平</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814"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五日生化需氧量</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10mg/L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HJ 505-2009</w:t>
            </w:r>
            <w:r>
              <w:rPr>
                <w:rStyle w:val="26"/>
                <w:rFonts w:hint="eastAsia" w:ascii="宋体" w:hAnsi="宋体" w:eastAsia="宋体" w:cs="宋体"/>
                <w:b w:val="0"/>
                <w:bCs w:val="0"/>
                <w:color w:val="auto"/>
                <w:sz w:val="24"/>
                <w:szCs w:val="24"/>
                <w:lang w:val="en-US" w:eastAsia="zh-CN" w:bidi="ar"/>
              </w:rPr>
              <w:t xml:space="preserve"> </w:t>
            </w:r>
            <w:r>
              <w:rPr>
                <w:rStyle w:val="27"/>
                <w:rFonts w:hint="eastAsia" w:ascii="宋体" w:hAnsi="宋体" w:eastAsia="宋体" w:cs="宋体"/>
                <w:b w:val="0"/>
                <w:bCs w:val="0"/>
                <w:color w:val="auto"/>
                <w:sz w:val="24"/>
                <w:szCs w:val="24"/>
                <w:lang w:val="en-US" w:eastAsia="zh-CN" w:bidi="ar"/>
              </w:rPr>
              <w:t>水质五日生化需氧量</w:t>
            </w:r>
            <w:r>
              <w:rPr>
                <w:rStyle w:val="26"/>
                <w:rFonts w:hint="eastAsia" w:ascii="宋体" w:hAnsi="宋体" w:eastAsia="宋体" w:cs="宋体"/>
                <w:b w:val="0"/>
                <w:bCs w:val="0"/>
                <w:color w:val="auto"/>
                <w:sz w:val="24"/>
                <w:szCs w:val="24"/>
                <w:lang w:val="en-US" w:eastAsia="zh-CN" w:bidi="ar"/>
              </w:rPr>
              <w:t>(BOD5)</w:t>
            </w:r>
            <w:r>
              <w:rPr>
                <w:rStyle w:val="27"/>
                <w:rFonts w:hint="eastAsia" w:ascii="宋体" w:hAnsi="宋体" w:eastAsia="宋体" w:cs="宋体"/>
                <w:b w:val="0"/>
                <w:bCs w:val="0"/>
                <w:color w:val="auto"/>
                <w:sz w:val="24"/>
                <w:szCs w:val="24"/>
                <w:lang w:val="en-US" w:eastAsia="zh-CN" w:bidi="ar"/>
              </w:rPr>
              <w:t>的测定稀释与接种法</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Style w:val="26"/>
                <w:rFonts w:hint="eastAsia" w:ascii="宋体" w:hAnsi="宋体" w:eastAsia="宋体" w:cs="宋体"/>
                <w:sz w:val="24"/>
                <w:szCs w:val="24"/>
                <w:lang w:bidi="ar"/>
              </w:rPr>
            </w:pPr>
            <w:bookmarkStart w:id="2" w:name="_GoBack"/>
            <w:r>
              <w:rPr>
                <w:rFonts w:hint="eastAsia" w:ascii="宋体" w:hAnsi="宋体" w:eastAsia="宋体" w:cs="宋体"/>
                <w:color w:val="000000" w:themeColor="text1"/>
                <w:sz w:val="24"/>
                <w:szCs w:val="24"/>
                <w14:textFill>
                  <w14:solidFill>
                    <w14:schemeClr w14:val="tx1"/>
                  </w14:solidFill>
                </w14:textFill>
              </w:rPr>
              <w:t>0.5</w:t>
            </w:r>
            <w:r>
              <w:rPr>
                <w:rFonts w:hint="default" w:ascii="宋体" w:hAnsi="宋体" w:eastAsia="宋体" w:cs="宋体"/>
                <w:color w:val="000000" w:themeColor="text1"/>
                <w:sz w:val="24"/>
                <w:szCs w:val="24"/>
                <w14:textFill>
                  <w14:solidFill>
                    <w14:schemeClr w14:val="tx1"/>
                  </w14:solidFill>
                </w14:textFill>
              </w:rPr>
              <w:t>mg/L</w:t>
            </w:r>
            <w:bookmarkEnd w:id="2"/>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Style w:val="26"/>
                <w:rFonts w:hint="eastAsia" w:ascii="宋体" w:hAnsi="宋体" w:eastAsia="宋体" w:cs="宋体"/>
                <w:sz w:val="24"/>
                <w:szCs w:val="24"/>
                <w:lang w:bidi="ar"/>
              </w:rPr>
              <w:t>生化培养箱</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化学需氧量</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50mg/L</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COD在线监测设备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出水在线监测房</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sz w:val="24"/>
                <w:szCs w:val="24"/>
                <w:u w:val="none"/>
                <w:lang w:val="en-US" w:eastAsia="zh-CN"/>
              </w:rPr>
              <w:t>10mg/L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阴离子表面活性剂</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0.5mg/L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color w:val="auto"/>
                <w:sz w:val="24"/>
                <w:szCs w:val="24"/>
              </w:rPr>
              <w:t>亚甲蓝分光光度法</w:t>
            </w:r>
            <w:r>
              <w:rPr>
                <w:rFonts w:hint="eastAsia" w:ascii="宋体" w:hAnsi="宋体" w:eastAsia="宋体" w:cs="宋体"/>
                <w:color w:val="auto"/>
                <w:sz w:val="24"/>
                <w:szCs w:val="24"/>
                <w:lang w:val="en-US" w:eastAsia="zh-CN"/>
              </w:rPr>
              <w:t>HJ826-2017</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FF0000"/>
                <w:sz w:val="24"/>
                <w:szCs w:val="24"/>
              </w:rPr>
              <w:t>0.05</w:t>
            </w:r>
            <w:r>
              <w:rPr>
                <w:rFonts w:hint="default" w:ascii="宋体" w:hAnsi="宋体" w:eastAsia="宋体" w:cs="宋体"/>
                <w:color w:val="FF0000"/>
                <w:sz w:val="24"/>
                <w:szCs w:val="24"/>
              </w:rPr>
              <w:t>mg/ 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kern w:val="0"/>
                <w:sz w:val="24"/>
                <w:szCs w:val="24"/>
                <w:lang w:bidi="ar"/>
              </w:rPr>
              <w:t>连续流动分析仪</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Style w:val="26"/>
                <w:rFonts w:ascii="宋体" w:hAnsi="宋体" w:eastAsia="宋体" w:cs="宋体"/>
                <w:color w:val="auto"/>
                <w:sz w:val="24"/>
                <w:szCs w:val="24"/>
                <w:highlight w:val="none"/>
                <w:lang w:bidi="ar"/>
              </w:rPr>
              <w:t>1</w:t>
            </w:r>
            <w:r>
              <w:rPr>
                <w:rStyle w:val="26"/>
                <w:rFonts w:hint="eastAsia" w:ascii="宋体" w:hAnsi="宋体" w:eastAsia="宋体" w:cs="宋体"/>
                <w:color w:val="auto"/>
                <w:sz w:val="24"/>
                <w:szCs w:val="24"/>
                <w:highlight w:val="none"/>
                <w:lang w:bidi="ar"/>
              </w:rPr>
              <w:t>%的甲醛，冷藏</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0"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总汞</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0.001mg/L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w:t>
            </w:r>
            <w:r>
              <w:rPr>
                <w:rStyle w:val="28"/>
                <w:rFonts w:hint="eastAsia" w:ascii="宋体" w:hAnsi="宋体" w:eastAsia="宋体" w:cs="宋体"/>
                <w:b w:val="0"/>
                <w:bCs w:val="0"/>
                <w:color w:val="auto"/>
                <w:sz w:val="24"/>
                <w:szCs w:val="24"/>
                <w:lang w:val="en-US" w:eastAsia="zh-CN" w:bidi="ar"/>
              </w:rPr>
              <w:t>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color w:val="auto"/>
                <w:sz w:val="24"/>
                <w:szCs w:val="24"/>
              </w:rPr>
              <w:t>冷原子吸收分光光度法</w:t>
            </w:r>
            <w:r>
              <w:rPr>
                <w:rFonts w:hint="eastAsia" w:ascii="宋体" w:hAnsi="宋体" w:eastAsia="宋体" w:cs="宋体"/>
                <w:b w:val="0"/>
                <w:bCs w:val="0"/>
                <w:i w:val="0"/>
                <w:iCs w:val="0"/>
                <w:color w:val="auto"/>
                <w:kern w:val="0"/>
                <w:sz w:val="24"/>
                <w:szCs w:val="24"/>
                <w:u w:val="none"/>
                <w:lang w:val="en-US" w:eastAsia="zh-CN" w:bidi="ar"/>
              </w:rPr>
              <w:t xml:space="preserve"> HJ 597-2011</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FF0000"/>
                <w:sz w:val="24"/>
                <w:szCs w:val="24"/>
              </w:rPr>
              <w:t>0.04</w:t>
            </w:r>
            <w:r>
              <w:rPr>
                <w:rFonts w:hint="eastAsia"/>
                <w:color w:val="FF0000"/>
              </w:rPr>
              <w:t>μg/L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全自动测汞仪</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000000"/>
                <w:kern w:val="0"/>
                <w:sz w:val="24"/>
                <w:szCs w:val="24"/>
                <w:lang w:bidi="ar"/>
              </w:rPr>
              <w:t>HCl 1%，如水样为中性，1L水样中加浓HCl10ml</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72"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烷基汞</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eastAsia="zh-CN"/>
              </w:rPr>
            </w:pPr>
            <w:r>
              <w:rPr>
                <w:rFonts w:hint="eastAsia" w:ascii="宋体" w:hAnsi="宋体" w:eastAsia="宋体" w:cs="宋体"/>
                <w:b w:val="0"/>
                <w:bCs w:val="0"/>
                <w:i w:val="0"/>
                <w:iCs w:val="0"/>
                <w:color w:val="auto"/>
                <w:sz w:val="24"/>
                <w:szCs w:val="24"/>
                <w:u w:val="none"/>
                <w:lang w:eastAsia="zh-CN"/>
              </w:rPr>
              <w:t>不得检出</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1次/半年</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both"/>
              <w:textAlignment w:val="center"/>
              <w:rPr>
                <w:rFonts w:hint="eastAsia" w:ascii="宋体" w:hAnsi="宋体" w:eastAsia="宋体" w:cs="宋体"/>
                <w:b w:val="0"/>
                <w:bCs w:val="0"/>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气相色谱法 GB/T 14204-1993</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FF0000"/>
                <w:sz w:val="24"/>
                <w:szCs w:val="24"/>
              </w:rPr>
              <w:t>0.02ng/L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气相色谱仪</w:t>
            </w:r>
          </w:p>
        </w:tc>
        <w:tc>
          <w:tcPr>
            <w:tcW w:w="148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如在数小时内样品不能分析，应在样品瓶中预 </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4"/>
                <w:szCs w:val="24"/>
                <w:lang w:bidi="ar"/>
              </w:rPr>
              <w:t>先加入 CuSO</w:t>
            </w:r>
            <w:r>
              <w:rPr>
                <w:rFonts w:hint="eastAsia" w:ascii="宋体" w:hAnsi="宋体" w:eastAsia="宋体" w:cs="宋体"/>
                <w:color w:val="000000"/>
                <w:kern w:val="0"/>
                <w:sz w:val="24"/>
                <w:szCs w:val="24"/>
                <w:vertAlign w:val="subscript"/>
                <w:lang w:bidi="ar"/>
              </w:rPr>
              <w:t>4</w:t>
            </w:r>
            <w:r>
              <w:rPr>
                <w:rFonts w:hint="eastAsia" w:ascii="宋体" w:hAnsi="宋体" w:eastAsia="宋体" w:cs="宋体"/>
                <w:color w:val="000000"/>
                <w:kern w:val="0"/>
                <w:sz w:val="24"/>
                <w:szCs w:val="24"/>
                <w:lang w:bidi="ar"/>
              </w:rPr>
              <w:t>，加入量为每升 1g，冷藏</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89"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总镉</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0.01mg/L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w:t>
            </w:r>
            <w:r>
              <w:rPr>
                <w:rStyle w:val="28"/>
                <w:rFonts w:hint="eastAsia" w:ascii="宋体" w:hAnsi="宋体" w:eastAsia="宋体" w:cs="宋体"/>
                <w:b w:val="0"/>
                <w:bCs w:val="0"/>
                <w:color w:val="auto"/>
                <w:sz w:val="24"/>
                <w:szCs w:val="24"/>
                <w:lang w:val="en-US" w:eastAsia="zh-CN" w:bidi="ar"/>
              </w:rPr>
              <w:t>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 65种元素的测定 电感耦合等离子体质谱法 HJ 700-2014</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FF0000"/>
                <w:sz w:val="24"/>
                <w:szCs w:val="24"/>
              </w:rPr>
              <w:t>0.05</w:t>
            </w:r>
            <w:r>
              <w:rPr>
                <w:rFonts w:hint="eastAsia"/>
                <w:color w:val="FF0000"/>
              </w:rPr>
              <w:t>μg/L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电感耦合等离子体质谱仪</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4"/>
                <w:szCs w:val="24"/>
                <w:lang w:bidi="ar"/>
              </w:rPr>
              <w:t>HNO</w:t>
            </w:r>
            <w:r>
              <w:rPr>
                <w:rFonts w:hint="eastAsia" w:ascii="宋体" w:hAnsi="宋体" w:eastAsia="宋体" w:cs="宋体"/>
                <w:color w:val="000000"/>
                <w:kern w:val="0"/>
                <w:sz w:val="24"/>
                <w:szCs w:val="24"/>
                <w:vertAlign w:val="subscript"/>
                <w:lang w:bidi="ar"/>
              </w:rPr>
              <w:t>3</w:t>
            </w:r>
            <w:r>
              <w:rPr>
                <w:rFonts w:hint="eastAsia" w:ascii="宋体" w:hAnsi="宋体" w:eastAsia="宋体" w:cs="宋体"/>
                <w:color w:val="000000"/>
                <w:kern w:val="0"/>
                <w:sz w:val="24"/>
                <w:szCs w:val="24"/>
                <w:lang w:bidi="ar"/>
              </w:rPr>
              <w:t>，1L水样中加浓 HNO</w:t>
            </w:r>
            <w:r>
              <w:rPr>
                <w:rFonts w:hint="eastAsia" w:ascii="宋体" w:hAnsi="宋体" w:eastAsia="宋体" w:cs="宋体"/>
                <w:color w:val="000000"/>
                <w:kern w:val="0"/>
                <w:sz w:val="24"/>
                <w:szCs w:val="24"/>
                <w:vertAlign w:val="subscript"/>
                <w:lang w:bidi="ar"/>
              </w:rPr>
              <w:t>3</w:t>
            </w:r>
            <w:r>
              <w:rPr>
                <w:rFonts w:hint="eastAsia" w:ascii="宋体" w:hAnsi="宋体" w:eastAsia="宋体" w:cs="宋体"/>
                <w:color w:val="000000"/>
                <w:kern w:val="0"/>
                <w:sz w:val="24"/>
                <w:szCs w:val="24"/>
                <w:lang w:bidi="ar"/>
              </w:rPr>
              <w:t>10 ml</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39"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10</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总铬</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0.1mg/L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w:t>
            </w:r>
            <w:r>
              <w:rPr>
                <w:rStyle w:val="28"/>
                <w:rFonts w:hint="eastAsia" w:ascii="宋体" w:hAnsi="宋体" w:eastAsia="宋体" w:cs="宋体"/>
                <w:b w:val="0"/>
                <w:bCs w:val="0"/>
                <w:color w:val="auto"/>
                <w:sz w:val="24"/>
                <w:szCs w:val="24"/>
                <w:lang w:val="en-US" w:eastAsia="zh-CN" w:bidi="ar"/>
              </w:rPr>
              <w:t>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 65种元素的测定 电感耦合等离子体质谱法HJ 700-2014</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FF0000"/>
                <w:sz w:val="24"/>
                <w:szCs w:val="24"/>
              </w:rPr>
              <w:t>0.11</w:t>
            </w:r>
            <w:r>
              <w:rPr>
                <w:rFonts w:hint="eastAsia"/>
                <w:color w:val="FF0000"/>
              </w:rPr>
              <w:t>μg/L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电感耦合等离子体质谱仪</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Cs/>
                <w:color w:val="000000"/>
                <w:sz w:val="24"/>
                <w:szCs w:val="24"/>
              </w:rPr>
              <w:t>1</w:t>
            </w:r>
            <w:r>
              <w:rPr>
                <w:rFonts w:hint="eastAsia" w:ascii="宋体" w:hAnsi="宋体" w:eastAsia="宋体" w:cs="宋体"/>
                <w:bCs/>
                <w:color w:val="000000"/>
                <w:sz w:val="24"/>
                <w:szCs w:val="24"/>
                <w:lang w:val="en-US" w:eastAsia="zh-CN"/>
              </w:rPr>
              <w:t>L</w:t>
            </w:r>
            <w:r>
              <w:rPr>
                <w:rFonts w:hint="eastAsia" w:ascii="宋体" w:hAnsi="宋体" w:eastAsia="宋体" w:cs="宋体"/>
                <w:bCs/>
                <w:color w:val="000000"/>
                <w:sz w:val="24"/>
                <w:szCs w:val="24"/>
              </w:rPr>
              <w:t>水样中加浓HNO</w:t>
            </w:r>
            <w:r>
              <w:rPr>
                <w:rFonts w:hint="eastAsia" w:ascii="宋体" w:hAnsi="宋体" w:eastAsia="宋体" w:cs="宋体"/>
                <w:bCs/>
                <w:color w:val="000000"/>
                <w:sz w:val="24"/>
                <w:szCs w:val="24"/>
                <w:vertAlign w:val="subscript"/>
              </w:rPr>
              <w:t xml:space="preserve">3 </w:t>
            </w:r>
            <w:r>
              <w:rPr>
                <w:rFonts w:hint="eastAsia" w:ascii="宋体" w:hAnsi="宋体" w:eastAsia="宋体" w:cs="宋体"/>
                <w:bCs/>
                <w:color w:val="000000"/>
                <w:sz w:val="24"/>
                <w:szCs w:val="24"/>
              </w:rPr>
              <w:t>10ml</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31"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11</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六价铬</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0.05mg/L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w:t>
            </w:r>
            <w:r>
              <w:rPr>
                <w:rStyle w:val="28"/>
                <w:rFonts w:hint="eastAsia" w:ascii="宋体" w:hAnsi="宋体" w:eastAsia="宋体" w:cs="宋体"/>
                <w:b w:val="0"/>
                <w:bCs w:val="0"/>
                <w:color w:val="auto"/>
                <w:sz w:val="24"/>
                <w:szCs w:val="24"/>
                <w:lang w:val="en-US" w:eastAsia="zh-CN" w:bidi="ar"/>
              </w:rPr>
              <w:t>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二苯碳酰二肼分光光度法 GB 7467-87</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FF0000"/>
                <w:sz w:val="24"/>
                <w:szCs w:val="24"/>
              </w:rPr>
              <w:t>0.001mg/L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lang w:eastAsia="zh-CN"/>
              </w:rPr>
              <w:t>可见</w:t>
            </w:r>
            <w:r>
              <w:rPr>
                <w:rFonts w:hint="eastAsia" w:ascii="宋体" w:hAnsi="宋体" w:eastAsia="宋体" w:cs="宋体"/>
                <w:color w:val="auto"/>
                <w:sz w:val="24"/>
                <w:szCs w:val="24"/>
              </w:rPr>
              <w:t>分光光度计</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4"/>
                <w:szCs w:val="24"/>
                <w:lang w:bidi="ar"/>
              </w:rPr>
              <w:t>NaOH，pH 8～9</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09"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总砷</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0.1mg/L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w:t>
            </w:r>
            <w:r>
              <w:rPr>
                <w:rStyle w:val="28"/>
                <w:rFonts w:hint="eastAsia" w:ascii="宋体" w:hAnsi="宋体" w:eastAsia="宋体" w:cs="宋体"/>
                <w:b w:val="0"/>
                <w:bCs w:val="0"/>
                <w:color w:val="auto"/>
                <w:sz w:val="24"/>
                <w:szCs w:val="24"/>
                <w:lang w:val="en-US" w:eastAsia="zh-CN" w:bidi="ar"/>
              </w:rPr>
              <w:t>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color w:val="auto"/>
                <w:sz w:val="24"/>
                <w:szCs w:val="24"/>
              </w:rPr>
              <w:t xml:space="preserve">电感耦合等离子体质谱法HJ </w:t>
            </w:r>
            <w:r>
              <w:rPr>
                <w:rFonts w:hint="eastAsia" w:ascii="宋体" w:hAnsi="宋体" w:eastAsia="宋体" w:cs="宋体"/>
                <w:color w:val="auto"/>
                <w:sz w:val="24"/>
                <w:szCs w:val="24"/>
                <w:lang w:val="en-US" w:eastAsia="zh-CN"/>
              </w:rPr>
              <w:t>700-201</w:t>
            </w:r>
            <w:r>
              <w:rPr>
                <w:rFonts w:hint="eastAsia" w:ascii="宋体" w:hAnsi="宋体" w:eastAsia="宋体" w:cs="宋体"/>
                <w:color w:val="auto"/>
                <w:sz w:val="24"/>
                <w:szCs w:val="24"/>
              </w:rPr>
              <w:t>4</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FF0000"/>
                <w:sz w:val="24"/>
                <w:szCs w:val="24"/>
              </w:rPr>
              <w:t>0.3</w:t>
            </w:r>
            <w:r>
              <w:rPr>
                <w:rFonts w:hint="eastAsia"/>
                <w:color w:val="FF0000"/>
              </w:rPr>
              <w:t>μg/L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电感耦合等离子体质谱仪</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L</w:t>
            </w:r>
            <w:r>
              <w:rPr>
                <w:rFonts w:hint="eastAsia" w:ascii="宋体" w:hAnsi="宋体" w:eastAsia="宋体" w:cs="宋体"/>
                <w:color w:val="000000"/>
                <w:kern w:val="0"/>
                <w:sz w:val="24"/>
                <w:szCs w:val="24"/>
                <w:lang w:bidi="ar"/>
              </w:rPr>
              <w:t>水样中加浓 HNO</w:t>
            </w:r>
            <w:r>
              <w:rPr>
                <w:rFonts w:hint="eastAsia" w:ascii="宋体" w:hAnsi="宋体" w:eastAsia="宋体" w:cs="宋体"/>
                <w:color w:val="000000"/>
                <w:kern w:val="0"/>
                <w:sz w:val="24"/>
                <w:szCs w:val="24"/>
                <w:vertAlign w:val="subscript"/>
                <w:lang w:bidi="ar"/>
              </w:rPr>
              <w:t>3</w:t>
            </w:r>
            <w:r>
              <w:rPr>
                <w:rFonts w:hint="eastAsia" w:ascii="宋体" w:hAnsi="宋体" w:eastAsia="宋体" w:cs="宋体"/>
                <w:color w:val="000000"/>
                <w:kern w:val="0"/>
                <w:sz w:val="24"/>
                <w:szCs w:val="24"/>
                <w:lang w:bidi="ar"/>
              </w:rPr>
              <w:t>10ml</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93"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13</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总铅</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0.1mg/L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w:t>
            </w:r>
            <w:r>
              <w:rPr>
                <w:rStyle w:val="28"/>
                <w:rFonts w:hint="eastAsia" w:ascii="宋体" w:hAnsi="宋体" w:eastAsia="宋体" w:cs="宋体"/>
                <w:b w:val="0"/>
                <w:bCs w:val="0"/>
                <w:color w:val="auto"/>
                <w:sz w:val="24"/>
                <w:szCs w:val="24"/>
                <w:lang w:val="en-US" w:eastAsia="zh-CN" w:bidi="ar"/>
              </w:rPr>
              <w:t>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color w:val="auto"/>
                <w:sz w:val="24"/>
                <w:szCs w:val="24"/>
              </w:rPr>
              <w:t xml:space="preserve">电感耦合等离子体质谱HJ </w:t>
            </w:r>
            <w:r>
              <w:rPr>
                <w:rFonts w:hint="eastAsia" w:ascii="宋体" w:hAnsi="宋体" w:eastAsia="宋体" w:cs="宋体"/>
                <w:color w:val="auto"/>
                <w:sz w:val="24"/>
                <w:szCs w:val="24"/>
                <w:lang w:val="en-US" w:eastAsia="zh-CN"/>
              </w:rPr>
              <w:t>700-201</w:t>
            </w:r>
            <w:r>
              <w:rPr>
                <w:rFonts w:hint="eastAsia" w:ascii="宋体" w:hAnsi="宋体" w:eastAsia="宋体" w:cs="宋体"/>
                <w:color w:val="auto"/>
                <w:sz w:val="24"/>
                <w:szCs w:val="24"/>
              </w:rPr>
              <w:t>4</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FF0000"/>
                <w:sz w:val="24"/>
                <w:szCs w:val="24"/>
              </w:rPr>
              <w:t>0.09</w:t>
            </w:r>
            <w:r>
              <w:rPr>
                <w:rFonts w:hint="eastAsia"/>
                <w:color w:val="FF0000"/>
              </w:rPr>
              <w:t>μg/L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电感耦合等离子体质谱仪</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1"/>
                <w:szCs w:val="21"/>
                <w:lang w:bidi="ar"/>
              </w:rPr>
              <w:t>HNO3</w:t>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bidi="ar"/>
              </w:rPr>
              <w:t>1%，如水样为中性，1L水样中加浓 HNO</w:t>
            </w:r>
            <w:r>
              <w:rPr>
                <w:rFonts w:hint="eastAsia" w:ascii="宋体" w:hAnsi="宋体" w:eastAsia="宋体" w:cs="宋体"/>
                <w:color w:val="000000"/>
                <w:kern w:val="0"/>
                <w:sz w:val="21"/>
                <w:szCs w:val="21"/>
                <w:vertAlign w:val="subscript"/>
                <w:lang w:bidi="ar"/>
              </w:rPr>
              <w:t>3</w:t>
            </w:r>
            <w:r>
              <w:rPr>
                <w:rFonts w:hint="eastAsia" w:ascii="宋体" w:hAnsi="宋体" w:eastAsia="宋体" w:cs="宋体"/>
                <w:color w:val="000000"/>
                <w:kern w:val="0"/>
                <w:sz w:val="21"/>
                <w:szCs w:val="21"/>
                <w:lang w:bidi="ar"/>
              </w:rPr>
              <w:t>10ml</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60"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14</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总氮（以N计）</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15mg/L</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总磷总氮在线监测设备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出水在线监测房</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FF0000"/>
                <w:sz w:val="24"/>
                <w:szCs w:val="24"/>
              </w:rPr>
              <w:t>0.</w:t>
            </w:r>
            <w:r>
              <w:rPr>
                <w:rFonts w:hint="eastAsia" w:ascii="宋体" w:hAnsi="宋体" w:eastAsia="宋体" w:cs="宋体"/>
                <w:color w:val="FF0000"/>
                <w:sz w:val="24"/>
                <w:szCs w:val="24"/>
                <w:lang w:val="en-US" w:eastAsia="zh-CN"/>
              </w:rPr>
              <w:t>8</w:t>
            </w:r>
            <w:r>
              <w:rPr>
                <w:rFonts w:hint="default" w:ascii="宋体" w:hAnsi="宋体" w:eastAsia="宋体" w:cs="宋体"/>
                <w:color w:val="FF0000"/>
                <w:sz w:val="24"/>
                <w:szCs w:val="24"/>
              </w:rPr>
              <w:t>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0"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15</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氨氮（NH3-N）</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5(8)mg/L</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氨氮在线监测设备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出水在线监测房</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333333"/>
                <w:kern w:val="0"/>
                <w:sz w:val="24"/>
                <w:szCs w:val="24"/>
                <w:lang w:val="en-US" w:eastAsia="zh-CN" w:bidi="ar"/>
              </w:rPr>
            </w:pPr>
            <w:r>
              <w:rPr>
                <w:rFonts w:hint="eastAsia" w:ascii="宋体" w:hAnsi="宋体" w:eastAsia="宋体" w:cs="宋体"/>
                <w:color w:val="FF0000"/>
                <w:sz w:val="24"/>
                <w:szCs w:val="24"/>
              </w:rPr>
              <w:t>0.</w:t>
            </w:r>
            <w:r>
              <w:rPr>
                <w:rFonts w:hint="eastAsia" w:ascii="宋体" w:hAnsi="宋体" w:eastAsia="宋体" w:cs="宋体"/>
                <w:color w:val="FF0000"/>
                <w:sz w:val="24"/>
                <w:szCs w:val="24"/>
                <w:lang w:val="en-US" w:eastAsia="zh-CN"/>
              </w:rPr>
              <w:t>01</w:t>
            </w:r>
            <w:r>
              <w:rPr>
                <w:rFonts w:hint="eastAsia" w:ascii="宋体" w:hAnsi="宋体" w:eastAsia="宋体" w:cs="宋体"/>
                <w:color w:val="FF0000"/>
                <w:sz w:val="24"/>
                <w:szCs w:val="24"/>
              </w:rPr>
              <w:t>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333333"/>
                <w:kern w:val="0"/>
                <w:sz w:val="24"/>
                <w:szCs w:val="24"/>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both"/>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92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16</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总磷（以P计）</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0.5mg/L</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总磷总氮在线监测设备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出水在线监测房</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333333"/>
                <w:kern w:val="0"/>
                <w:sz w:val="24"/>
                <w:szCs w:val="24"/>
                <w:lang w:val="en-US" w:eastAsia="zh-CN" w:bidi="ar"/>
              </w:rPr>
            </w:pPr>
            <w:r>
              <w:rPr>
                <w:rFonts w:hint="eastAsia" w:ascii="宋体" w:hAnsi="宋体" w:eastAsia="宋体" w:cs="宋体"/>
                <w:color w:val="FF0000"/>
                <w:sz w:val="24"/>
                <w:szCs w:val="24"/>
              </w:rPr>
              <w:t>0.</w:t>
            </w:r>
            <w:r>
              <w:rPr>
                <w:rFonts w:hint="eastAsia" w:ascii="宋体" w:hAnsi="宋体" w:eastAsia="宋体" w:cs="宋体"/>
                <w:color w:val="FF0000"/>
                <w:sz w:val="24"/>
                <w:szCs w:val="24"/>
                <w:lang w:val="en-US" w:eastAsia="zh-CN"/>
              </w:rPr>
              <w:t>03</w:t>
            </w:r>
            <w:r>
              <w:rPr>
                <w:rFonts w:hint="default" w:ascii="宋体" w:hAnsi="宋体" w:eastAsia="宋体" w:cs="宋体"/>
                <w:color w:val="FF0000"/>
                <w:sz w:val="24"/>
                <w:szCs w:val="24"/>
              </w:rPr>
              <w:t>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333333"/>
                <w:kern w:val="0"/>
                <w:sz w:val="24"/>
                <w:szCs w:val="24"/>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17</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石油类</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 石油类和动植物油类的测定 红外分光光度法 HJ 637-2018</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FF0000"/>
                <w:sz w:val="24"/>
                <w:szCs w:val="24"/>
              </w:rPr>
              <w:t>0.06mg/L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红外</w:t>
            </w:r>
            <w:r>
              <w:rPr>
                <w:rFonts w:hint="eastAsia" w:ascii="宋体" w:hAnsi="宋体" w:eastAsia="宋体" w:cs="宋体"/>
                <w:color w:val="auto"/>
                <w:sz w:val="24"/>
                <w:szCs w:val="24"/>
                <w:lang w:eastAsia="zh-CN"/>
              </w:rPr>
              <w:t>分光</w:t>
            </w:r>
            <w:r>
              <w:rPr>
                <w:rFonts w:hint="eastAsia" w:ascii="宋体" w:hAnsi="宋体" w:eastAsia="宋体" w:cs="宋体"/>
                <w:color w:val="auto"/>
                <w:sz w:val="24"/>
                <w:szCs w:val="24"/>
              </w:rPr>
              <w:t>测油仪</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000000"/>
                <w:kern w:val="0"/>
                <w:sz w:val="24"/>
                <w:szCs w:val="24"/>
                <w:lang w:bidi="ar"/>
              </w:rPr>
              <w:t>HCl，pH≤2</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24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18</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动植物油</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 石油类和动植物油类的测定 红外分光光度法 HJ 637-2018</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FF0000"/>
                <w:sz w:val="24"/>
                <w:szCs w:val="24"/>
              </w:rPr>
              <w:t>0.06mg/L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红外</w:t>
            </w:r>
            <w:r>
              <w:rPr>
                <w:rFonts w:hint="eastAsia" w:ascii="宋体" w:hAnsi="宋体" w:eastAsia="宋体" w:cs="宋体"/>
                <w:color w:val="auto"/>
                <w:sz w:val="24"/>
                <w:szCs w:val="24"/>
                <w:lang w:eastAsia="zh-CN"/>
              </w:rPr>
              <w:t>分光</w:t>
            </w:r>
            <w:r>
              <w:rPr>
                <w:rFonts w:hint="eastAsia" w:ascii="宋体" w:hAnsi="宋体" w:eastAsia="宋体" w:cs="宋体"/>
                <w:color w:val="auto"/>
                <w:sz w:val="24"/>
                <w:szCs w:val="24"/>
              </w:rPr>
              <w:t>测油仪</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000000"/>
                <w:kern w:val="0"/>
                <w:sz w:val="24"/>
                <w:szCs w:val="24"/>
                <w:lang w:bidi="ar"/>
              </w:rPr>
              <w:t>HCl，pH≤2</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19</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粪大肠菌群数/（个/L）</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1000</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水质粪大肠菌群的测定多管发酵法</w:t>
            </w:r>
            <w:r>
              <w:rPr>
                <w:rStyle w:val="29"/>
                <w:rFonts w:hint="eastAsia" w:ascii="宋体" w:hAnsi="宋体" w:eastAsia="宋体" w:cs="宋体"/>
                <w:b w:val="0"/>
                <w:bCs w:val="0"/>
                <w:color w:val="auto"/>
                <w:sz w:val="24"/>
                <w:szCs w:val="24"/>
                <w:lang w:val="en-US" w:eastAsia="zh-CN" w:bidi="ar"/>
              </w:rPr>
              <w:t>HJ 347.2-2018</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FF0000"/>
                <w:sz w:val="24"/>
                <w:szCs w:val="24"/>
              </w:rPr>
              <w:t>10CFU/L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生化培养箱</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1"/>
                <w:szCs w:val="21"/>
                <w:lang w:bidi="ar"/>
              </w:rPr>
              <w:t>单独采集微生物样品，不预洗采样</w:t>
            </w:r>
            <w:r>
              <w:rPr>
                <w:rFonts w:hint="eastAsia" w:ascii="宋体" w:hAnsi="宋体" w:eastAsia="宋体" w:cs="宋体"/>
                <w:color w:val="000000"/>
                <w:kern w:val="0"/>
                <w:sz w:val="21"/>
                <w:szCs w:val="21"/>
                <w:lang w:eastAsia="zh-CN" w:bidi="ar"/>
              </w:rPr>
              <w:t>袋</w:t>
            </w:r>
            <w:r>
              <w:rPr>
                <w:rFonts w:hint="eastAsia" w:ascii="宋体" w:hAnsi="宋体" w:eastAsia="宋体" w:cs="宋体"/>
                <w:color w:val="000000"/>
                <w:kern w:val="0"/>
                <w:sz w:val="21"/>
                <w:szCs w:val="21"/>
                <w:lang w:bidi="ar"/>
              </w:rPr>
              <w:t>，样品采集至采样瓶体积的8</w:t>
            </w:r>
            <w:r>
              <w:rPr>
                <w:rFonts w:hint="default" w:ascii="宋体" w:hAnsi="宋体" w:eastAsia="宋体" w:cs="宋体"/>
                <w:color w:val="000000"/>
                <w:kern w:val="0"/>
                <w:sz w:val="21"/>
                <w:szCs w:val="21"/>
                <w:lang w:bidi="ar"/>
              </w:rPr>
              <w:t>0</w:t>
            </w:r>
            <w:r>
              <w:rPr>
                <w:rFonts w:hint="eastAsia" w:ascii="宋体" w:hAnsi="宋体" w:eastAsia="宋体" w:cs="宋体"/>
                <w:color w:val="000000"/>
                <w:kern w:val="0"/>
                <w:sz w:val="21"/>
                <w:szCs w:val="21"/>
                <w:lang w:bidi="ar"/>
              </w:rPr>
              <w:t>%左右，冷藏，避光</w:t>
            </w:r>
            <w:r>
              <w:rPr>
                <w:rFonts w:hint="eastAsia" w:ascii="宋体" w:hAnsi="宋体" w:eastAsia="宋体" w:cs="宋体"/>
                <w:color w:val="000000"/>
                <w:kern w:val="0"/>
                <w:sz w:val="21"/>
                <w:szCs w:val="21"/>
                <w:lang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3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20</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流量</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流量计</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次氯酸钠消毒池后端</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21</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水温</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pH/T水温在线监测设备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总排口堰槽</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22</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化学需氧量</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220mg/L</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COD在线监测设备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进水仪表小屋</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FF0000"/>
                <w:sz w:val="24"/>
                <w:szCs w:val="24"/>
                <w:lang w:val="en-US" w:eastAsia="zh-CN"/>
              </w:rPr>
              <w:t>10</w:t>
            </w:r>
            <w:r>
              <w:rPr>
                <w:rFonts w:hint="eastAsia" w:ascii="宋体" w:hAnsi="宋体" w:eastAsia="宋体" w:cs="宋体"/>
                <w:color w:val="FF0000"/>
                <w:sz w:val="24"/>
                <w:szCs w:val="24"/>
              </w:rPr>
              <w:t>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44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23</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总氮（以N计）</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35mg/L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混合采样多个混合样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1次/日</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水质总氮的测定碱性过硫酸钾消解紫外分光光度法</w:t>
            </w:r>
            <w:r>
              <w:rPr>
                <w:rStyle w:val="29"/>
                <w:rFonts w:hint="eastAsia" w:ascii="宋体" w:hAnsi="宋体" w:eastAsia="宋体" w:cs="宋体"/>
                <w:b w:val="0"/>
                <w:bCs w:val="0"/>
                <w:color w:val="auto"/>
                <w:sz w:val="24"/>
                <w:szCs w:val="24"/>
                <w:lang w:val="en-US" w:eastAsia="zh-CN" w:bidi="ar"/>
              </w:rPr>
              <w:t>HJ636-2012</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333333"/>
                <w:kern w:val="0"/>
                <w:sz w:val="24"/>
                <w:szCs w:val="24"/>
                <w:lang w:bidi="ar"/>
              </w:rPr>
            </w:pPr>
            <w:r>
              <w:rPr>
                <w:rFonts w:hint="eastAsia" w:ascii="宋体" w:hAnsi="宋体" w:eastAsia="宋体" w:cs="宋体"/>
                <w:color w:val="FF0000"/>
                <w:sz w:val="24"/>
                <w:szCs w:val="24"/>
              </w:rPr>
              <w:t>0.05mg/L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333333"/>
                <w:kern w:val="0"/>
                <w:sz w:val="24"/>
                <w:szCs w:val="24"/>
                <w:lang w:bidi="ar"/>
              </w:rPr>
              <w:t>紫外可见分光光度计</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24</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氨氮（NH3-N）</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25mg/L</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氨氮在线监测设备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进水仪表小屋</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333333"/>
                <w:kern w:val="0"/>
                <w:sz w:val="24"/>
                <w:szCs w:val="24"/>
                <w:lang w:val="en-US" w:eastAsia="zh-CN" w:bidi="ar"/>
              </w:rPr>
            </w:pPr>
            <w:r>
              <w:rPr>
                <w:rFonts w:hint="eastAsia" w:ascii="宋体" w:hAnsi="宋体" w:eastAsia="宋体" w:cs="宋体"/>
                <w:color w:val="FF0000"/>
                <w:sz w:val="24"/>
                <w:szCs w:val="24"/>
              </w:rPr>
              <w:t>0.</w:t>
            </w:r>
            <w:r>
              <w:rPr>
                <w:rFonts w:hint="eastAsia" w:ascii="宋体" w:hAnsi="宋体" w:eastAsia="宋体" w:cs="宋体"/>
                <w:color w:val="FF0000"/>
                <w:sz w:val="24"/>
                <w:szCs w:val="24"/>
                <w:lang w:val="en-US" w:eastAsia="zh-CN"/>
              </w:rPr>
              <w:t>01</w:t>
            </w:r>
            <w:r>
              <w:rPr>
                <w:rFonts w:hint="eastAsia" w:ascii="宋体" w:hAnsi="宋体" w:eastAsia="宋体" w:cs="宋体"/>
                <w:color w:val="FF0000"/>
                <w:sz w:val="24"/>
                <w:szCs w:val="24"/>
              </w:rPr>
              <w:t>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333333"/>
                <w:kern w:val="0"/>
                <w:sz w:val="24"/>
                <w:szCs w:val="24"/>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25</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总磷（以P计）</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3mg/L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混合采样多个混合样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1次/日</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水质总磷的测定钼酸铵分光光度法</w:t>
            </w:r>
            <w:r>
              <w:rPr>
                <w:rStyle w:val="29"/>
                <w:rFonts w:hint="eastAsia" w:ascii="宋体" w:hAnsi="宋体" w:eastAsia="宋体" w:cs="宋体"/>
                <w:b w:val="0"/>
                <w:bCs w:val="0"/>
                <w:color w:val="auto"/>
                <w:sz w:val="24"/>
                <w:szCs w:val="24"/>
                <w:lang w:val="en-US" w:eastAsia="zh-CN" w:bidi="ar"/>
              </w:rPr>
              <w:t>GB11893-89</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333333"/>
                <w:kern w:val="0"/>
                <w:sz w:val="24"/>
                <w:szCs w:val="24"/>
                <w:lang w:bidi="ar"/>
              </w:rPr>
            </w:pPr>
            <w:r>
              <w:rPr>
                <w:rFonts w:hint="eastAsia" w:ascii="宋体" w:hAnsi="宋体" w:eastAsia="宋体" w:cs="宋体"/>
                <w:color w:val="FF0000"/>
                <w:sz w:val="24"/>
                <w:szCs w:val="24"/>
              </w:rPr>
              <w:t>0.01mg/L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333333"/>
                <w:kern w:val="0"/>
                <w:sz w:val="24"/>
                <w:szCs w:val="24"/>
                <w:lang w:bidi="ar"/>
              </w:rPr>
              <w:t>紫外可见分光光度计</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49"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26</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流量</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流量计</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eastAsia="zh-CN"/>
              </w:rPr>
            </w:pPr>
            <w:r>
              <w:rPr>
                <w:rFonts w:hint="eastAsia" w:ascii="宋体" w:hAnsi="宋体" w:eastAsia="宋体" w:cs="宋体"/>
                <w:b w:val="0"/>
                <w:bCs w:val="0"/>
                <w:i w:val="0"/>
                <w:iCs w:val="0"/>
                <w:color w:val="auto"/>
                <w:sz w:val="24"/>
                <w:szCs w:val="24"/>
                <w:u w:val="none"/>
                <w:lang w:eastAsia="zh-CN"/>
              </w:rPr>
              <w:t>提升泵房</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480" w:firstLineChars="200"/>
              <w:jc w:val="both"/>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480" w:firstLineChars="200"/>
              <w:jc w:val="both"/>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720" w:firstLineChars="300"/>
              <w:jc w:val="both"/>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480" w:firstLineChars="200"/>
              <w:jc w:val="both"/>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28</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pH值</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6-9</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pH/T在线监测设备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2"/>
                <w:sz w:val="24"/>
                <w:szCs w:val="24"/>
                <w:u w:val="none"/>
                <w:lang w:val="en-US" w:eastAsia="zh-CN" w:bidi="ar-SA"/>
              </w:rPr>
              <w:t>沉砂池</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Style w:val="26"/>
                <w:rFonts w:hint="default" w:ascii="宋体" w:hAnsi="宋体" w:eastAsia="宋体" w:cs="宋体"/>
                <w:sz w:val="24"/>
                <w:szCs w:val="24"/>
                <w:lang w:val="en-US" w:eastAsia="zh-CN" w:bidi="ar"/>
              </w:rPr>
            </w:pPr>
            <w:r>
              <w:rPr>
                <w:rStyle w:val="26"/>
                <w:rFonts w:hint="eastAsia" w:ascii="宋体" w:hAnsi="宋体" w:eastAsia="宋体" w:cs="宋体"/>
                <w:sz w:val="24"/>
                <w:szCs w:val="24"/>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Style w:val="26"/>
                <w:rFonts w:hint="eastAsia" w:ascii="宋体" w:hAnsi="宋体" w:eastAsia="宋体" w:cs="宋体"/>
                <w:sz w:val="24"/>
                <w:szCs w:val="24"/>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951"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29</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水温</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z w:val="24"/>
                <w:szCs w:val="24"/>
                <w:u w:val="none"/>
                <w:lang w:val="en-US" w:eastAsia="zh-CN"/>
              </w:rPr>
              <w:t>/</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pH/T水温在线监测设备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沉砂池</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left"/>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8"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29</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w:t>
            </w:r>
            <w:r>
              <w:rPr>
                <w:rStyle w:val="30"/>
                <w:rFonts w:hint="eastAsia" w:ascii="宋体" w:hAnsi="宋体" w:eastAsia="宋体" w:cs="宋体"/>
                <w:b w:val="0"/>
                <w:bCs w:val="0"/>
                <w:color w:val="auto"/>
                <w:sz w:val="24"/>
                <w:szCs w:val="24"/>
                <w:lang w:val="en-US" w:eastAsia="zh-CN" w:bidi="ar"/>
              </w:rPr>
              <w:t>2</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w:t>
            </w:r>
            <w:r>
              <w:rPr>
                <w:rStyle w:val="30"/>
                <w:rFonts w:hint="eastAsia" w:ascii="宋体" w:hAnsi="宋体" w:eastAsia="宋体" w:cs="宋体"/>
                <w:b w:val="0"/>
                <w:bCs w:val="0"/>
                <w:color w:val="auto"/>
                <w:sz w:val="24"/>
                <w:szCs w:val="24"/>
                <w:lang w:val="en-US" w:eastAsia="zh-CN" w:bidi="ar"/>
              </w:rPr>
              <w:t>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pH值</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6-9</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《污水综合排放标准（GB 8978-1996 ）》中表4其他排污单位的一级标准</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both"/>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瞬时采样至少一个瞬时样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kern w:val="0"/>
                <w:sz w:val="24"/>
                <w:szCs w:val="24"/>
                <w:u w:val="none"/>
                <w:lang w:val="en-US" w:eastAsia="zh-CN" w:bidi="ar"/>
              </w:rPr>
              <w:t>1次/季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 pH值的测定 电极法》（HJ 1147-2020）</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Style w:val="26"/>
                <w:rFonts w:hint="default" w:ascii="宋体" w:hAnsi="宋体" w:eastAsia="宋体" w:cs="宋体"/>
                <w:sz w:val="24"/>
                <w:szCs w:val="24"/>
                <w:lang w:val="en-US" w:eastAsia="zh-CN" w:bidi="ar"/>
              </w:rPr>
            </w:pPr>
            <w:r>
              <w:rPr>
                <w:rStyle w:val="26"/>
                <w:rFonts w:hint="eastAsia" w:ascii="宋体" w:hAnsi="宋体" w:eastAsia="宋体" w:cs="宋体"/>
                <w:sz w:val="24"/>
                <w:szCs w:val="24"/>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Style w:val="26"/>
                <w:rFonts w:hint="eastAsia" w:ascii="宋体" w:hAnsi="宋体" w:eastAsia="宋体" w:cs="宋体"/>
                <w:sz w:val="24"/>
                <w:szCs w:val="24"/>
                <w:lang w:eastAsia="zh-CN" w:bidi="ar"/>
              </w:rPr>
              <w:t>酸度计</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720" w:firstLineChars="300"/>
              <w:jc w:val="both"/>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30</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eastAsia="zh-CN"/>
              </w:rPr>
            </w:pPr>
            <w:r>
              <w:rPr>
                <w:rFonts w:hint="eastAsia" w:ascii="宋体" w:hAnsi="宋体" w:eastAsia="宋体" w:cs="宋体"/>
                <w:b w:val="0"/>
                <w:bCs w:val="0"/>
                <w:i w:val="0"/>
                <w:iCs w:val="0"/>
                <w:color w:val="auto"/>
                <w:kern w:val="0"/>
                <w:sz w:val="24"/>
                <w:szCs w:val="24"/>
                <w:u w:val="none"/>
                <w:lang w:val="en-US" w:eastAsia="zh-CN" w:bidi="ar"/>
              </w:rPr>
              <w:t>DW002</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w:t>
            </w:r>
            <w:r>
              <w:rPr>
                <w:rStyle w:val="30"/>
                <w:rFonts w:hint="eastAsia" w:ascii="宋体" w:hAnsi="宋体" w:eastAsia="宋体" w:cs="宋体"/>
                <w:b w:val="0"/>
                <w:bCs w:val="0"/>
                <w:color w:val="auto"/>
                <w:sz w:val="24"/>
                <w:szCs w:val="24"/>
                <w:lang w:val="en-US" w:eastAsia="zh-CN" w:bidi="ar"/>
              </w:rPr>
              <w:t>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氨氮</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highlight w:val="none"/>
                <w:lang w:val="en-US" w:eastAsia="zh-CN"/>
              </w:rPr>
              <w:t>15mg/L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《污水综合排放标准（GB 8978-1996 ）》中表4其他排污单位的一级标准</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瞬时采样至少一个瞬时样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1次/季</w:t>
            </w:r>
          </w:p>
        </w:tc>
        <w:tc>
          <w:tcPr>
            <w:tcW w:w="1589"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eastAsia="zh-CN"/>
              </w:rPr>
              <w:t>纳氏试剂分光光度法</w:t>
            </w:r>
            <w:r>
              <w:rPr>
                <w:rFonts w:hint="eastAsia" w:ascii="宋体" w:hAnsi="宋体" w:eastAsia="宋体" w:cs="宋体"/>
                <w:b w:val="0"/>
                <w:bCs w:val="0"/>
                <w:i w:val="0"/>
                <w:iCs w:val="0"/>
                <w:color w:val="auto"/>
                <w:sz w:val="24"/>
                <w:szCs w:val="24"/>
                <w:u w:val="none"/>
                <w:lang w:val="en-US" w:eastAsia="zh-CN"/>
              </w:rPr>
              <w:t>HJ535-2009</w:t>
            </w:r>
          </w:p>
        </w:tc>
        <w:tc>
          <w:tcPr>
            <w:tcW w:w="120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FF0000"/>
                <w:sz w:val="24"/>
                <w:szCs w:val="24"/>
              </w:rPr>
            </w:pPr>
            <w:r>
              <w:rPr>
                <w:rFonts w:hint="eastAsia" w:ascii="宋体" w:hAnsi="宋体" w:eastAsia="宋体" w:cs="宋体"/>
                <w:color w:val="FF0000"/>
                <w:sz w:val="24"/>
                <w:szCs w:val="24"/>
              </w:rPr>
              <w:t>0.025</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333333"/>
                <w:kern w:val="0"/>
                <w:sz w:val="24"/>
                <w:szCs w:val="24"/>
                <w:lang w:bidi="ar"/>
              </w:rPr>
            </w:pPr>
            <w:r>
              <w:rPr>
                <w:rFonts w:hint="eastAsia" w:ascii="宋体" w:hAnsi="宋体" w:eastAsia="宋体" w:cs="宋体"/>
                <w:color w:val="FF0000"/>
                <w:sz w:val="24"/>
                <w:szCs w:val="24"/>
              </w:rPr>
              <w:t>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333333"/>
                <w:kern w:val="0"/>
                <w:sz w:val="24"/>
                <w:szCs w:val="24"/>
                <w:lang w:bidi="ar"/>
              </w:rPr>
              <w:t>可见分光光度计</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4"/>
                <w:szCs w:val="24"/>
                <w:lang w:bidi="ar"/>
              </w:rPr>
              <w:t>HCl，pH≤2</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31</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DW002</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w:t>
            </w:r>
            <w:r>
              <w:rPr>
                <w:rStyle w:val="30"/>
                <w:rFonts w:hint="eastAsia" w:ascii="宋体" w:hAnsi="宋体" w:eastAsia="宋体" w:cs="宋体"/>
                <w:b w:val="0"/>
                <w:bCs w:val="0"/>
                <w:color w:val="auto"/>
                <w:sz w:val="24"/>
                <w:szCs w:val="24"/>
                <w:lang w:val="en-US" w:eastAsia="zh-CN" w:bidi="ar"/>
              </w:rPr>
              <w:t>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悬浮物</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240" w:firstLineChars="100"/>
              <w:jc w:val="both"/>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highlight w:val="none"/>
                <w:u w:val="none"/>
                <w:lang w:val="en-US" w:eastAsia="zh-CN"/>
              </w:rPr>
              <w:t>70</w:t>
            </w:r>
            <w:r>
              <w:rPr>
                <w:rFonts w:hint="eastAsia" w:ascii="宋体" w:hAnsi="宋体" w:eastAsia="宋体" w:cs="宋体"/>
                <w:color w:val="auto"/>
                <w:sz w:val="24"/>
                <w:szCs w:val="24"/>
                <w:highlight w:val="none"/>
                <w:lang w:val="en-US" w:eastAsia="zh-CN"/>
              </w:rPr>
              <w:t>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《污水综合排放标准（GB 8978-1996 ）》中表4其他排污单位的一级标准</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瞬时采样至少一个瞬时样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水质悬浮物的测定重量法</w:t>
            </w:r>
            <w:r>
              <w:rPr>
                <w:rStyle w:val="25"/>
                <w:rFonts w:hint="eastAsia" w:ascii="宋体" w:hAnsi="宋体" w:eastAsia="宋体" w:cs="宋体"/>
                <w:b w:val="0"/>
                <w:bCs w:val="0"/>
                <w:color w:val="auto"/>
                <w:sz w:val="24"/>
                <w:szCs w:val="24"/>
                <w:lang w:val="en-US" w:eastAsia="zh-CN" w:bidi="ar"/>
              </w:rPr>
              <w:t>GB/T 11901-1989</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color w:val="FF0000"/>
                <w:sz w:val="24"/>
                <w:szCs w:val="24"/>
              </w:rPr>
              <w:t>5mg/L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电子分析天平</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80"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32</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DW002</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w:t>
            </w:r>
            <w:r>
              <w:rPr>
                <w:rStyle w:val="30"/>
                <w:rFonts w:hint="eastAsia" w:ascii="宋体" w:hAnsi="宋体" w:eastAsia="宋体" w:cs="宋体"/>
                <w:b w:val="0"/>
                <w:bCs w:val="0"/>
                <w:color w:val="auto"/>
                <w:sz w:val="24"/>
                <w:szCs w:val="24"/>
                <w:lang w:val="en-US" w:eastAsia="zh-CN" w:bidi="ar"/>
              </w:rPr>
              <w:t>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化学需氧量</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highlight w:val="none"/>
                <w:u w:val="none"/>
                <w:lang w:val="en-US" w:eastAsia="zh-CN"/>
              </w:rPr>
              <w:t>100</w:t>
            </w:r>
            <w:r>
              <w:rPr>
                <w:rFonts w:hint="eastAsia" w:ascii="宋体" w:hAnsi="宋体" w:eastAsia="宋体" w:cs="宋体"/>
                <w:color w:val="auto"/>
                <w:sz w:val="24"/>
                <w:szCs w:val="24"/>
                <w:highlight w:val="none"/>
                <w:lang w:val="en-US" w:eastAsia="zh-CN"/>
              </w:rPr>
              <w:t>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《污水综合排放标准（GB 8978-1996 ）》中表4其他排污单位的一级标准</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瞬时采样至少一个瞬时样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水质化学需氧量的测定重铬酸盐法</w:t>
            </w:r>
            <w:r>
              <w:rPr>
                <w:rStyle w:val="29"/>
                <w:rFonts w:hint="eastAsia" w:ascii="宋体" w:hAnsi="宋体" w:eastAsia="宋体" w:cs="宋体"/>
                <w:b w:val="0"/>
                <w:bCs w:val="0"/>
                <w:color w:val="auto"/>
                <w:sz w:val="24"/>
                <w:szCs w:val="24"/>
                <w:lang w:val="en-US" w:eastAsia="zh-CN" w:bidi="ar"/>
              </w:rPr>
              <w:t>HJ 828-2017</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FF0000"/>
                <w:sz w:val="24"/>
                <w:szCs w:val="24"/>
              </w:rPr>
              <w:t>4mg/L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COD消解装置</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4"/>
                <w:szCs w:val="24"/>
                <w:lang w:bidi="ar"/>
              </w:rPr>
              <w:t>HCl，pH≤2</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80" w:hRule="atLeast"/>
        </w:trPr>
        <w:tc>
          <w:tcPr>
            <w:tcW w:w="1209"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20913" w:type="dxa"/>
            <w:gridSpan w:val="18"/>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注：雨水排放口有流动水排放时按月监测，如监测一年无异常情况，可放宽至每季度开展一次监测</w:t>
            </w:r>
          </w:p>
        </w:tc>
      </w:tr>
    </w:tbl>
    <w:p>
      <w:pPr>
        <w:keepNext w:val="0"/>
        <w:keepLines w:val="0"/>
        <w:pageBreakBefore w:val="0"/>
        <w:kinsoku/>
        <w:wordWrap/>
        <w:overflowPunct/>
        <w:topLinePunct w:val="0"/>
        <w:autoSpaceDE/>
        <w:autoSpaceDN/>
        <w:bidi w:val="0"/>
        <w:adjustRightInd w:val="0"/>
        <w:snapToGrid w:val="0"/>
        <w:spacing w:before="250" w:beforeLines="80" w:after="0" w:line="240" w:lineRule="auto"/>
        <w:jc w:val="center"/>
        <w:rPr>
          <w:rFonts w:hint="eastAsia" w:ascii="宋体" w:hAnsi="宋体" w:eastAsia="宋体" w:cs="宋体"/>
          <w:b w:val="0"/>
          <w:bCs w:val="0"/>
          <w:color w:val="auto"/>
          <w:sz w:val="28"/>
          <w:szCs w:val="28"/>
          <w:lang w:val="en-US" w:eastAsia="zh-CN"/>
        </w:rPr>
        <w:sectPr>
          <w:pgSz w:w="23811" w:h="16838" w:orient="landscape"/>
          <w:pgMar w:top="1803" w:right="873" w:bottom="1803" w:left="87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pStyle w:val="7"/>
        <w:keepNext w:val="0"/>
        <w:keepLines w:val="0"/>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8"/>
          <w:szCs w:val="28"/>
          <w:lang w:val="en-US" w:eastAsia="zh-CN"/>
        </w:rPr>
      </w:pPr>
      <w:bookmarkStart w:id="1" w:name="SCLZXJCINFO"/>
    </w:p>
    <w:p>
      <w:pPr>
        <w:pStyle w:val="7"/>
        <w:keepNext w:val="0"/>
        <w:keepLines w:val="0"/>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3.污泥监测方案</w:t>
      </w:r>
    </w:p>
    <w:tbl>
      <w:tblPr>
        <w:tblStyle w:val="9"/>
        <w:tblpPr w:leftFromText="180" w:rightFromText="180" w:vertAnchor="text" w:horzAnchor="page" w:tblpX="1000" w:tblpY="542"/>
        <w:tblOverlap w:val="never"/>
        <w:tblW w:w="9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174"/>
        <w:gridCol w:w="1230"/>
        <w:gridCol w:w="3045"/>
        <w:gridCol w:w="1695"/>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181"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监测指标</w:t>
            </w:r>
          </w:p>
        </w:tc>
        <w:tc>
          <w:tcPr>
            <w:tcW w:w="1174"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监测频次</w:t>
            </w:r>
          </w:p>
        </w:tc>
        <w:tc>
          <w:tcPr>
            <w:tcW w:w="123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监测方式</w:t>
            </w:r>
          </w:p>
        </w:tc>
        <w:tc>
          <w:tcPr>
            <w:tcW w:w="304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监测方法</w:t>
            </w:r>
          </w:p>
        </w:tc>
        <w:tc>
          <w:tcPr>
            <w:tcW w:w="169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Style w:val="10"/>
                <w:rFonts w:hint="eastAsia" w:ascii="宋体" w:hAnsi="宋体" w:cs="宋体"/>
                <w:b w:val="0"/>
                <w:bCs w:val="0"/>
                <w:sz w:val="21"/>
                <w:szCs w:val="21"/>
                <w:lang w:val="en-US" w:eastAsia="zh-CN"/>
              </w:rPr>
              <w:t>排放限值</w:t>
            </w:r>
          </w:p>
        </w:tc>
        <w:tc>
          <w:tcPr>
            <w:tcW w:w="154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Fonts w:hint="eastAsia" w:ascii="宋体" w:hAnsi="宋体" w:cs="宋体"/>
                <w:sz w:val="21"/>
                <w:szCs w:val="21"/>
              </w:rPr>
              <w:t>手工检测设备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181"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含水量</w:t>
            </w:r>
          </w:p>
        </w:tc>
        <w:tc>
          <w:tcPr>
            <w:tcW w:w="1174"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日</w:t>
            </w:r>
          </w:p>
        </w:tc>
        <w:tc>
          <w:tcPr>
            <w:tcW w:w="123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手工</w:t>
            </w:r>
          </w:p>
        </w:tc>
        <w:tc>
          <w:tcPr>
            <w:tcW w:w="304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重量法CJ/T221-2005</w:t>
            </w:r>
          </w:p>
        </w:tc>
        <w:tc>
          <w:tcPr>
            <w:tcW w:w="1695"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1"/>
                <w:szCs w:val="21"/>
                <w:vertAlign w:val="baseline"/>
                <w:lang w:val="en-US" w:eastAsia="zh-CN"/>
              </w:rPr>
            </w:pPr>
            <w:r>
              <w:rPr>
                <w:rFonts w:hint="default" w:ascii="Arial" w:hAnsi="Arial" w:eastAsia="宋体" w:cs="Arial"/>
                <w:b w:val="0"/>
                <w:bCs w:val="0"/>
                <w:color w:val="auto"/>
                <w:sz w:val="21"/>
                <w:szCs w:val="21"/>
                <w:vertAlign w:val="baseline"/>
                <w:lang w:val="en-US" w:eastAsia="zh-CN"/>
              </w:rPr>
              <w:t>≤</w:t>
            </w:r>
            <w:r>
              <w:rPr>
                <w:rFonts w:hint="eastAsia" w:ascii="宋体" w:hAnsi="宋体" w:eastAsia="宋体" w:cs="宋体"/>
                <w:b w:val="0"/>
                <w:bCs w:val="0"/>
                <w:color w:val="auto"/>
                <w:sz w:val="21"/>
                <w:szCs w:val="21"/>
                <w:vertAlign w:val="baseline"/>
                <w:lang w:val="en-US" w:eastAsia="zh-CN"/>
              </w:rPr>
              <w:t>60%</w:t>
            </w:r>
          </w:p>
        </w:tc>
        <w:tc>
          <w:tcPr>
            <w:tcW w:w="154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sz w:val="21"/>
                <w:szCs w:val="21"/>
              </w:rPr>
              <w:t>千分之一天平</w:t>
            </w:r>
          </w:p>
        </w:tc>
      </w:tr>
    </w:tbl>
    <w:p>
      <w:pPr>
        <w:keepNext w:val="0"/>
        <w:keepLines w:val="0"/>
        <w:pageBreakBefore w:val="0"/>
        <w:numPr>
          <w:ilvl w:val="0"/>
          <w:numId w:val="3"/>
        </w:numPr>
        <w:kinsoku/>
        <w:wordWrap/>
        <w:overflowPunct/>
        <w:topLinePunct w:val="0"/>
        <w:autoSpaceDE/>
        <w:autoSpaceDN/>
        <w:bidi w:val="0"/>
        <w:spacing w:line="240" w:lineRule="auto"/>
        <w:jc w:val="both"/>
        <w:rPr>
          <w:rFonts w:hint="eastAsia" w:ascii="宋体" w:hAnsi="宋体" w:eastAsia="宋体" w:cs="宋体"/>
          <w:b w:val="0"/>
          <w:bCs w:val="0"/>
          <w:color w:val="auto"/>
          <w:kern w:val="28"/>
          <w:sz w:val="28"/>
          <w:szCs w:val="28"/>
          <w:lang w:val="en-US" w:eastAsia="zh-CN" w:bidi="ar-SA"/>
        </w:rPr>
      </w:pPr>
      <w:r>
        <w:rPr>
          <w:rFonts w:hint="eastAsia" w:ascii="宋体" w:hAnsi="宋体" w:eastAsia="宋体" w:cs="宋体"/>
          <w:b w:val="0"/>
          <w:bCs w:val="0"/>
          <w:color w:val="auto"/>
          <w:kern w:val="28"/>
          <w:sz w:val="28"/>
          <w:szCs w:val="28"/>
          <w:lang w:val="en-US" w:eastAsia="zh-CN" w:bidi="ar-SA"/>
        </w:rPr>
        <w:t>厂界噪声监测方案</w:t>
      </w:r>
    </w:p>
    <w:tbl>
      <w:tblPr>
        <w:tblStyle w:val="9"/>
        <w:tblpPr w:leftFromText="180" w:rightFromText="180" w:vertAnchor="text" w:horzAnchor="page" w:tblpX="1057" w:tblpY="224"/>
        <w:tblOverlap w:val="never"/>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071"/>
        <w:gridCol w:w="1786"/>
        <w:gridCol w:w="1227"/>
        <w:gridCol w:w="1399"/>
        <w:gridCol w:w="1273"/>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blHeader/>
        </w:trPr>
        <w:tc>
          <w:tcPr>
            <w:tcW w:w="99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监测点位</w:t>
            </w:r>
          </w:p>
        </w:tc>
        <w:tc>
          <w:tcPr>
            <w:tcW w:w="107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监测指标</w:t>
            </w:r>
          </w:p>
        </w:tc>
        <w:tc>
          <w:tcPr>
            <w:tcW w:w="1786"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240" w:firstLineChars="1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排放标准</w:t>
            </w:r>
          </w:p>
        </w:tc>
        <w:tc>
          <w:tcPr>
            <w:tcW w:w="1227"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排放限值</w:t>
            </w:r>
          </w:p>
        </w:tc>
        <w:tc>
          <w:tcPr>
            <w:tcW w:w="1399"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监测方式</w:t>
            </w:r>
          </w:p>
        </w:tc>
        <w:tc>
          <w:tcPr>
            <w:tcW w:w="1273"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监测频次</w:t>
            </w:r>
          </w:p>
        </w:tc>
        <w:tc>
          <w:tcPr>
            <w:tcW w:w="211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both"/>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东</w:t>
            </w:r>
            <w:r>
              <w:rPr>
                <w:rFonts w:hint="eastAsia" w:ascii="宋体" w:hAnsi="宋体" w:eastAsia="宋体" w:cs="宋体"/>
                <w:b w:val="0"/>
                <w:bCs w:val="0"/>
                <w:color w:val="auto"/>
                <w:sz w:val="24"/>
                <w:szCs w:val="24"/>
                <w:lang w:val="en-US" w:eastAsia="zh-CN"/>
              </w:rPr>
              <w:t>ZS001</w:t>
            </w:r>
          </w:p>
        </w:tc>
        <w:tc>
          <w:tcPr>
            <w:tcW w:w="107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等效连续A声级</w:t>
            </w:r>
          </w:p>
        </w:tc>
        <w:tc>
          <w:tcPr>
            <w:tcW w:w="1786" w:type="dxa"/>
            <w:vAlign w:val="center"/>
          </w:tcPr>
          <w:p>
            <w:pPr>
              <w:keepNext w:val="0"/>
              <w:keepLines w:val="0"/>
              <w:suppressLineNumbers w:val="0"/>
              <w:snapToGrid w:val="0"/>
              <w:spacing w:before="0" w:beforeAutospacing="0" w:after="0" w:afterAutospacing="0"/>
              <w:ind w:left="0" w:right="0"/>
              <w:contextualSpacing/>
              <w:jc w:val="center"/>
              <w:rPr>
                <w:rFonts w:hint="default" w:ascii="宋体" w:hAnsi="宋体" w:eastAsia="宋体" w:cs="宋体"/>
                <w:sz w:val="24"/>
                <w:szCs w:val="24"/>
                <w:lang w:val="en-US" w:eastAsia="zh-CN"/>
              </w:rPr>
            </w:pPr>
            <w:r>
              <w:rPr>
                <w:rFonts w:hint="eastAsia" w:ascii="宋体" w:hAnsi="宋体" w:eastAsia="宋体" w:cs="宋体"/>
                <w:sz w:val="21"/>
                <w:szCs w:val="21"/>
              </w:rPr>
              <w:t>工业企业厂界环境噪声排放标准 GB 12348-2008</w:t>
            </w:r>
            <w:r>
              <w:rPr>
                <w:rFonts w:hint="eastAsia" w:ascii="宋体" w:hAnsi="宋体" w:eastAsia="宋体" w:cs="宋体"/>
                <w:sz w:val="21"/>
                <w:szCs w:val="21"/>
                <w:lang w:val="en-US" w:eastAsia="zh-CN"/>
              </w:rPr>
              <w:t xml:space="preserve"> 2类排放标准</w:t>
            </w:r>
          </w:p>
        </w:tc>
        <w:tc>
          <w:tcPr>
            <w:tcW w:w="1227" w:type="dxa"/>
            <w:vAlign w:val="center"/>
          </w:tcPr>
          <w:p>
            <w:pPr>
              <w:keepNext w:val="0"/>
              <w:keepLines w:val="0"/>
              <w:suppressLineNumbers w:val="0"/>
              <w:snapToGrid w:val="0"/>
              <w:spacing w:before="0" w:beforeAutospacing="0" w:after="0" w:afterAutospacing="0"/>
              <w:ind w:left="0" w:right="0"/>
              <w:contextualSpacing/>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昼间60dB夜间50dB</w:t>
            </w:r>
          </w:p>
        </w:tc>
        <w:tc>
          <w:tcPr>
            <w:tcW w:w="1399"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1273"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1次/1季度</w:t>
            </w:r>
          </w:p>
        </w:tc>
        <w:tc>
          <w:tcPr>
            <w:tcW w:w="211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工业企业厂界环境噪声排放标准 GB12348-2008</w:t>
            </w:r>
            <w:r>
              <w:rPr>
                <w:rFonts w:hint="eastAsia" w:ascii="宋体" w:hAnsi="宋体" w:eastAsia="宋体" w:cs="宋体"/>
                <w:b w:val="0"/>
                <w:bCs w:val="0"/>
                <w:color w:val="auto"/>
                <w:sz w:val="24"/>
                <w:szCs w:val="24"/>
                <w:lang w:val="en-US" w:eastAsia="zh-CN"/>
              </w:rPr>
              <w:t xml:space="preserve"> 2类排放标准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both"/>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南</w:t>
            </w:r>
            <w:r>
              <w:rPr>
                <w:rFonts w:hint="eastAsia" w:ascii="宋体" w:hAnsi="宋体" w:eastAsia="宋体" w:cs="宋体"/>
                <w:b w:val="0"/>
                <w:bCs w:val="0"/>
                <w:color w:val="auto"/>
                <w:sz w:val="24"/>
                <w:szCs w:val="24"/>
                <w:lang w:val="en-US" w:eastAsia="zh-CN"/>
              </w:rPr>
              <w:t>ZS002</w:t>
            </w:r>
          </w:p>
        </w:tc>
        <w:tc>
          <w:tcPr>
            <w:tcW w:w="107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等效连续A声级</w:t>
            </w:r>
          </w:p>
        </w:tc>
        <w:tc>
          <w:tcPr>
            <w:tcW w:w="1786" w:type="dxa"/>
            <w:vAlign w:val="center"/>
          </w:tcPr>
          <w:p>
            <w:pPr>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4"/>
                <w:szCs w:val="24"/>
              </w:rPr>
            </w:pPr>
            <w:r>
              <w:rPr>
                <w:rFonts w:hint="eastAsia" w:ascii="宋体" w:hAnsi="宋体" w:eastAsia="宋体" w:cs="宋体"/>
                <w:sz w:val="21"/>
                <w:szCs w:val="21"/>
              </w:rPr>
              <w:t>工业企业厂界环境噪声排放标准 GB 12348-2008</w:t>
            </w:r>
            <w:r>
              <w:rPr>
                <w:rFonts w:hint="eastAsia" w:ascii="宋体" w:hAnsi="宋体" w:eastAsia="宋体" w:cs="宋体"/>
                <w:sz w:val="21"/>
                <w:szCs w:val="21"/>
                <w:lang w:val="en-US" w:eastAsia="zh-CN"/>
              </w:rPr>
              <w:t xml:space="preserve"> 2类排放标准</w:t>
            </w:r>
          </w:p>
        </w:tc>
        <w:tc>
          <w:tcPr>
            <w:tcW w:w="1227" w:type="dxa"/>
            <w:vAlign w:val="center"/>
          </w:tcPr>
          <w:p>
            <w:pPr>
              <w:keepNext w:val="0"/>
              <w:keepLines w:val="0"/>
              <w:suppressLineNumbers w:val="0"/>
              <w:snapToGrid w:val="0"/>
              <w:spacing w:before="0" w:beforeAutospacing="0" w:after="0" w:afterAutospacing="0"/>
              <w:ind w:left="0" w:right="0"/>
              <w:contextualSpacing/>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昼间60dB夜间50dB</w:t>
            </w:r>
          </w:p>
        </w:tc>
        <w:tc>
          <w:tcPr>
            <w:tcW w:w="1399"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1273"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1次/1季度</w:t>
            </w:r>
          </w:p>
        </w:tc>
        <w:tc>
          <w:tcPr>
            <w:tcW w:w="211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工业企业厂界环境噪声排放标准 GB12348-2008</w:t>
            </w:r>
            <w:r>
              <w:rPr>
                <w:rFonts w:hint="eastAsia" w:ascii="宋体" w:hAnsi="宋体" w:eastAsia="宋体" w:cs="宋体"/>
                <w:b w:val="0"/>
                <w:bCs w:val="0"/>
                <w:color w:val="auto"/>
                <w:sz w:val="24"/>
                <w:szCs w:val="24"/>
                <w:lang w:val="en-US" w:eastAsia="zh-CN"/>
              </w:rPr>
              <w:t xml:space="preserve"> 2类排放标准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both"/>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西</w:t>
            </w:r>
            <w:r>
              <w:rPr>
                <w:rFonts w:hint="eastAsia" w:ascii="宋体" w:hAnsi="宋体" w:eastAsia="宋体" w:cs="宋体"/>
                <w:b w:val="0"/>
                <w:bCs w:val="0"/>
                <w:color w:val="auto"/>
                <w:sz w:val="24"/>
                <w:szCs w:val="24"/>
                <w:lang w:val="en-US" w:eastAsia="zh-CN"/>
              </w:rPr>
              <w:t>ZS003</w:t>
            </w:r>
          </w:p>
        </w:tc>
        <w:tc>
          <w:tcPr>
            <w:tcW w:w="107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等效连续A声级</w:t>
            </w:r>
          </w:p>
        </w:tc>
        <w:tc>
          <w:tcPr>
            <w:tcW w:w="1786"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both"/>
              <w:rPr>
                <w:rFonts w:hint="eastAsia" w:ascii="宋体" w:hAnsi="宋体" w:eastAsia="宋体" w:cs="宋体"/>
                <w:sz w:val="24"/>
                <w:szCs w:val="24"/>
              </w:rPr>
            </w:pPr>
            <w:r>
              <w:rPr>
                <w:rFonts w:hint="eastAsia" w:ascii="宋体" w:hAnsi="宋体" w:eastAsia="宋体" w:cs="宋体"/>
                <w:sz w:val="21"/>
                <w:szCs w:val="21"/>
              </w:rPr>
              <w:t>工业企业厂界环境噪声排放标准 GB 12348-2008</w:t>
            </w:r>
            <w:r>
              <w:rPr>
                <w:rFonts w:hint="eastAsia" w:ascii="宋体" w:hAnsi="宋体" w:eastAsia="宋体" w:cs="宋体"/>
                <w:sz w:val="21"/>
                <w:szCs w:val="21"/>
                <w:lang w:val="en-US" w:eastAsia="zh-CN"/>
              </w:rPr>
              <w:t xml:space="preserve"> 2类排放标准</w:t>
            </w:r>
          </w:p>
        </w:tc>
        <w:tc>
          <w:tcPr>
            <w:tcW w:w="1227"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sz w:val="24"/>
                <w:szCs w:val="24"/>
              </w:rPr>
              <w:t>昼间60dB夜间50dB</w:t>
            </w:r>
          </w:p>
        </w:tc>
        <w:tc>
          <w:tcPr>
            <w:tcW w:w="1399"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1273"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1次/1季度</w:t>
            </w:r>
          </w:p>
        </w:tc>
        <w:tc>
          <w:tcPr>
            <w:tcW w:w="211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工业企业厂界环境噪声排放标准 GB12348-2008</w:t>
            </w:r>
            <w:r>
              <w:rPr>
                <w:rFonts w:hint="eastAsia" w:ascii="宋体" w:hAnsi="宋体" w:eastAsia="宋体" w:cs="宋体"/>
                <w:b w:val="0"/>
                <w:bCs w:val="0"/>
                <w:color w:val="auto"/>
                <w:sz w:val="24"/>
                <w:szCs w:val="24"/>
                <w:lang w:val="en-US" w:eastAsia="zh-CN"/>
              </w:rPr>
              <w:t xml:space="preserve"> 2类排放标准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both"/>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北</w:t>
            </w:r>
            <w:r>
              <w:rPr>
                <w:rFonts w:hint="eastAsia" w:ascii="宋体" w:hAnsi="宋体" w:eastAsia="宋体" w:cs="宋体"/>
                <w:b w:val="0"/>
                <w:bCs w:val="0"/>
                <w:color w:val="auto"/>
                <w:sz w:val="24"/>
                <w:szCs w:val="24"/>
                <w:lang w:val="en-US" w:eastAsia="zh-CN"/>
              </w:rPr>
              <w:t>ZS004</w:t>
            </w:r>
          </w:p>
        </w:tc>
        <w:tc>
          <w:tcPr>
            <w:tcW w:w="107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等效连续A声级</w:t>
            </w:r>
          </w:p>
        </w:tc>
        <w:tc>
          <w:tcPr>
            <w:tcW w:w="1786"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both"/>
              <w:rPr>
                <w:rFonts w:hint="eastAsia" w:ascii="宋体" w:hAnsi="宋体" w:eastAsia="宋体" w:cs="宋体"/>
                <w:sz w:val="24"/>
                <w:szCs w:val="24"/>
              </w:rPr>
            </w:pPr>
            <w:r>
              <w:rPr>
                <w:rFonts w:hint="eastAsia" w:ascii="宋体" w:hAnsi="宋体" w:eastAsia="宋体" w:cs="宋体"/>
                <w:sz w:val="21"/>
                <w:szCs w:val="21"/>
              </w:rPr>
              <w:t>工业企业厂界环境噪声排放标准 GB 12348-2008</w:t>
            </w:r>
            <w:r>
              <w:rPr>
                <w:rFonts w:hint="eastAsia" w:ascii="宋体" w:hAnsi="宋体" w:eastAsia="宋体" w:cs="宋体"/>
                <w:sz w:val="21"/>
                <w:szCs w:val="21"/>
                <w:lang w:val="en-US" w:eastAsia="zh-CN"/>
              </w:rPr>
              <w:t xml:space="preserve"> 2类排放标准</w:t>
            </w:r>
          </w:p>
        </w:tc>
        <w:tc>
          <w:tcPr>
            <w:tcW w:w="1227"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sz w:val="24"/>
                <w:szCs w:val="24"/>
              </w:rPr>
              <w:t>昼间60dB夜间50dB</w:t>
            </w:r>
          </w:p>
        </w:tc>
        <w:tc>
          <w:tcPr>
            <w:tcW w:w="1399"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1273"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1次/1季度</w:t>
            </w:r>
          </w:p>
        </w:tc>
        <w:tc>
          <w:tcPr>
            <w:tcW w:w="211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工业企业厂界环境噪声排放标准 GB12348-2008</w:t>
            </w:r>
            <w:r>
              <w:rPr>
                <w:rFonts w:hint="eastAsia" w:ascii="宋体" w:hAnsi="宋体" w:eastAsia="宋体" w:cs="宋体"/>
                <w:b w:val="0"/>
                <w:bCs w:val="0"/>
                <w:color w:val="auto"/>
                <w:sz w:val="24"/>
                <w:szCs w:val="24"/>
                <w:lang w:val="en-US" w:eastAsia="zh-CN"/>
              </w:rPr>
              <w:t xml:space="preserve"> 2类排放标准</w:t>
            </w:r>
          </w:p>
        </w:tc>
      </w:tr>
      <w:bookmarkEnd w:id="1"/>
    </w:tbl>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8"/>
          <w:szCs w:val="28"/>
          <w:lang w:val="en-US"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val="en-US" w:eastAsia="zh-CN"/>
        </w:rPr>
        <w:t>五、</w:t>
      </w:r>
      <w:r>
        <w:rPr>
          <w:rFonts w:hint="eastAsia" w:ascii="宋体" w:hAnsi="宋体" w:eastAsia="宋体" w:cs="宋体"/>
          <w:b/>
          <w:bCs/>
          <w:color w:val="auto"/>
          <w:sz w:val="28"/>
          <w:szCs w:val="28"/>
          <w:lang w:eastAsia="zh-CN"/>
        </w:rPr>
        <w:t>企业在线监测设备信息</w:t>
      </w:r>
    </w:p>
    <w:p>
      <w:pPr>
        <w:pStyle w:val="17"/>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lang w:eastAsia="zh-CN"/>
        </w:rPr>
        <w:t>自动监测设备</w:t>
      </w:r>
    </w:p>
    <w:tbl>
      <w:tblPr>
        <w:tblStyle w:val="9"/>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3"/>
        <w:gridCol w:w="1715"/>
        <w:gridCol w:w="805"/>
        <w:gridCol w:w="630"/>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监测设备名称</w:t>
            </w:r>
          </w:p>
        </w:tc>
        <w:tc>
          <w:tcPr>
            <w:tcW w:w="171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型号</w:t>
            </w:r>
          </w:p>
        </w:tc>
        <w:tc>
          <w:tcPr>
            <w:tcW w:w="80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数量</w:t>
            </w:r>
          </w:p>
        </w:tc>
        <w:tc>
          <w:tcPr>
            <w:tcW w:w="63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单位</w:t>
            </w:r>
          </w:p>
        </w:tc>
        <w:tc>
          <w:tcPr>
            <w:tcW w:w="25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出水</w:t>
            </w:r>
            <w:r>
              <w:rPr>
                <w:rFonts w:hint="eastAsia" w:ascii="宋体" w:hAnsi="宋体" w:eastAsia="宋体" w:cs="宋体"/>
                <w:b w:val="0"/>
                <w:bCs w:val="0"/>
                <w:color w:val="auto"/>
                <w:sz w:val="24"/>
                <w:szCs w:val="24"/>
              </w:rPr>
              <w:t>氨氮在线监测设备</w:t>
            </w:r>
          </w:p>
        </w:tc>
        <w:tc>
          <w:tcPr>
            <w:tcW w:w="171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NA8000</w:t>
            </w:r>
          </w:p>
        </w:tc>
        <w:tc>
          <w:tcPr>
            <w:tcW w:w="805"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63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台</w:t>
            </w:r>
          </w:p>
        </w:tc>
        <w:tc>
          <w:tcPr>
            <w:tcW w:w="2533"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eastAsia="zh-CN"/>
              </w:rPr>
              <w:t>哈希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出水</w:t>
            </w:r>
            <w:r>
              <w:rPr>
                <w:rFonts w:hint="eastAsia" w:ascii="宋体" w:hAnsi="宋体" w:eastAsia="宋体" w:cs="宋体"/>
                <w:b w:val="0"/>
                <w:bCs w:val="0"/>
                <w:color w:val="auto"/>
                <w:sz w:val="24"/>
                <w:szCs w:val="24"/>
                <w:lang w:val="en-US" w:eastAsia="zh-CN"/>
              </w:rPr>
              <w:t>p</w:t>
            </w:r>
            <w:r>
              <w:rPr>
                <w:rFonts w:hint="eastAsia" w:ascii="宋体" w:hAnsi="宋体" w:eastAsia="宋体" w:cs="宋体"/>
                <w:b w:val="0"/>
                <w:bCs w:val="0"/>
                <w:color w:val="auto"/>
                <w:sz w:val="24"/>
                <w:szCs w:val="24"/>
              </w:rPr>
              <w:t>H</w:t>
            </w:r>
            <w:r>
              <w:rPr>
                <w:rFonts w:hint="eastAsia" w:ascii="宋体" w:hAnsi="宋体" w:eastAsia="宋体" w:cs="宋体"/>
                <w:b w:val="0"/>
                <w:bCs w:val="0"/>
                <w:color w:val="auto"/>
                <w:sz w:val="24"/>
                <w:szCs w:val="24"/>
                <w:lang w:val="en-US" w:eastAsia="zh-CN"/>
              </w:rPr>
              <w:t>/T</w:t>
            </w:r>
            <w:r>
              <w:rPr>
                <w:rFonts w:hint="eastAsia" w:ascii="宋体" w:hAnsi="宋体" w:eastAsia="宋体" w:cs="宋体"/>
                <w:b w:val="0"/>
                <w:bCs w:val="0"/>
                <w:color w:val="auto"/>
                <w:sz w:val="24"/>
                <w:szCs w:val="24"/>
              </w:rPr>
              <w:t>在线监测设备</w:t>
            </w:r>
          </w:p>
        </w:tc>
        <w:tc>
          <w:tcPr>
            <w:tcW w:w="171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sc200</w:t>
            </w:r>
          </w:p>
        </w:tc>
        <w:tc>
          <w:tcPr>
            <w:tcW w:w="805"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63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台</w:t>
            </w:r>
          </w:p>
        </w:tc>
        <w:tc>
          <w:tcPr>
            <w:tcW w:w="25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哈希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出水</w:t>
            </w:r>
            <w:r>
              <w:rPr>
                <w:rFonts w:hint="eastAsia" w:ascii="宋体" w:hAnsi="宋体" w:eastAsia="宋体" w:cs="宋体"/>
                <w:b w:val="0"/>
                <w:bCs w:val="0"/>
                <w:color w:val="auto"/>
                <w:sz w:val="24"/>
                <w:szCs w:val="24"/>
              </w:rPr>
              <w:t>总磷总氮在线监测设备</w:t>
            </w:r>
          </w:p>
        </w:tc>
        <w:tc>
          <w:tcPr>
            <w:tcW w:w="171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NPW160H</w:t>
            </w:r>
          </w:p>
        </w:tc>
        <w:tc>
          <w:tcPr>
            <w:tcW w:w="805"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630"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台</w:t>
            </w:r>
          </w:p>
        </w:tc>
        <w:tc>
          <w:tcPr>
            <w:tcW w:w="25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哈希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3" w:type="dxa"/>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出水</w:t>
            </w:r>
            <w:r>
              <w:rPr>
                <w:rFonts w:hint="eastAsia" w:ascii="宋体" w:hAnsi="宋体" w:eastAsia="宋体" w:cs="宋体"/>
                <w:b w:val="0"/>
                <w:bCs w:val="0"/>
                <w:color w:val="auto"/>
                <w:sz w:val="24"/>
                <w:szCs w:val="24"/>
              </w:rPr>
              <w:t>COD在线监测设备</w:t>
            </w:r>
          </w:p>
        </w:tc>
        <w:tc>
          <w:tcPr>
            <w:tcW w:w="171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CODMaxll</w:t>
            </w:r>
          </w:p>
        </w:tc>
        <w:tc>
          <w:tcPr>
            <w:tcW w:w="805"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630"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台</w:t>
            </w:r>
          </w:p>
        </w:tc>
        <w:tc>
          <w:tcPr>
            <w:tcW w:w="25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lang w:eastAsia="zh-CN"/>
              </w:rPr>
              <w:t>哈希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eastAsia="zh-CN"/>
              </w:rPr>
              <w:t>进水</w:t>
            </w:r>
            <w:r>
              <w:rPr>
                <w:rFonts w:hint="eastAsia" w:ascii="宋体" w:hAnsi="宋体" w:eastAsia="宋体" w:cs="宋体"/>
                <w:b w:val="0"/>
                <w:bCs w:val="0"/>
                <w:color w:val="auto"/>
                <w:sz w:val="24"/>
                <w:szCs w:val="24"/>
              </w:rPr>
              <w:t>氨氮在线监测设备</w:t>
            </w:r>
          </w:p>
        </w:tc>
        <w:tc>
          <w:tcPr>
            <w:tcW w:w="171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NA8000</w:t>
            </w:r>
          </w:p>
        </w:tc>
        <w:tc>
          <w:tcPr>
            <w:tcW w:w="805"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630"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台</w:t>
            </w:r>
          </w:p>
        </w:tc>
        <w:tc>
          <w:tcPr>
            <w:tcW w:w="2533"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eastAsia="zh-CN"/>
              </w:rPr>
              <w:t>哈希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eastAsia="zh-CN"/>
              </w:rPr>
              <w:t>进水</w:t>
            </w:r>
            <w:r>
              <w:rPr>
                <w:rFonts w:hint="eastAsia" w:ascii="宋体" w:hAnsi="宋体" w:eastAsia="宋体" w:cs="宋体"/>
                <w:b w:val="0"/>
                <w:bCs w:val="0"/>
                <w:color w:val="auto"/>
                <w:sz w:val="24"/>
                <w:szCs w:val="24"/>
              </w:rPr>
              <w:t>COD在线监测设备</w:t>
            </w:r>
          </w:p>
        </w:tc>
        <w:tc>
          <w:tcPr>
            <w:tcW w:w="171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CODMaxll</w:t>
            </w:r>
          </w:p>
        </w:tc>
        <w:tc>
          <w:tcPr>
            <w:tcW w:w="805"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630"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台</w:t>
            </w:r>
          </w:p>
        </w:tc>
        <w:tc>
          <w:tcPr>
            <w:tcW w:w="2533"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eastAsia="zh-CN"/>
              </w:rPr>
              <w:t>哈希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eastAsia="zh-CN"/>
              </w:rPr>
              <w:t>进水</w:t>
            </w:r>
            <w:r>
              <w:rPr>
                <w:rFonts w:hint="eastAsia" w:ascii="宋体" w:hAnsi="宋体" w:eastAsia="宋体" w:cs="宋体"/>
                <w:b w:val="0"/>
                <w:bCs w:val="0"/>
                <w:color w:val="auto"/>
                <w:sz w:val="24"/>
                <w:szCs w:val="24"/>
                <w:lang w:val="en-US" w:eastAsia="zh-CN"/>
              </w:rPr>
              <w:t>p</w:t>
            </w:r>
            <w:r>
              <w:rPr>
                <w:rFonts w:hint="eastAsia" w:ascii="宋体" w:hAnsi="宋体" w:eastAsia="宋体" w:cs="宋体"/>
                <w:b w:val="0"/>
                <w:bCs w:val="0"/>
                <w:color w:val="auto"/>
                <w:sz w:val="24"/>
                <w:szCs w:val="24"/>
              </w:rPr>
              <w:t>H</w:t>
            </w:r>
            <w:r>
              <w:rPr>
                <w:rFonts w:hint="eastAsia" w:ascii="宋体" w:hAnsi="宋体" w:eastAsia="宋体" w:cs="宋体"/>
                <w:b w:val="0"/>
                <w:bCs w:val="0"/>
                <w:color w:val="auto"/>
                <w:sz w:val="24"/>
                <w:szCs w:val="24"/>
                <w:lang w:val="en-US" w:eastAsia="zh-CN"/>
              </w:rPr>
              <w:t>/T</w:t>
            </w:r>
            <w:r>
              <w:rPr>
                <w:rFonts w:hint="eastAsia" w:ascii="宋体" w:hAnsi="宋体" w:eastAsia="宋体" w:cs="宋体"/>
                <w:b w:val="0"/>
                <w:bCs w:val="0"/>
                <w:color w:val="auto"/>
                <w:sz w:val="24"/>
                <w:szCs w:val="24"/>
              </w:rPr>
              <w:t>在线监测设备</w:t>
            </w:r>
          </w:p>
        </w:tc>
        <w:tc>
          <w:tcPr>
            <w:tcW w:w="171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sc200</w:t>
            </w:r>
          </w:p>
        </w:tc>
        <w:tc>
          <w:tcPr>
            <w:tcW w:w="805"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630"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台</w:t>
            </w:r>
          </w:p>
        </w:tc>
        <w:tc>
          <w:tcPr>
            <w:tcW w:w="2533"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eastAsia="zh-CN"/>
              </w:rPr>
              <w:t>哈希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83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进水流量计</w:t>
            </w:r>
          </w:p>
        </w:tc>
        <w:tc>
          <w:tcPr>
            <w:tcW w:w="171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仿宋_GB2312" w:hAnsi="Times New Roman" w:eastAsia="仿宋_GB2312" w:cs="Times New Roman"/>
                <w:color w:val="auto"/>
                <w:kern w:val="2"/>
                <w:sz w:val="24"/>
                <w:szCs w:val="24"/>
                <w:lang w:val="en-US" w:eastAsia="zh-CN" w:bidi="ar"/>
              </w:rPr>
              <w:t>DN800</w:t>
            </w:r>
          </w:p>
        </w:tc>
        <w:tc>
          <w:tcPr>
            <w:tcW w:w="805" w:type="dxa"/>
          </w:tcPr>
          <w:p>
            <w:pPr>
              <w:keepNext w:val="0"/>
              <w:keepLines w:val="0"/>
              <w:pageBreakBefore w:val="0"/>
              <w:kinsoku/>
              <w:wordWrap/>
              <w:overflowPunct/>
              <w:topLinePunct w:val="0"/>
              <w:autoSpaceDE/>
              <w:autoSpaceDN/>
              <w:bidi w:val="0"/>
              <w:spacing w:line="240" w:lineRule="auto"/>
              <w:rPr>
                <w:rFonts w:hint="default" w:ascii="仿宋_GB2312" w:hAnsi="Times New Roman" w:eastAsia="仿宋_GB2312" w:cs="Times New Roman"/>
                <w:color w:val="auto"/>
                <w:kern w:val="2"/>
                <w:sz w:val="24"/>
                <w:szCs w:val="24"/>
                <w:lang w:val="en-US" w:eastAsia="zh-CN" w:bidi="ar"/>
              </w:rPr>
            </w:pPr>
            <w:r>
              <w:rPr>
                <w:rFonts w:hint="eastAsia" w:ascii="仿宋_GB2312" w:hAnsi="Times New Roman" w:eastAsia="仿宋_GB2312" w:cs="Times New Roman"/>
                <w:color w:val="auto"/>
                <w:kern w:val="2"/>
                <w:sz w:val="24"/>
                <w:szCs w:val="24"/>
                <w:lang w:val="en-US" w:eastAsia="zh-CN" w:bidi="ar"/>
              </w:rPr>
              <w:t>1</w:t>
            </w:r>
          </w:p>
        </w:tc>
        <w:tc>
          <w:tcPr>
            <w:tcW w:w="630"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台</w:t>
            </w:r>
          </w:p>
        </w:tc>
        <w:tc>
          <w:tcPr>
            <w:tcW w:w="25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rPr>
            </w:pPr>
            <w:r>
              <w:rPr>
                <w:rFonts w:ascii="宋体" w:hAnsi="宋体" w:eastAsia="宋体" w:cs="宋体"/>
                <w:sz w:val="24"/>
                <w:szCs w:val="24"/>
              </w:rPr>
              <w:t>威尔泰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83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进水流量计</w:t>
            </w:r>
          </w:p>
        </w:tc>
        <w:tc>
          <w:tcPr>
            <w:tcW w:w="1715" w:type="dxa"/>
          </w:tcPr>
          <w:p>
            <w:pPr>
              <w:keepNext w:val="0"/>
              <w:keepLines w:val="0"/>
              <w:pageBreakBefore w:val="0"/>
              <w:kinsoku/>
              <w:wordWrap/>
              <w:overflowPunct/>
              <w:topLinePunct w:val="0"/>
              <w:autoSpaceDE/>
              <w:autoSpaceDN/>
              <w:bidi w:val="0"/>
              <w:spacing w:line="240" w:lineRule="auto"/>
              <w:rPr>
                <w:rFonts w:hint="eastAsia" w:ascii="仿宋_GB2312" w:hAnsi="Times New Roman" w:eastAsia="仿宋_GB2312" w:cs="Times New Roman"/>
                <w:color w:val="auto"/>
                <w:kern w:val="2"/>
                <w:sz w:val="24"/>
                <w:szCs w:val="24"/>
                <w:lang w:val="en-US" w:eastAsia="zh-CN" w:bidi="ar"/>
              </w:rPr>
            </w:pPr>
            <w:r>
              <w:rPr>
                <w:rFonts w:hint="eastAsia" w:ascii="仿宋_GB2312" w:hAnsi="Times New Roman" w:eastAsia="仿宋_GB2312" w:cs="Times New Roman"/>
                <w:color w:val="auto"/>
                <w:kern w:val="2"/>
                <w:sz w:val="24"/>
                <w:szCs w:val="24"/>
                <w:lang w:val="en-US" w:eastAsia="zh-CN" w:bidi="ar"/>
              </w:rPr>
              <w:t>OPTIFLUX2050W  DN700PN10</w:t>
            </w:r>
          </w:p>
        </w:tc>
        <w:tc>
          <w:tcPr>
            <w:tcW w:w="805" w:type="dxa"/>
          </w:tcPr>
          <w:p>
            <w:pPr>
              <w:keepNext w:val="0"/>
              <w:keepLines w:val="0"/>
              <w:pageBreakBefore w:val="0"/>
              <w:kinsoku/>
              <w:wordWrap/>
              <w:overflowPunct/>
              <w:topLinePunct w:val="0"/>
              <w:autoSpaceDE/>
              <w:autoSpaceDN/>
              <w:bidi w:val="0"/>
              <w:spacing w:line="240" w:lineRule="auto"/>
              <w:rPr>
                <w:rFonts w:hint="default" w:ascii="仿宋_GB2312" w:hAnsi="Times New Roman" w:eastAsia="仿宋_GB2312" w:cs="Times New Roman"/>
                <w:color w:val="auto"/>
                <w:kern w:val="2"/>
                <w:sz w:val="24"/>
                <w:szCs w:val="24"/>
                <w:lang w:val="en-US" w:eastAsia="zh-CN" w:bidi="ar"/>
              </w:rPr>
            </w:pPr>
            <w:r>
              <w:rPr>
                <w:rFonts w:hint="eastAsia" w:ascii="仿宋_GB2312" w:hAnsi="Times New Roman" w:eastAsia="仿宋_GB2312" w:cs="Times New Roman"/>
                <w:color w:val="auto"/>
                <w:kern w:val="2"/>
                <w:sz w:val="24"/>
                <w:szCs w:val="24"/>
                <w:lang w:val="en-US" w:eastAsia="zh-CN" w:bidi="ar"/>
              </w:rPr>
              <w:t>1</w:t>
            </w:r>
          </w:p>
        </w:tc>
        <w:tc>
          <w:tcPr>
            <w:tcW w:w="630"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台</w:t>
            </w:r>
          </w:p>
        </w:tc>
        <w:tc>
          <w:tcPr>
            <w:tcW w:w="2533" w:type="dxa"/>
          </w:tcPr>
          <w:p>
            <w:pPr>
              <w:keepNext w:val="0"/>
              <w:keepLines w:val="0"/>
              <w:pageBreakBefore w:val="0"/>
              <w:kinsoku/>
              <w:wordWrap/>
              <w:overflowPunct/>
              <w:topLinePunct w:val="0"/>
              <w:autoSpaceDE/>
              <w:autoSpaceDN/>
              <w:bidi w:val="0"/>
              <w:spacing w:line="240" w:lineRule="auto"/>
              <w:rPr>
                <w:rFonts w:ascii="宋体" w:hAnsi="宋体" w:eastAsia="宋体" w:cs="宋体"/>
                <w:sz w:val="24"/>
                <w:szCs w:val="24"/>
              </w:rPr>
            </w:pPr>
            <w:r>
              <w:rPr>
                <w:rFonts w:ascii="宋体" w:hAnsi="宋体" w:eastAsia="宋体" w:cs="宋体"/>
                <w:sz w:val="24"/>
                <w:szCs w:val="24"/>
              </w:rPr>
              <w:t>科隆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83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出水流量计</w:t>
            </w:r>
          </w:p>
        </w:tc>
        <w:tc>
          <w:tcPr>
            <w:tcW w:w="171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仿宋_GB2312" w:hAnsi="Times New Roman" w:eastAsia="仿宋_GB2312" w:cs="Times New Roman"/>
                <w:color w:val="auto"/>
                <w:kern w:val="2"/>
                <w:sz w:val="24"/>
                <w:szCs w:val="24"/>
                <w:lang w:val="en-US" w:eastAsia="zh-CN" w:bidi="ar"/>
              </w:rPr>
              <w:t>OPTIFLUX2050W  DN1000PN10</w:t>
            </w:r>
          </w:p>
        </w:tc>
        <w:tc>
          <w:tcPr>
            <w:tcW w:w="805" w:type="dxa"/>
          </w:tcPr>
          <w:p>
            <w:pPr>
              <w:keepNext w:val="0"/>
              <w:keepLines w:val="0"/>
              <w:pageBreakBefore w:val="0"/>
              <w:kinsoku/>
              <w:wordWrap/>
              <w:overflowPunct/>
              <w:topLinePunct w:val="0"/>
              <w:autoSpaceDE/>
              <w:autoSpaceDN/>
              <w:bidi w:val="0"/>
              <w:spacing w:line="240" w:lineRule="auto"/>
              <w:rPr>
                <w:rFonts w:hint="default" w:ascii="仿宋_GB2312" w:hAnsi="Times New Roman" w:eastAsia="仿宋_GB2312" w:cs="Times New Roman"/>
                <w:color w:val="auto"/>
                <w:kern w:val="2"/>
                <w:sz w:val="24"/>
                <w:szCs w:val="24"/>
                <w:lang w:val="en-US" w:eastAsia="zh-CN" w:bidi="ar"/>
              </w:rPr>
            </w:pPr>
            <w:r>
              <w:rPr>
                <w:rFonts w:hint="eastAsia" w:ascii="仿宋_GB2312" w:hAnsi="Times New Roman" w:eastAsia="仿宋_GB2312" w:cs="Times New Roman"/>
                <w:color w:val="auto"/>
                <w:kern w:val="2"/>
                <w:sz w:val="24"/>
                <w:szCs w:val="24"/>
                <w:lang w:val="en-US" w:eastAsia="zh-CN" w:bidi="ar"/>
              </w:rPr>
              <w:t>1</w:t>
            </w:r>
          </w:p>
        </w:tc>
        <w:tc>
          <w:tcPr>
            <w:tcW w:w="630"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台</w:t>
            </w:r>
          </w:p>
        </w:tc>
        <w:tc>
          <w:tcPr>
            <w:tcW w:w="25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rPr>
            </w:pPr>
            <w:r>
              <w:rPr>
                <w:rFonts w:ascii="宋体" w:hAnsi="宋体" w:eastAsia="宋体" w:cs="宋体"/>
                <w:sz w:val="24"/>
                <w:szCs w:val="24"/>
              </w:rPr>
              <w:t>科隆</w:t>
            </w:r>
          </w:p>
        </w:tc>
      </w:tr>
    </w:tbl>
    <w:p>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rPr>
        <w:t>手工监测设备</w:t>
      </w:r>
    </w:p>
    <w:tbl>
      <w:tblPr>
        <w:tblStyle w:val="9"/>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9"/>
        <w:gridCol w:w="1434"/>
        <w:gridCol w:w="15"/>
        <w:gridCol w:w="795"/>
        <w:gridCol w:w="732"/>
        <w:gridCol w:w="2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监测设备名称</w:t>
            </w:r>
          </w:p>
        </w:tc>
        <w:tc>
          <w:tcPr>
            <w:tcW w:w="1434"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型号</w:t>
            </w:r>
          </w:p>
        </w:tc>
        <w:tc>
          <w:tcPr>
            <w:tcW w:w="810" w:type="dxa"/>
            <w:gridSpan w:val="2"/>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数量</w:t>
            </w:r>
          </w:p>
        </w:tc>
        <w:tc>
          <w:tcPr>
            <w:tcW w:w="732"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单位</w:t>
            </w:r>
          </w:p>
        </w:tc>
        <w:tc>
          <w:tcPr>
            <w:tcW w:w="2741"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生化培养箱</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SPX-100B-Z</w:t>
            </w:r>
          </w:p>
        </w:tc>
        <w:tc>
          <w:tcPr>
            <w:tcW w:w="795"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上海博迅医疗生物仪器股份有限公司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高温灭菌器</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BXM-300P</w:t>
            </w:r>
          </w:p>
        </w:tc>
        <w:tc>
          <w:tcPr>
            <w:tcW w:w="795"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上海</w:t>
            </w:r>
            <w:r>
              <w:rPr>
                <w:rFonts w:hint="eastAsia" w:ascii="宋体" w:hAnsi="宋体" w:eastAsia="宋体" w:cs="宋体"/>
                <w:b w:val="0"/>
                <w:bCs w:val="0"/>
                <w:i w:val="0"/>
                <w:color w:val="auto"/>
                <w:kern w:val="0"/>
                <w:sz w:val="21"/>
                <w:szCs w:val="21"/>
                <w:u w:val="none"/>
                <w:lang w:val="en-US" w:eastAsia="zh-CN" w:bidi="ar"/>
              </w:rPr>
              <w:t>博迅实业有限公司医疗设备厂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COD消解装置</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6B-6C</w:t>
            </w:r>
          </w:p>
        </w:tc>
        <w:tc>
          <w:tcPr>
            <w:tcW w:w="795"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江苏盛</w:t>
            </w:r>
            <w:r>
              <w:rPr>
                <w:rFonts w:ascii="宋体" w:hAnsi="宋体" w:eastAsia="宋体" w:cs="宋体"/>
                <w:color w:val="auto"/>
                <w:sz w:val="21"/>
                <w:szCs w:val="21"/>
              </w:rPr>
              <w:t>奥华</w:t>
            </w:r>
            <w:r>
              <w:rPr>
                <w:rFonts w:hint="eastAsia" w:ascii="宋体" w:hAnsi="宋体" w:eastAsia="宋体" w:cs="宋体"/>
                <w:color w:val="auto"/>
                <w:sz w:val="21"/>
                <w:szCs w:val="21"/>
                <w:lang w:eastAsia="zh-CN"/>
              </w:rPr>
              <w:t>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显微镜（带电子镜头）</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XSP-2CA</w:t>
            </w:r>
          </w:p>
        </w:tc>
        <w:tc>
          <w:tcPr>
            <w:tcW w:w="795"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上海光学仪器六厂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紫外可见光光度计</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752</w:t>
            </w:r>
          </w:p>
        </w:tc>
        <w:tc>
          <w:tcPr>
            <w:tcW w:w="795"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上海现科分光仪器有限公司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万分之一分析天平</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FA2104</w:t>
            </w:r>
          </w:p>
        </w:tc>
        <w:tc>
          <w:tcPr>
            <w:tcW w:w="795"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上海</w:t>
            </w:r>
            <w:r>
              <w:rPr>
                <w:rFonts w:ascii="宋体" w:hAnsi="宋体" w:eastAsia="宋体" w:cs="宋体"/>
                <w:color w:val="auto"/>
                <w:sz w:val="21"/>
                <w:szCs w:val="21"/>
              </w:rPr>
              <w:t>良平</w:t>
            </w:r>
            <w:r>
              <w:rPr>
                <w:rFonts w:hint="eastAsia" w:ascii="宋体" w:hAnsi="宋体" w:eastAsia="宋体" w:cs="宋体"/>
                <w:color w:val="auto"/>
                <w:sz w:val="21"/>
                <w:szCs w:val="21"/>
                <w:lang w:eastAsia="zh-CN"/>
              </w:rPr>
              <w:t>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电热恒温干燥箱</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DAG-9202-1</w:t>
            </w:r>
          </w:p>
        </w:tc>
        <w:tc>
          <w:tcPr>
            <w:tcW w:w="795"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上海鸿都电子科技有限公司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pH计</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PHS-3C</w:t>
            </w:r>
          </w:p>
        </w:tc>
        <w:tc>
          <w:tcPr>
            <w:tcW w:w="795"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上海仪电科技股份有限公司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箱式电阻炉</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SXZ</w:t>
            </w:r>
          </w:p>
        </w:tc>
        <w:tc>
          <w:tcPr>
            <w:tcW w:w="795"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龙口市文太电炉制造有限公司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超纯水机</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FST-JV-20</w:t>
            </w:r>
          </w:p>
        </w:tc>
        <w:tc>
          <w:tcPr>
            <w:tcW w:w="795"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上海富诗特仪器有限公司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sz w:val="21"/>
                <w:szCs w:val="21"/>
              </w:rPr>
              <w:t>千分之一天平</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ascii="宋体" w:hAnsi="宋体" w:eastAsia="宋体" w:cs="宋体"/>
                <w:sz w:val="21"/>
                <w:szCs w:val="21"/>
              </w:rPr>
              <w:t>JA2003N</w:t>
            </w:r>
          </w:p>
        </w:tc>
        <w:tc>
          <w:tcPr>
            <w:tcW w:w="795"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ascii="宋体" w:hAnsi="宋体" w:eastAsia="宋体" w:cs="宋体"/>
                <w:sz w:val="21"/>
                <w:szCs w:val="21"/>
              </w:rPr>
              <w:t>上海佑科仪器仪表有限</w:t>
            </w:r>
            <w:r>
              <w:rPr>
                <w:rFonts w:hint="eastAsia" w:ascii="宋体" w:hAnsi="宋体" w:eastAsia="宋体" w:cs="宋体"/>
                <w:sz w:val="21"/>
                <w:szCs w:val="21"/>
                <w:lang w:eastAsia="zh-CN"/>
              </w:rPr>
              <w:t>公司</w:t>
            </w:r>
          </w:p>
        </w:tc>
      </w:tr>
    </w:tbl>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企业治理设施</w:t>
      </w: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8"/>
          <w:szCs w:val="28"/>
          <w:lang w:val="zh-CN" w:eastAsia="zh-CN" w:bidi="ar-SA"/>
        </w:rPr>
      </w:pPr>
      <w:r>
        <w:rPr>
          <w:rFonts w:hint="eastAsia" w:ascii="宋体" w:hAnsi="宋体" w:eastAsia="宋体" w:cs="宋体"/>
          <w:b w:val="0"/>
          <w:bCs w:val="0"/>
          <w:color w:val="auto"/>
          <w:kern w:val="2"/>
          <w:sz w:val="28"/>
          <w:szCs w:val="28"/>
          <w:lang w:val="en-US" w:eastAsia="zh-CN" w:bidi="ar-SA"/>
        </w:rPr>
        <w:t>1.</w:t>
      </w:r>
      <w:r>
        <w:rPr>
          <w:rFonts w:hint="eastAsia" w:ascii="宋体" w:hAnsi="宋体" w:eastAsia="宋体" w:cs="宋体"/>
          <w:b w:val="0"/>
          <w:bCs w:val="0"/>
          <w:color w:val="auto"/>
          <w:kern w:val="2"/>
          <w:sz w:val="28"/>
          <w:szCs w:val="28"/>
          <w:lang w:val="zh-CN" w:eastAsia="zh-CN" w:bidi="ar-SA"/>
        </w:rPr>
        <w:t>废气治理设施</w:t>
      </w:r>
    </w:p>
    <w:tbl>
      <w:tblPr>
        <w:tblStyle w:val="9"/>
        <w:tblW w:w="8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790"/>
        <w:gridCol w:w="1965"/>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1"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设施名称</w:t>
            </w:r>
          </w:p>
        </w:tc>
        <w:tc>
          <w:tcPr>
            <w:tcW w:w="279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所在排放设备</w:t>
            </w:r>
          </w:p>
        </w:tc>
        <w:tc>
          <w:tcPr>
            <w:tcW w:w="196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设施类别</w:t>
            </w:r>
          </w:p>
        </w:tc>
        <w:tc>
          <w:tcPr>
            <w:tcW w:w="187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1"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恶臭气体处理</w:t>
            </w:r>
            <w:r>
              <w:rPr>
                <w:rStyle w:val="10"/>
                <w:rFonts w:hint="eastAsia" w:ascii="宋体" w:hAnsi="宋体" w:eastAsia="宋体" w:cs="宋体"/>
                <w:b w:val="0"/>
                <w:bCs w:val="0"/>
                <w:color w:val="auto"/>
                <w:kern w:val="2"/>
                <w:sz w:val="24"/>
                <w:szCs w:val="24"/>
                <w:lang w:val="en-US" w:eastAsia="zh-CN" w:bidi="ar-SA"/>
              </w:rPr>
              <w:t>DA001</w:t>
            </w:r>
          </w:p>
        </w:tc>
        <w:tc>
          <w:tcPr>
            <w:tcW w:w="279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生物土壤滤池，风机含进出口软连接、隔音罩、电气控制柜等材料。生物土壤滤池含布气系统、生物土壤滤池填料、喷淋系统（雨乌控制器、电磁阀、喷头、PPR连接管）等材料</w:t>
            </w:r>
          </w:p>
        </w:tc>
        <w:tc>
          <w:tcPr>
            <w:tcW w:w="1965" w:type="dxa"/>
          </w:tcPr>
          <w:p>
            <w:pPr>
              <w:pStyle w:val="17"/>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val="en-US" w:eastAsia="zh-CN"/>
              </w:rPr>
              <w:t>生物</w:t>
            </w:r>
            <w:r>
              <w:rPr>
                <w:rFonts w:ascii="宋体" w:hAnsi="宋体" w:eastAsia="宋体" w:cs="宋体"/>
                <w:color w:val="auto"/>
                <w:sz w:val="24"/>
                <w:szCs w:val="24"/>
              </w:rPr>
              <w:t>土壤</w:t>
            </w:r>
            <w:r>
              <w:rPr>
                <w:rFonts w:hint="eastAsia" w:ascii="宋体" w:hAnsi="宋体" w:eastAsia="宋体" w:cs="宋体"/>
                <w:b w:val="0"/>
                <w:bCs w:val="0"/>
                <w:color w:val="auto"/>
                <w:sz w:val="24"/>
                <w:szCs w:val="24"/>
                <w:lang w:val="en-US" w:eastAsia="zh-CN"/>
              </w:rPr>
              <w:t>滤池</w:t>
            </w:r>
            <w:r>
              <w:rPr>
                <w:rFonts w:ascii="宋体" w:hAnsi="宋体" w:eastAsia="宋体" w:cs="宋体"/>
                <w:color w:val="auto"/>
                <w:sz w:val="24"/>
                <w:szCs w:val="24"/>
              </w:rPr>
              <w:t>除臭</w:t>
            </w:r>
            <w:r>
              <w:rPr>
                <w:rFonts w:hint="eastAsia" w:ascii="宋体" w:hAnsi="宋体" w:cs="宋体"/>
                <w:color w:val="auto"/>
                <w:sz w:val="24"/>
                <w:szCs w:val="24"/>
                <w:lang w:eastAsia="zh-CN"/>
              </w:rPr>
              <w:t>方法处理</w:t>
            </w:r>
            <w:r>
              <w:rPr>
                <w:rFonts w:hint="eastAsia" w:ascii="宋体" w:hAnsi="宋体" w:eastAsia="宋体" w:cs="宋体"/>
                <w:b w:val="0"/>
                <w:bCs w:val="0"/>
                <w:color w:val="auto"/>
                <w:sz w:val="24"/>
                <w:szCs w:val="24"/>
                <w:lang w:eastAsia="zh-CN"/>
              </w:rPr>
              <w:t>。</w:t>
            </w: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p>
        </w:tc>
        <w:tc>
          <w:tcPr>
            <w:tcW w:w="1875" w:type="dxa"/>
          </w:tcPr>
          <w:p>
            <w:pPr>
              <w:pStyle w:val="17"/>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val="en-US" w:eastAsia="zh-CN"/>
              </w:rPr>
              <w:t>生物</w:t>
            </w:r>
            <w:r>
              <w:rPr>
                <w:rFonts w:ascii="宋体" w:hAnsi="宋体" w:eastAsia="宋体" w:cs="宋体"/>
                <w:color w:val="auto"/>
                <w:sz w:val="24"/>
                <w:szCs w:val="24"/>
              </w:rPr>
              <w:t>土壤除臭</w:t>
            </w:r>
            <w:r>
              <w:rPr>
                <w:rFonts w:hint="eastAsia" w:ascii="宋体" w:hAnsi="宋体" w:cs="宋体"/>
                <w:color w:val="auto"/>
                <w:sz w:val="24"/>
                <w:szCs w:val="24"/>
                <w:lang w:eastAsia="zh-CN"/>
              </w:rPr>
              <w:t>方法处理</w:t>
            </w:r>
            <w:r>
              <w:rPr>
                <w:rFonts w:hint="eastAsia" w:ascii="宋体" w:hAnsi="宋体" w:eastAsia="宋体" w:cs="宋体"/>
                <w:b w:val="0"/>
                <w:bCs w:val="0"/>
                <w:color w:val="auto"/>
                <w:sz w:val="24"/>
                <w:szCs w:val="24"/>
                <w:lang w:eastAsia="zh-CN"/>
              </w:rPr>
              <w:t>。</w:t>
            </w: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1"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根据各厂实际情况填写</w:t>
            </w:r>
          </w:p>
        </w:tc>
        <w:tc>
          <w:tcPr>
            <w:tcW w:w="279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p>
        </w:tc>
        <w:tc>
          <w:tcPr>
            <w:tcW w:w="196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p>
        </w:tc>
        <w:tc>
          <w:tcPr>
            <w:tcW w:w="187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p>
        </w:tc>
      </w:tr>
    </w:tbl>
    <w:p>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rPr>
        <w:t>废水治理设施</w:t>
      </w:r>
    </w:p>
    <w:tbl>
      <w:tblPr>
        <w:tblStyle w:val="9"/>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2020"/>
        <w:gridCol w:w="1875"/>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设施名称</w:t>
            </w:r>
          </w:p>
        </w:tc>
        <w:tc>
          <w:tcPr>
            <w:tcW w:w="2020"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处理方法</w:t>
            </w:r>
          </w:p>
        </w:tc>
        <w:tc>
          <w:tcPr>
            <w:tcW w:w="1875"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处理能力</w:t>
            </w:r>
          </w:p>
        </w:tc>
        <w:tc>
          <w:tcPr>
            <w:tcW w:w="2865"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粗格栅、细格栅、沉砂池、氧化沟、配水井、二沉池</w:t>
            </w:r>
          </w:p>
        </w:tc>
        <w:tc>
          <w:tcPr>
            <w:tcW w:w="2020"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物理处理法+生物处理法+化学处理法</w:t>
            </w:r>
          </w:p>
        </w:tc>
        <w:tc>
          <w:tcPr>
            <w:tcW w:w="1875"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4万吨/日</w:t>
            </w:r>
          </w:p>
        </w:tc>
        <w:tc>
          <w:tcPr>
            <w:tcW w:w="2865"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rPr>
              <w:t>采用</w:t>
            </w:r>
            <w:r>
              <w:rPr>
                <w:rFonts w:hint="eastAsia" w:ascii="宋体" w:hAnsi="宋体" w:eastAsia="宋体" w:cs="宋体"/>
                <w:b w:val="0"/>
                <w:bCs w:val="0"/>
                <w:color w:val="auto"/>
                <w:sz w:val="24"/>
                <w:szCs w:val="24"/>
                <w:u w:val="none"/>
              </w:rPr>
              <w:t>改良型卡式氧化沟</w:t>
            </w:r>
            <w:r>
              <w:rPr>
                <w:rFonts w:hint="eastAsia" w:ascii="宋体" w:hAnsi="宋体" w:eastAsia="宋体" w:cs="宋体"/>
                <w:b w:val="0"/>
                <w:bCs w:val="0"/>
                <w:color w:val="auto"/>
                <w:sz w:val="24"/>
                <w:szCs w:val="24"/>
                <w:u w:val="none"/>
                <w:lang w:val="en-US" w:eastAsia="zh-CN"/>
              </w:rPr>
              <w:t>+高效磁混凝池+反硝化深</w:t>
            </w:r>
            <w:r>
              <w:rPr>
                <w:rFonts w:hint="eastAsia" w:ascii="宋体" w:hAnsi="宋体" w:eastAsia="宋体" w:cs="宋体"/>
                <w:color w:val="auto"/>
                <w:sz w:val="24"/>
                <w:szCs w:val="24"/>
              </w:rPr>
              <w:t>床</w:t>
            </w:r>
            <w:r>
              <w:rPr>
                <w:rFonts w:hint="eastAsia" w:ascii="宋体" w:hAnsi="宋体" w:eastAsia="宋体" w:cs="宋体"/>
                <w:color w:val="auto"/>
                <w:sz w:val="24"/>
                <w:szCs w:val="24"/>
                <w:lang w:eastAsia="zh-CN"/>
              </w:rPr>
              <w:t>滤池</w:t>
            </w:r>
            <w:r>
              <w:rPr>
                <w:rFonts w:hint="eastAsia" w:ascii="宋体" w:hAnsi="宋体" w:eastAsia="宋体" w:cs="宋体"/>
                <w:b w:val="0"/>
                <w:bCs w:val="0"/>
                <w:color w:val="auto"/>
                <w:sz w:val="24"/>
                <w:szCs w:val="24"/>
                <w:u w:val="none"/>
                <w:lang w:val="en-US" w:eastAsia="zh-CN"/>
              </w:rPr>
              <w:t>+次氯酸钠消毒+</w:t>
            </w:r>
            <w:r>
              <w:rPr>
                <w:rFonts w:hint="eastAsia" w:ascii="宋体" w:hAnsi="宋体" w:eastAsia="宋体" w:cs="宋体"/>
                <w:color w:val="auto"/>
                <w:sz w:val="24"/>
                <w:szCs w:val="24"/>
              </w:rPr>
              <w:t>污泥浓缩</w:t>
            </w:r>
            <w:r>
              <w:rPr>
                <w:rFonts w:hint="eastAsia" w:ascii="宋体" w:hAnsi="宋体" w:eastAsia="宋体" w:cs="宋体"/>
                <w:color w:val="auto"/>
                <w:sz w:val="24"/>
                <w:szCs w:val="24"/>
                <w:lang w:eastAsia="zh-CN"/>
              </w:rPr>
              <w:t>板框</w:t>
            </w:r>
            <w:r>
              <w:rPr>
                <w:rFonts w:hint="eastAsia" w:ascii="宋体" w:hAnsi="宋体" w:eastAsia="宋体" w:cs="宋体"/>
                <w:color w:val="auto"/>
                <w:sz w:val="24"/>
                <w:szCs w:val="24"/>
              </w:rPr>
              <w:t>机房组成</w:t>
            </w:r>
          </w:p>
        </w:tc>
      </w:tr>
    </w:tbl>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六、样品采集和保存</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1、样品的采样按照《污水监测技术规范》HJ91.1-2019执行。</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1.1采样时应保证采样点的位置准确。</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1.2认真填写采样记录表，字迹应端正清晰，保证采样按时、准确、安全。</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1.3测定油类的水样，应在水面至水面下300 毫米采集柱状水样，并单独采样，全部用于测定。采样瓶不能用采集的水样冲洗。</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1.4测溶解氧、五日生化需氧量和有机污染物等项目时的水样，必须注满容器，不留空间，并用蒸馏水封口。</w:t>
      </w:r>
    </w:p>
    <w:p>
      <w:pPr>
        <w:pStyle w:val="17"/>
        <w:spacing w:line="240" w:lineRule="auto"/>
        <w:ind w:left="-420" w:leftChars="-200" w:firstLine="560"/>
        <w:outlineLvl w:val="1"/>
        <w:rPr>
          <w:rFonts w:hint="eastAsia" w:ascii="宋体" w:hAnsi="宋体"/>
          <w:sz w:val="28"/>
          <w:szCs w:val="28"/>
          <w:highlight w:val="none"/>
          <w:lang w:val="en-US"/>
        </w:rPr>
      </w:pPr>
      <w:r>
        <w:rPr>
          <w:rFonts w:hint="eastAsia" w:ascii="宋体" w:hAnsi="宋体"/>
          <w:sz w:val="28"/>
          <w:szCs w:val="28"/>
          <w:highlight w:val="none"/>
          <w:lang w:val="en-US"/>
        </w:rPr>
        <w:t>1.5测定</w:t>
      </w:r>
      <w:r>
        <w:rPr>
          <w:rFonts w:hint="eastAsia" w:ascii="宋体" w:hAnsi="宋体"/>
          <w:sz w:val="28"/>
          <w:szCs w:val="28"/>
          <w:highlight w:val="none"/>
          <w:lang w:val="en-US" w:eastAsia="zh-CN"/>
        </w:rPr>
        <w:t>水温、pH值、色度、</w:t>
      </w:r>
      <w:r>
        <w:rPr>
          <w:rFonts w:hint="eastAsia" w:ascii="宋体" w:hAnsi="宋体"/>
          <w:sz w:val="28"/>
          <w:szCs w:val="28"/>
          <w:highlight w:val="none"/>
          <w:lang w:val="en-US"/>
        </w:rPr>
        <w:t>油类、五日生化需氧量、溶解氧、硫化物、余氯、粪大肠菌群、悬浮物、放射性等项目要单独采样。</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1.6在采样期间必须避免样品受到污染。应该考虑到所有可能的污染来源，必须采取适当的控制措施以避免污染。</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2、样品的保存按照HJ91.1-2019执行。</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2.1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2.2最大限度地防止容器及瓶塞对样品的污染。</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2.3容器壁应易于清洗、处理，以减少如重金属或放射性核类的微量元素对容器的表面污染。</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2.4容器或容器塞的化学和生物性质应该是惰性的，以防止容器与样品组分发生反应。如测氟时，水样不能贮于玻璃瓶中，因为玻璃与氟化物发生反应。</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2.5防止容器吸收或吸附待测组分，引起待测组分浓度的变化。微量金属易于受这些因素的影响，其他如清洁剂、杀虫剂、磷酸盐同样也受到影响。</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3、地表水与废气的采集及保存方法</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3.1、地表水的采集按照《地表水</w:t>
      </w:r>
      <w:r>
        <w:rPr>
          <w:rFonts w:hint="eastAsia" w:ascii="宋体" w:hAnsi="宋体"/>
          <w:sz w:val="28"/>
          <w:szCs w:val="28"/>
          <w:highlight w:val="none"/>
          <w:lang w:val="en-US" w:eastAsia="zh-CN"/>
        </w:rPr>
        <w:t>环境质量监测技术规范</w:t>
      </w:r>
      <w:r>
        <w:rPr>
          <w:rFonts w:hint="eastAsia" w:ascii="宋体" w:hAnsi="宋体"/>
          <w:sz w:val="28"/>
          <w:szCs w:val="28"/>
          <w:highlight w:val="none"/>
          <w:lang w:val="en-US"/>
        </w:rPr>
        <w:t>》HJ 91</w:t>
      </w:r>
      <w:r>
        <w:rPr>
          <w:rFonts w:hint="eastAsia" w:ascii="宋体" w:hAnsi="宋体"/>
          <w:sz w:val="28"/>
          <w:szCs w:val="28"/>
          <w:highlight w:val="none"/>
          <w:lang w:val="en-US" w:eastAsia="zh-CN"/>
        </w:rPr>
        <w:t>.2</w:t>
      </w:r>
      <w:r>
        <w:rPr>
          <w:rFonts w:hint="eastAsia" w:ascii="宋体" w:hAnsi="宋体"/>
          <w:sz w:val="28"/>
          <w:szCs w:val="28"/>
          <w:highlight w:val="none"/>
          <w:lang w:val="en-US"/>
        </w:rPr>
        <w:t>-20</w:t>
      </w:r>
      <w:r>
        <w:rPr>
          <w:rFonts w:hint="eastAsia" w:ascii="宋体" w:hAnsi="宋体"/>
          <w:sz w:val="28"/>
          <w:szCs w:val="28"/>
          <w:highlight w:val="none"/>
          <w:lang w:val="en-US" w:eastAsia="zh-CN"/>
        </w:rPr>
        <w:t>2</w:t>
      </w:r>
      <w:r>
        <w:rPr>
          <w:rFonts w:hint="eastAsia" w:ascii="宋体" w:hAnsi="宋体"/>
          <w:sz w:val="28"/>
          <w:szCs w:val="28"/>
          <w:highlight w:val="none"/>
          <w:lang w:val="en-US"/>
        </w:rPr>
        <w:t>2</w:t>
      </w:r>
      <w:r>
        <w:rPr>
          <w:rFonts w:hint="eastAsia" w:ascii="宋体" w:hAnsi="宋体"/>
          <w:sz w:val="28"/>
          <w:szCs w:val="28"/>
          <w:highlight w:val="none"/>
        </w:rPr>
        <w:t xml:space="preserve"> 执行，采样方法按照以下要求执行。</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3.1.1、</w:t>
      </w:r>
      <w:r>
        <w:rPr>
          <w:rFonts w:hint="eastAsia" w:ascii="宋体" w:hAnsi="宋体"/>
          <w:sz w:val="28"/>
          <w:szCs w:val="28"/>
          <w:highlight w:val="none"/>
        </w:rPr>
        <w:t>在同一监测断面分层采样时，应自上而下进行，避免不同层次水体混扰；</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3.1.2、</w:t>
      </w:r>
      <w:r>
        <w:rPr>
          <w:rFonts w:hint="eastAsia" w:ascii="宋体" w:hAnsi="宋体"/>
          <w:sz w:val="28"/>
          <w:szCs w:val="28"/>
          <w:highlight w:val="none"/>
        </w:rPr>
        <w:t>除标准分析方法有特殊要求的监测项目外，采样器、静置容器和样品瓶在使用前应先用水样分别荡洗2～3次；</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3.1.3、</w:t>
      </w:r>
      <w:r>
        <w:rPr>
          <w:rFonts w:hint="eastAsia" w:ascii="宋体" w:hAnsi="宋体"/>
          <w:sz w:val="28"/>
          <w:szCs w:val="28"/>
          <w:highlight w:val="none"/>
        </w:rPr>
        <w:t>采样时不可搅动水底的沉积物。除标准分析方法有特殊要求的监测项目外，采集的水样倒入静置容器中，保证足够用量，自然静置30 min。自然静置时，使用防尘盖遮挡，避免灰尘污染；</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3.1.4、</w:t>
      </w:r>
      <w:r>
        <w:rPr>
          <w:rFonts w:hint="eastAsia" w:ascii="宋体" w:hAnsi="宋体"/>
          <w:sz w:val="28"/>
          <w:szCs w:val="28"/>
          <w:highlight w:val="none"/>
        </w:rPr>
        <w:t>使用虹吸装置取上层不含沉降性固体的水样，移入样品瓶，虹吸装置进水尖嘴应保持插至水样表层50 mm以下位置。</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3.2、废气采集方法。</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3.2.1、有组织排放废气采样</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3.2.1.1、采样位置</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3.2.1.1.1、采样位置应避开对测试人员操作有危险的场所。</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3.2.1.1.2、采样位置应优先选择在垂直管段，应避开气道弯头和断面急剧变化的部位。采样位置应设置在距弯头、阀门、变径管下游方向不小于6倍直径，和距上述部件上游方向不小于3倍直径处。采样断面的气流速度最好在5m/s以上。</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3.2.1.1.3、测试现场空间位置有限，很难满足上述要求时，可选比较适宜的管段采样，但采样断面与弯头等的距离至少是气道直径的1.5倍。</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3.2.1.1.4、对气态污染物，由于混合比较均匀，其采样位置可不受上述规定限制，但应避开涡流区。如果同时测定排气流量，采样位置仍按3.2.1.1.2选取位置。</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3.2.1.1.5、必要时应设置采样平台，采样平台应有足够的工作面积使工作人员安全、方便地操作。平台面积应不小于1.5m</w:t>
      </w:r>
      <w:r>
        <w:rPr>
          <w:rFonts w:hint="eastAsia" w:ascii="宋体" w:hAnsi="宋体"/>
          <w:sz w:val="28"/>
          <w:szCs w:val="28"/>
          <w:highlight w:val="none"/>
          <w:vertAlign w:val="superscript"/>
          <w:lang w:val="en-US"/>
        </w:rPr>
        <w:t>2</w:t>
      </w:r>
      <w:r>
        <w:rPr>
          <w:rFonts w:hint="eastAsia" w:ascii="宋体" w:hAnsi="宋体"/>
          <w:sz w:val="28"/>
          <w:szCs w:val="28"/>
          <w:highlight w:val="none"/>
          <w:lang w:val="en-US"/>
        </w:rPr>
        <w:t>，并设有高1.1 m的护栏和不低于10cm的脚部挡板，采样平台的承重应不小于200kg/m</w:t>
      </w:r>
      <w:r>
        <w:rPr>
          <w:rFonts w:hint="eastAsia" w:ascii="宋体" w:hAnsi="宋体"/>
          <w:sz w:val="28"/>
          <w:szCs w:val="28"/>
          <w:highlight w:val="none"/>
          <w:vertAlign w:val="superscript"/>
          <w:lang w:val="en-US"/>
        </w:rPr>
        <w:t>2</w:t>
      </w:r>
      <w:r>
        <w:rPr>
          <w:rFonts w:hint="eastAsia" w:ascii="宋体" w:hAnsi="宋体"/>
          <w:sz w:val="28"/>
          <w:szCs w:val="28"/>
          <w:highlight w:val="none"/>
          <w:lang w:val="en-US"/>
        </w:rPr>
        <w:t>，采样孔距平台面约为1.2m-1.3m。</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3.2.1.2、采样孔</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3.2.1.2.1、在选定的测定位置上开设采样孔，采样孔的内径应不小于80毫米，采样孔管长应不大于50毫米，不使用时应用盖板、堵管或管帽封闭。当采样孔仅用于采集气态污染物时，其内径应不小于40毫米。</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3.2.1.2.2、对正压下输送高温或有毒气体的气道，应采用带有闸板阀的密封采样孔。</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3.2.1.3、采样要求</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.1、采样前检查气密性时要接干燥瓶，吸收瓶不能接以防倒吸。</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.2、采样结束后，取下样品，将气体吸收装置进、出口密封，按相应项目的标准监测分析方法要求运送和保存待测样品。</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.3、用超细玻璃纤维滤膜采样时，应对光线检查滤膜是否有损坏，如有损坏，停止使用。</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.4、采集气体样品时，注意吸收瓶溶液的颜色，如果未采样已变色，则该样品作废。</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5、现场空白样的放置：启动采样气路时，同时将空白样的吸收瓶封口膜打开，气路采样结束时，同时将空白样封口；准备空白滤膜装入切割头中放置在空气中，采样后结束后按照滤膜采样同样方法放入滤膜袋中，运回实验室检测，空白滤膜前后两次称量质量之差应远小于采样滤膜上的颗粒物负载量，否则次批次采样监测数据无效。</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.6、向采样器中放置和取出滤膜时，应佩戴聚乙烯手套等实验室专用手套（和实验室人员称量滤膜所带的手套相同），使用无锯齿状镊子。</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.7、采样进气口必须暴露在空气中（箱体盖子可以不盖，几乎不影响吸收液温度）。</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.8、夏天仪器应尽量避免放置在太阳下暴晒，以防止吸收液蒸发，可将仪器放置于树荫处或适当遮盖。</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.9、采样器显示的气温和气压未经过校准，不能直接读取，现场气温、气压应由校准过的设备读取。</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.10、现场记录实况，标况需根据实况计算，实况和标况都要在原始记录中体现。</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.11、采样记录单上采样人员签字应为2人，其中1人为监督人员。</w:t>
      </w:r>
    </w:p>
    <w:p>
      <w:pPr>
        <w:pStyle w:val="17"/>
        <w:spacing w:line="240" w:lineRule="auto"/>
        <w:ind w:left="-420" w:leftChars="-200" w:firstLine="560"/>
        <w:outlineLvl w:val="1"/>
        <w:rPr>
          <w:rFonts w:hint="eastAsia" w:ascii="宋体" w:hAnsi="宋体"/>
          <w:sz w:val="28"/>
          <w:szCs w:val="28"/>
          <w:highlight w:val="none"/>
          <w:lang w:val="en-US"/>
        </w:rPr>
      </w:pPr>
      <w:r>
        <w:rPr>
          <w:rFonts w:hint="eastAsia" w:ascii="宋体" w:hAnsi="宋体"/>
          <w:sz w:val="28"/>
          <w:szCs w:val="28"/>
          <w:highlight w:val="none"/>
          <w:lang w:val="en-US"/>
        </w:rPr>
        <w:t>3.2.2、</w:t>
      </w:r>
      <w:r>
        <w:rPr>
          <w:rFonts w:hint="eastAsia" w:ascii="宋体" w:hAnsi="宋体"/>
          <w:sz w:val="28"/>
          <w:szCs w:val="28"/>
          <w:highlight w:val="none"/>
        </w:rPr>
        <w:t>无组织废气采样按《</w:t>
      </w:r>
      <w:r>
        <w:rPr>
          <w:rFonts w:hint="eastAsia" w:ascii="宋体" w:hAnsi="宋体"/>
          <w:sz w:val="28"/>
          <w:szCs w:val="28"/>
          <w:highlight w:val="none"/>
          <w:lang w:val="en-US"/>
        </w:rPr>
        <w:t>大气污染物无组织排放监测技术导则</w:t>
      </w:r>
      <w:r>
        <w:rPr>
          <w:rFonts w:hint="eastAsia" w:ascii="宋体" w:hAnsi="宋体"/>
          <w:sz w:val="28"/>
          <w:szCs w:val="28"/>
          <w:highlight w:val="none"/>
        </w:rPr>
        <w:t>》HJ/T 55—2000执行。</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rPr>
        <w:t>3.3、</w:t>
      </w:r>
      <w:r>
        <w:rPr>
          <w:rFonts w:hint="eastAsia" w:ascii="宋体" w:hAnsi="宋体"/>
          <w:sz w:val="28"/>
          <w:szCs w:val="28"/>
          <w:highlight w:val="none"/>
          <w:lang w:val="en-US"/>
        </w:rPr>
        <w:t>地表水与废气的保存方法</w:t>
      </w:r>
    </w:p>
    <w:tbl>
      <w:tblPr>
        <w:tblStyle w:val="8"/>
        <w:tblW w:w="8100" w:type="dxa"/>
        <w:tblInd w:w="93" w:type="dxa"/>
        <w:tblLayout w:type="autofit"/>
        <w:tblCellMar>
          <w:top w:w="0" w:type="dxa"/>
          <w:left w:w="108" w:type="dxa"/>
          <w:bottom w:w="0" w:type="dxa"/>
          <w:right w:w="108" w:type="dxa"/>
        </w:tblCellMar>
      </w:tblPr>
      <w:tblGrid>
        <w:gridCol w:w="1796"/>
        <w:gridCol w:w="2391"/>
        <w:gridCol w:w="3913"/>
      </w:tblGrid>
      <w:tr>
        <w:tblPrEx>
          <w:tblCellMar>
            <w:top w:w="0" w:type="dxa"/>
            <w:left w:w="108" w:type="dxa"/>
            <w:bottom w:w="0" w:type="dxa"/>
            <w:right w:w="108" w:type="dxa"/>
          </w:tblCellMar>
        </w:tblPrEx>
        <w:trPr>
          <w:trHeight w:val="285" w:hRule="atLeast"/>
        </w:trPr>
        <w:tc>
          <w:tcPr>
            <w:tcW w:w="1796"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样品类别</w:t>
            </w:r>
          </w:p>
        </w:tc>
        <w:tc>
          <w:tcPr>
            <w:tcW w:w="2391"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检测项目</w:t>
            </w:r>
          </w:p>
        </w:tc>
        <w:tc>
          <w:tcPr>
            <w:tcW w:w="3913" w:type="dxa"/>
            <w:tcBorders>
              <w:top w:val="single" w:color="000000" w:sz="8" w:space="0"/>
              <w:left w:val="single" w:color="000000" w:sz="8" w:space="0"/>
              <w:bottom w:val="nil"/>
              <w:right w:val="single" w:color="000000" w:sz="8"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保存方式</w:t>
            </w:r>
          </w:p>
        </w:tc>
      </w:tr>
      <w:tr>
        <w:tblPrEx>
          <w:tblCellMar>
            <w:top w:w="0" w:type="dxa"/>
            <w:left w:w="108" w:type="dxa"/>
            <w:bottom w:w="0" w:type="dxa"/>
            <w:right w:w="108" w:type="dxa"/>
          </w:tblCellMar>
        </w:tblPrEx>
        <w:trPr>
          <w:trHeight w:val="285"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地表水</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PH值</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采集后立即密封保存，尽量现场测定</w:t>
            </w:r>
          </w:p>
        </w:tc>
      </w:tr>
      <w:tr>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悬浮物</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冷藏，避光</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化学需氧量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用硫酸酸化，</w:t>
            </w:r>
            <w:r>
              <w:rPr>
                <w:rFonts w:hint="default" w:ascii="Calibri" w:hAnsi="Calibri" w:eastAsia="宋体" w:cs="Calibri"/>
                <w:color w:val="000000"/>
                <w:kern w:val="0"/>
                <w:sz w:val="24"/>
                <w:szCs w:val="24"/>
                <w:highlight w:val="none"/>
              </w:rPr>
              <w:t>pH</w:t>
            </w:r>
            <w:r>
              <w:rPr>
                <w:rFonts w:hint="eastAsia" w:ascii="宋体" w:hAnsi="宋体" w:eastAsia="宋体" w:cs="宋体"/>
                <w:color w:val="000000"/>
                <w:kern w:val="0"/>
                <w:sz w:val="24"/>
                <w:szCs w:val="24"/>
                <w:highlight w:val="none"/>
              </w:rPr>
              <w:t>≤</w:t>
            </w:r>
            <w:r>
              <w:rPr>
                <w:rFonts w:hint="default" w:ascii="Calibri" w:hAnsi="Calibri" w:eastAsia="宋体" w:cs="Calibri"/>
                <w:color w:val="000000"/>
                <w:kern w:val="0"/>
                <w:sz w:val="24"/>
                <w:szCs w:val="24"/>
                <w:highlight w:val="none"/>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五日生化需氧量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Calibri" w:hAnsi="Calibri" w:eastAsia="宋体" w:cs="Calibri"/>
                <w:color w:val="000000"/>
                <w:sz w:val="24"/>
                <w:szCs w:val="24"/>
                <w:highlight w:val="none"/>
              </w:rPr>
            </w:pPr>
            <w:r>
              <w:rPr>
                <w:rFonts w:hint="default" w:ascii="Calibri" w:hAnsi="Calibri" w:eastAsia="宋体" w:cs="Calibri"/>
                <w:color w:val="000000"/>
                <w:kern w:val="0"/>
                <w:sz w:val="24"/>
                <w:szCs w:val="24"/>
                <w:highlight w:val="none"/>
              </w:rPr>
              <w:t>1</w:t>
            </w:r>
            <w:r>
              <w:rPr>
                <w:rFonts w:hint="eastAsia" w:ascii="宋体" w:hAnsi="宋体" w:eastAsia="宋体" w:cs="宋体"/>
                <w:color w:val="000000"/>
                <w:kern w:val="0"/>
                <w:sz w:val="24"/>
                <w:szCs w:val="24"/>
                <w:highlight w:val="none"/>
              </w:rPr>
              <w:t>～</w:t>
            </w:r>
            <w:r>
              <w:rPr>
                <w:rFonts w:hint="default" w:ascii="Calibri" w:hAnsi="Calibri" w:eastAsia="宋体" w:cs="Calibri"/>
                <w:color w:val="000000"/>
                <w:kern w:val="0"/>
                <w:sz w:val="24"/>
                <w:szCs w:val="24"/>
                <w:highlight w:val="none"/>
              </w:rPr>
              <w:t>5</w:t>
            </w:r>
            <w:r>
              <w:rPr>
                <w:rFonts w:hint="eastAsia" w:ascii="宋体" w:hAnsi="宋体" w:eastAsia="宋体" w:cs="宋体"/>
                <w:color w:val="000000"/>
                <w:kern w:val="0"/>
                <w:sz w:val="24"/>
                <w:szCs w:val="24"/>
                <w:highlight w:val="none"/>
              </w:rPr>
              <w:t>℃暗处冷藏</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氨氮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用硫酸酸化，</w:t>
            </w:r>
            <w:r>
              <w:rPr>
                <w:rFonts w:hint="default" w:ascii="Calibri" w:hAnsi="Calibri" w:eastAsia="宋体" w:cs="Calibri"/>
                <w:color w:val="000000"/>
                <w:kern w:val="0"/>
                <w:sz w:val="24"/>
                <w:szCs w:val="24"/>
                <w:highlight w:val="none"/>
              </w:rPr>
              <w:t>pH</w:t>
            </w:r>
            <w:r>
              <w:rPr>
                <w:rFonts w:hint="eastAsia" w:ascii="宋体" w:hAnsi="宋体" w:eastAsia="宋体" w:cs="宋体"/>
                <w:color w:val="000000"/>
                <w:kern w:val="0"/>
                <w:sz w:val="24"/>
                <w:szCs w:val="24"/>
                <w:highlight w:val="none"/>
              </w:rPr>
              <w:t>≤</w:t>
            </w:r>
            <w:r>
              <w:rPr>
                <w:rFonts w:hint="default" w:ascii="Calibri" w:hAnsi="Calibri" w:eastAsia="宋体" w:cs="Calibri"/>
                <w:color w:val="000000"/>
                <w:kern w:val="0"/>
                <w:sz w:val="24"/>
                <w:szCs w:val="24"/>
                <w:highlight w:val="none"/>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总磷</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用硫酸酸化，盐酸酸化至</w:t>
            </w:r>
            <w:r>
              <w:rPr>
                <w:rFonts w:hint="default" w:ascii="Calibri" w:hAnsi="Calibri" w:eastAsia="宋体" w:cs="Calibri"/>
                <w:color w:val="000000"/>
                <w:kern w:val="0"/>
                <w:sz w:val="24"/>
                <w:szCs w:val="24"/>
                <w:highlight w:val="none"/>
              </w:rPr>
              <w:t>pH</w:t>
            </w:r>
            <w:r>
              <w:rPr>
                <w:rFonts w:hint="eastAsia" w:ascii="宋体" w:hAnsi="宋体" w:eastAsia="宋体" w:cs="宋体"/>
                <w:color w:val="000000"/>
                <w:kern w:val="0"/>
                <w:sz w:val="24"/>
                <w:szCs w:val="24"/>
                <w:highlight w:val="none"/>
              </w:rPr>
              <w:t>≤</w:t>
            </w:r>
            <w:r>
              <w:rPr>
                <w:rFonts w:hint="default" w:ascii="Calibri" w:hAnsi="Calibri" w:eastAsia="宋体" w:cs="Calibri"/>
                <w:color w:val="000000"/>
                <w:kern w:val="0"/>
                <w:sz w:val="24"/>
                <w:szCs w:val="24"/>
                <w:highlight w:val="none"/>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总氮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用硫酸酸化，</w:t>
            </w:r>
            <w:r>
              <w:rPr>
                <w:rFonts w:hint="default" w:ascii="Calibri" w:hAnsi="Calibri" w:eastAsia="宋体" w:cs="Calibri"/>
                <w:color w:val="000000"/>
                <w:kern w:val="0"/>
                <w:sz w:val="24"/>
                <w:szCs w:val="24"/>
                <w:highlight w:val="none"/>
              </w:rPr>
              <w:t>pH 1</w:t>
            </w:r>
            <w:r>
              <w:rPr>
                <w:rFonts w:hint="eastAsia" w:ascii="宋体" w:hAnsi="宋体" w:eastAsia="宋体" w:cs="宋体"/>
                <w:color w:val="000000"/>
                <w:kern w:val="0"/>
                <w:sz w:val="24"/>
                <w:szCs w:val="24"/>
                <w:highlight w:val="none"/>
              </w:rPr>
              <w:t>～</w:t>
            </w:r>
            <w:r>
              <w:rPr>
                <w:rFonts w:hint="default" w:ascii="Calibri" w:hAnsi="Calibri" w:eastAsia="宋体" w:cs="Calibri"/>
                <w:color w:val="000000"/>
                <w:kern w:val="0"/>
                <w:sz w:val="24"/>
                <w:szCs w:val="24"/>
                <w:highlight w:val="none"/>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石油类</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 xml:space="preserve">用 盐酸 酸化至 </w:t>
            </w:r>
            <w:r>
              <w:rPr>
                <w:rFonts w:hint="default" w:ascii="Calibri" w:hAnsi="Calibri" w:eastAsia="宋体" w:cs="Calibri"/>
                <w:color w:val="000000"/>
                <w:kern w:val="0"/>
                <w:sz w:val="24"/>
                <w:szCs w:val="24"/>
                <w:highlight w:val="none"/>
              </w:rPr>
              <w:t>pH</w:t>
            </w:r>
            <w:r>
              <w:rPr>
                <w:rFonts w:hint="eastAsia" w:ascii="宋体" w:hAnsi="宋体" w:eastAsia="宋体" w:cs="宋体"/>
                <w:color w:val="000000"/>
                <w:kern w:val="0"/>
                <w:sz w:val="24"/>
                <w:szCs w:val="24"/>
                <w:highlight w:val="none"/>
              </w:rPr>
              <w:t>≤</w:t>
            </w:r>
            <w:r>
              <w:rPr>
                <w:rFonts w:hint="default" w:ascii="Calibri" w:hAnsi="Calibri" w:eastAsia="宋体" w:cs="Calibri"/>
                <w:color w:val="000000"/>
                <w:kern w:val="0"/>
                <w:sz w:val="24"/>
                <w:szCs w:val="24"/>
                <w:highlight w:val="none"/>
              </w:rPr>
              <w:t>2</w:t>
            </w:r>
          </w:p>
        </w:tc>
      </w:tr>
      <w:tr>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余氯</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避光，尽量现场测定</w:t>
            </w:r>
          </w:p>
        </w:tc>
      </w:tr>
      <w:tr>
        <w:tblPrEx>
          <w:tblCellMar>
            <w:top w:w="0" w:type="dxa"/>
            <w:left w:w="108" w:type="dxa"/>
            <w:bottom w:w="0" w:type="dxa"/>
            <w:right w:w="108" w:type="dxa"/>
          </w:tblCellMar>
        </w:tblPrEx>
        <w:trPr>
          <w:trHeight w:val="300" w:hRule="atLeast"/>
        </w:trPr>
        <w:tc>
          <w:tcPr>
            <w:tcW w:w="179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废气</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（有组织和无组织）</w:t>
            </w:r>
          </w:p>
        </w:tc>
        <w:tc>
          <w:tcPr>
            <w:tcW w:w="23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氨</w:t>
            </w:r>
          </w:p>
        </w:tc>
        <w:tc>
          <w:tcPr>
            <w:tcW w:w="3913" w:type="dxa"/>
            <w:tcBorders>
              <w:top w:val="nil"/>
              <w:left w:val="single" w:color="000000" w:sz="8" w:space="0"/>
              <w:bottom w:val="single" w:color="000000" w:sz="8" w:space="0"/>
              <w:right w:val="single" w:color="000000" w:sz="8"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避光，冷藏</w:t>
            </w:r>
          </w:p>
        </w:tc>
      </w:tr>
      <w:tr>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硫化氢</w:t>
            </w:r>
          </w:p>
        </w:tc>
        <w:tc>
          <w:tcPr>
            <w:tcW w:w="3913" w:type="dxa"/>
            <w:tcBorders>
              <w:top w:val="nil"/>
              <w:left w:val="single" w:color="000000" w:sz="8" w:space="0"/>
              <w:bottom w:val="single" w:color="000000" w:sz="8" w:space="0"/>
              <w:right w:val="single" w:color="000000" w:sz="8"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避光，冷藏</w:t>
            </w:r>
          </w:p>
        </w:tc>
      </w:tr>
      <w:tr>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臭气浓度</w:t>
            </w:r>
          </w:p>
        </w:tc>
        <w:tc>
          <w:tcPr>
            <w:tcW w:w="3913" w:type="dxa"/>
            <w:tcBorders>
              <w:top w:val="nil"/>
              <w:left w:val="single" w:color="000000" w:sz="8" w:space="0"/>
              <w:bottom w:val="single" w:color="000000" w:sz="8" w:space="0"/>
              <w:right w:val="single" w:color="000000" w:sz="8"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避光，室温</w:t>
            </w:r>
          </w:p>
        </w:tc>
      </w:tr>
    </w:tbl>
    <w:p>
      <w:pPr>
        <w:pStyle w:val="17"/>
        <w:spacing w:line="240" w:lineRule="auto"/>
        <w:ind w:firstLine="0" w:firstLineChars="0"/>
        <w:jc w:val="left"/>
        <w:outlineLvl w:val="1"/>
        <w:rPr>
          <w:rFonts w:hint="eastAsia" w:ascii="宋体" w:hAnsi="宋体"/>
          <w:sz w:val="28"/>
          <w:szCs w:val="28"/>
          <w:highlight w:val="none"/>
          <w:lang w:val="en-US"/>
        </w:rPr>
      </w:pPr>
    </w:p>
    <w:p>
      <w:pPr>
        <w:pStyle w:val="17"/>
        <w:spacing w:line="240" w:lineRule="auto"/>
        <w:ind w:firstLine="0" w:firstLineChars="0"/>
        <w:jc w:val="left"/>
        <w:outlineLvl w:val="1"/>
        <w:rPr>
          <w:rFonts w:ascii="宋体" w:hAnsi="宋体"/>
          <w:sz w:val="28"/>
          <w:szCs w:val="28"/>
          <w:highlight w:val="none"/>
          <w:lang w:val="en-US"/>
        </w:rPr>
      </w:pPr>
      <w:r>
        <w:rPr>
          <w:rFonts w:hint="eastAsia" w:ascii="宋体" w:hAnsi="宋体"/>
          <w:sz w:val="28"/>
          <w:szCs w:val="28"/>
          <w:highlight w:val="none"/>
          <w:lang w:val="en-US"/>
        </w:rPr>
        <w:t>七、监测质量保证与质量控制措施</w:t>
      </w:r>
    </w:p>
    <w:p>
      <w:pPr>
        <w:pStyle w:val="17"/>
        <w:spacing w:line="240" w:lineRule="auto"/>
        <w:ind w:firstLine="0" w:firstLineChars="0"/>
        <w:jc w:val="left"/>
        <w:outlineLvl w:val="1"/>
        <w:rPr>
          <w:rFonts w:ascii="宋体" w:hAnsi="宋体"/>
          <w:sz w:val="28"/>
          <w:szCs w:val="28"/>
          <w:highlight w:val="none"/>
        </w:rPr>
      </w:pPr>
      <w:r>
        <w:rPr>
          <w:rFonts w:hint="eastAsia" w:ascii="宋体" w:hAnsi="宋体"/>
          <w:sz w:val="28"/>
          <w:szCs w:val="28"/>
          <w:highlight w:val="none"/>
        </w:rPr>
        <w:t>（一）污水厂化验室质量保证与控制措施</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1、质量保证</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1.1、建立质量体系</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从事污水监测的监测人员、监测仪器与设备设施等按</w:t>
      </w:r>
      <w:r>
        <w:rPr>
          <w:rFonts w:hint="eastAsia" w:ascii="宋体" w:hAnsi="宋体"/>
          <w:sz w:val="28"/>
          <w:szCs w:val="28"/>
          <w:highlight w:val="none"/>
          <w:lang w:val="en-US"/>
        </w:rPr>
        <w:t xml:space="preserve">《检验检测机构资质认定能力评价 检验监测机构通用要求》RB/T 214-2017、《HJ </w:t>
      </w:r>
      <w:r>
        <w:rPr>
          <w:rFonts w:hint="eastAsia" w:ascii="宋体" w:hAnsi="宋体"/>
          <w:sz w:val="28"/>
          <w:szCs w:val="28"/>
          <w:highlight w:val="none"/>
        </w:rPr>
        <w:t>630、HJ/T 373</w:t>
      </w:r>
      <w:r>
        <w:rPr>
          <w:rFonts w:hint="eastAsia" w:ascii="宋体" w:hAnsi="宋体"/>
          <w:sz w:val="28"/>
          <w:szCs w:val="28"/>
          <w:highlight w:val="none"/>
          <w:lang w:val="en-US"/>
        </w:rPr>
        <w:t>》</w:t>
      </w:r>
      <w:r>
        <w:rPr>
          <w:rFonts w:hint="eastAsia" w:ascii="宋体" w:hAnsi="宋体"/>
          <w:sz w:val="28"/>
          <w:szCs w:val="28"/>
          <w:highlight w:val="none"/>
        </w:rPr>
        <w:t xml:space="preserve"> 等相关内容执行。</w:t>
      </w:r>
    </w:p>
    <w:p>
      <w:pPr>
        <w:pStyle w:val="17"/>
        <w:spacing w:line="240" w:lineRule="auto"/>
        <w:ind w:left="-420" w:leftChars="-200" w:firstLine="560"/>
        <w:outlineLvl w:val="1"/>
        <w:rPr>
          <w:rFonts w:hint="eastAsia" w:ascii="宋体" w:hAnsi="宋体" w:eastAsia="宋体"/>
          <w:sz w:val="28"/>
          <w:szCs w:val="28"/>
          <w:highlight w:val="none"/>
          <w:u w:val="single"/>
          <w:lang w:eastAsia="zh-CN"/>
        </w:rPr>
      </w:pPr>
      <w:r>
        <w:rPr>
          <w:rFonts w:hint="eastAsia" w:ascii="宋体" w:hAnsi="宋体"/>
          <w:sz w:val="28"/>
          <w:szCs w:val="28"/>
          <w:highlight w:val="none"/>
          <w:u w:val="single"/>
        </w:rPr>
        <w:t xml:space="preserve">污水厂检测人员: </w:t>
      </w:r>
      <w:r>
        <w:rPr>
          <w:rFonts w:ascii="宋体" w:hAnsi="宋体" w:eastAsia="宋体" w:cs="宋体"/>
          <w:sz w:val="30"/>
          <w:szCs w:val="30"/>
          <w:u w:val="single"/>
        </w:rPr>
        <w:t>肖琼、曾华华、陈艳</w:t>
      </w:r>
      <w:r>
        <w:rPr>
          <w:rFonts w:hint="eastAsia" w:ascii="宋体" w:hAnsi="宋体"/>
          <w:sz w:val="28"/>
          <w:szCs w:val="28"/>
          <w:highlight w:val="none"/>
          <w:u w:val="single"/>
          <w:lang w:eastAsia="zh-CN"/>
        </w:rPr>
        <w:t>。</w:t>
      </w:r>
    </w:p>
    <w:p>
      <w:pPr>
        <w:pStyle w:val="17"/>
        <w:spacing w:line="240" w:lineRule="auto"/>
        <w:ind w:left="-420" w:leftChars="-200" w:firstLine="560"/>
        <w:outlineLvl w:val="1"/>
        <w:rPr>
          <w:rFonts w:hint="default" w:ascii="宋体" w:hAnsi="宋体"/>
          <w:sz w:val="28"/>
          <w:szCs w:val="28"/>
          <w:highlight w:val="none"/>
          <w:u w:val="single"/>
          <w:lang w:val="en-US"/>
        </w:rPr>
      </w:pPr>
      <w:r>
        <w:rPr>
          <w:rFonts w:hint="eastAsia" w:ascii="宋体" w:hAnsi="宋体"/>
          <w:sz w:val="28"/>
          <w:szCs w:val="28"/>
          <w:highlight w:val="none"/>
          <w:u w:val="single"/>
        </w:rPr>
        <w:t>污水厂主要检测仪器与设备:</w:t>
      </w:r>
      <w:r>
        <w:rPr>
          <w:rFonts w:hint="eastAsia" w:ascii="宋体" w:hAnsi="宋体"/>
          <w:sz w:val="28"/>
          <w:szCs w:val="28"/>
          <w:highlight w:val="none"/>
          <w:u w:val="single"/>
          <w:lang w:eastAsia="zh-CN"/>
        </w:rPr>
        <w:t>紫外分光光度计、</w:t>
      </w:r>
      <w:r>
        <w:rPr>
          <w:rFonts w:hint="eastAsia" w:ascii="宋体" w:hAnsi="宋体" w:eastAsia="宋体" w:cs="宋体"/>
          <w:b w:val="0"/>
          <w:bCs w:val="0"/>
          <w:i w:val="0"/>
          <w:color w:val="auto"/>
          <w:kern w:val="0"/>
          <w:sz w:val="28"/>
          <w:szCs w:val="28"/>
          <w:highlight w:val="none"/>
          <w:u w:val="single"/>
          <w:lang w:val="en-US" w:eastAsia="zh-CN" w:bidi="ar"/>
        </w:rPr>
        <w:t>生化培养箱</w:t>
      </w:r>
      <w:r>
        <w:rPr>
          <w:rFonts w:hint="eastAsia" w:ascii="宋体" w:hAnsi="宋体" w:cs="宋体"/>
          <w:b w:val="0"/>
          <w:bCs w:val="0"/>
          <w:i w:val="0"/>
          <w:color w:val="auto"/>
          <w:kern w:val="0"/>
          <w:sz w:val="28"/>
          <w:szCs w:val="28"/>
          <w:highlight w:val="none"/>
          <w:u w:val="single"/>
          <w:lang w:val="en-US" w:eastAsia="zh-CN" w:bidi="ar"/>
        </w:rPr>
        <w:t>、</w:t>
      </w:r>
      <w:r>
        <w:rPr>
          <w:rFonts w:hint="eastAsia" w:ascii="宋体" w:hAnsi="宋体" w:eastAsia="宋体" w:cs="宋体"/>
          <w:b w:val="0"/>
          <w:bCs w:val="0"/>
          <w:i w:val="0"/>
          <w:color w:val="auto"/>
          <w:kern w:val="0"/>
          <w:sz w:val="28"/>
          <w:szCs w:val="28"/>
          <w:highlight w:val="none"/>
          <w:u w:val="single"/>
          <w:lang w:val="en-US" w:eastAsia="zh-CN" w:bidi="ar"/>
        </w:rPr>
        <w:t>高温灭菌器</w:t>
      </w:r>
      <w:r>
        <w:rPr>
          <w:rFonts w:hint="eastAsia" w:ascii="宋体" w:hAnsi="宋体" w:cs="宋体"/>
          <w:b w:val="0"/>
          <w:bCs w:val="0"/>
          <w:i w:val="0"/>
          <w:color w:val="auto"/>
          <w:kern w:val="0"/>
          <w:sz w:val="28"/>
          <w:szCs w:val="28"/>
          <w:highlight w:val="none"/>
          <w:u w:val="single"/>
          <w:lang w:val="en-US" w:eastAsia="zh-CN" w:bidi="ar"/>
        </w:rPr>
        <w:t>、显微镜、COD快速消解仪、万分之一天平、Ph计、</w:t>
      </w:r>
      <w:r>
        <w:rPr>
          <w:rFonts w:hint="eastAsia" w:ascii="宋体" w:hAnsi="宋体" w:eastAsia="宋体" w:cs="宋体"/>
          <w:b w:val="0"/>
          <w:bCs w:val="0"/>
          <w:i w:val="0"/>
          <w:color w:val="auto"/>
          <w:kern w:val="0"/>
          <w:sz w:val="28"/>
          <w:szCs w:val="28"/>
          <w:highlight w:val="none"/>
          <w:u w:val="single"/>
          <w:lang w:val="en-US" w:eastAsia="zh-CN" w:bidi="ar"/>
        </w:rPr>
        <w:t>超纯水机</w:t>
      </w:r>
      <w:r>
        <w:rPr>
          <w:rFonts w:hint="eastAsia" w:ascii="宋体" w:hAnsi="宋体" w:cs="宋体"/>
          <w:b w:val="0"/>
          <w:bCs w:val="0"/>
          <w:i w:val="0"/>
          <w:color w:val="auto"/>
          <w:kern w:val="0"/>
          <w:sz w:val="28"/>
          <w:szCs w:val="28"/>
          <w:highlight w:val="none"/>
          <w:u w:val="single"/>
          <w:lang w:val="en-US" w:eastAsia="zh-CN" w:bidi="ar"/>
        </w:rPr>
        <w:t>、</w:t>
      </w:r>
      <w:r>
        <w:rPr>
          <w:rFonts w:hint="eastAsia" w:ascii="宋体" w:hAnsi="宋体" w:eastAsia="宋体" w:cs="宋体"/>
          <w:b w:val="0"/>
          <w:bCs w:val="0"/>
          <w:i w:val="0"/>
          <w:color w:val="auto"/>
          <w:kern w:val="0"/>
          <w:sz w:val="28"/>
          <w:szCs w:val="28"/>
          <w:highlight w:val="none"/>
          <w:u w:val="single"/>
          <w:lang w:val="en-US" w:eastAsia="zh-CN" w:bidi="ar"/>
        </w:rPr>
        <w:t>磁力搅拌器</w:t>
      </w:r>
      <w:r>
        <w:rPr>
          <w:rFonts w:hint="eastAsia" w:ascii="宋体" w:hAnsi="宋体" w:cs="宋体"/>
          <w:b w:val="0"/>
          <w:bCs w:val="0"/>
          <w:i w:val="0"/>
          <w:color w:val="auto"/>
          <w:kern w:val="0"/>
          <w:sz w:val="28"/>
          <w:szCs w:val="28"/>
          <w:highlight w:val="none"/>
          <w:u w:val="single"/>
          <w:lang w:val="en-US" w:eastAsia="zh-CN" w:bidi="ar"/>
        </w:rPr>
        <w:t>、</w:t>
      </w:r>
      <w:r>
        <w:rPr>
          <w:rFonts w:hint="eastAsia" w:ascii="宋体" w:hAnsi="宋体" w:eastAsia="宋体" w:cs="宋体"/>
          <w:b w:val="0"/>
          <w:bCs w:val="0"/>
          <w:i w:val="0"/>
          <w:color w:val="auto"/>
          <w:kern w:val="0"/>
          <w:sz w:val="28"/>
          <w:szCs w:val="28"/>
          <w:highlight w:val="none"/>
          <w:u w:val="single"/>
          <w:lang w:val="en-US" w:eastAsia="zh-CN" w:bidi="ar"/>
        </w:rPr>
        <w:t>箱式电阻炉</w:t>
      </w:r>
      <w:r>
        <w:rPr>
          <w:rFonts w:hint="eastAsia" w:ascii="宋体" w:hAnsi="宋体" w:cs="宋体"/>
          <w:b w:val="0"/>
          <w:bCs w:val="0"/>
          <w:i w:val="0"/>
          <w:color w:val="auto"/>
          <w:kern w:val="0"/>
          <w:sz w:val="28"/>
          <w:szCs w:val="28"/>
          <w:highlight w:val="none"/>
          <w:u w:val="single"/>
          <w:lang w:val="en-US" w:eastAsia="zh-CN" w:bidi="ar"/>
        </w:rPr>
        <w:t>、水温计。</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1.2、监测设施与环境</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 xml:space="preserve"> 公司</w:t>
      </w:r>
      <w:r>
        <w:rPr>
          <w:rFonts w:hint="eastAsia" w:ascii="宋体" w:hAnsi="宋体"/>
          <w:sz w:val="28"/>
          <w:szCs w:val="28"/>
          <w:highlight w:val="none"/>
          <w:lang w:val="en-US"/>
        </w:rPr>
        <w:t>具备</w:t>
      </w:r>
      <w:r>
        <w:rPr>
          <w:rFonts w:hint="eastAsia" w:ascii="宋体" w:hAnsi="宋体"/>
          <w:sz w:val="28"/>
          <w:szCs w:val="28"/>
          <w:highlight w:val="none"/>
        </w:rPr>
        <w:t>固定的适合开展检测工作的实验场所。配备了适合开展工作的设施及满足检测工作的需要的环境条件。</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1.3</w:t>
      </w:r>
      <w:r>
        <w:rPr>
          <w:rFonts w:hint="eastAsia" w:ascii="宋体" w:hAnsi="宋体"/>
          <w:sz w:val="28"/>
          <w:szCs w:val="28"/>
          <w:highlight w:val="none"/>
        </w:rPr>
        <w:t>、监测仪器设备和实验试剂</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1.4</w:t>
      </w:r>
      <w:r>
        <w:rPr>
          <w:rFonts w:hint="eastAsia" w:ascii="宋体" w:hAnsi="宋体"/>
          <w:sz w:val="28"/>
          <w:szCs w:val="28"/>
          <w:highlight w:val="none"/>
        </w:rPr>
        <w:t>、监测方法技术能力验证</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按照国家标准分析方法要求，污水厂对检测能力范围内所有项目的检出限、精密度、准确度等指标进行了方法验证，验证结果均符合方法标准要求。</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2、</w:t>
      </w:r>
      <w:r>
        <w:rPr>
          <w:rFonts w:hint="eastAsia" w:ascii="宋体" w:hAnsi="宋体"/>
          <w:sz w:val="28"/>
          <w:szCs w:val="28"/>
          <w:highlight w:val="none"/>
        </w:rPr>
        <w:t>质量控制</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2.1、检测过程质量控制：</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污水厂化验室的质控措施包括全程序空白样、平行样、加标回收或质控样的测定，以及仪器仪表的校准。具体措施如下：</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 xml:space="preserve"> 空白样：化验室对分析的所有污染因子实施全程序空白样，每批样品检测必带空白样检测，以屏蔽其他外在因子对水样分析结果造成影响；</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平行样：对厂部所有分析水样做平行样检测，以减少实验误差对水样结果的影响；</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加标回收或质控样：按检测规范要求，厂部会对检测的污染因子进行加标回收或者质控样品的测定，以验证实验结果的准确性；</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（二）第三方检测质量保证与质量控制措施</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1、质量保证：</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1.1、对第三方的检测要求：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1.1.1、本污水厂委托检测的要求（检测项目、采样点位、检测频率、检测因子），第三方检测单位的检测能力应达到或优于本污水厂的要求，且符合国家有关标准和规范要求；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w:t>
      </w:r>
      <w:r>
        <w:rPr>
          <w:rFonts w:hint="eastAsia" w:ascii="宋体" w:hAnsi="宋体"/>
          <w:sz w:val="28"/>
          <w:szCs w:val="28"/>
          <w:highlight w:val="none"/>
          <w:lang w:val="en-US" w:eastAsia="zh-CN"/>
        </w:rPr>
        <w:t>2</w:t>
      </w:r>
      <w:r>
        <w:rPr>
          <w:rFonts w:hint="eastAsia" w:ascii="宋体" w:hAnsi="宋体"/>
          <w:sz w:val="28"/>
          <w:szCs w:val="28"/>
          <w:highlight w:val="none"/>
          <w:lang w:val="en-US"/>
        </w:rPr>
        <w:t>、 拥有独立的专项检测实验室；</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w:t>
      </w:r>
      <w:r>
        <w:rPr>
          <w:rFonts w:hint="eastAsia" w:ascii="宋体" w:hAnsi="宋体"/>
          <w:sz w:val="28"/>
          <w:szCs w:val="28"/>
          <w:highlight w:val="none"/>
          <w:lang w:val="en-US" w:eastAsia="zh-CN"/>
        </w:rPr>
        <w:t>3</w:t>
      </w:r>
      <w:r>
        <w:rPr>
          <w:rFonts w:hint="eastAsia" w:ascii="宋体" w:hAnsi="宋体"/>
          <w:sz w:val="28"/>
          <w:szCs w:val="28"/>
          <w:highlight w:val="none"/>
          <w:lang w:val="en-US"/>
        </w:rPr>
        <w:t>、实验室有相关的内部质量控制管理和外部质量控制管理。</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w:t>
      </w:r>
      <w:r>
        <w:rPr>
          <w:rFonts w:hint="eastAsia" w:ascii="宋体" w:hAnsi="宋体"/>
          <w:sz w:val="28"/>
          <w:szCs w:val="28"/>
          <w:highlight w:val="none"/>
          <w:lang w:val="en-US" w:eastAsia="zh-CN"/>
        </w:rPr>
        <w:t>4</w:t>
      </w:r>
      <w:r>
        <w:rPr>
          <w:rFonts w:hint="eastAsia" w:ascii="宋体" w:hAnsi="宋体"/>
          <w:sz w:val="28"/>
          <w:szCs w:val="28"/>
          <w:highlight w:val="none"/>
          <w:lang w:val="en-US"/>
        </w:rPr>
        <w:t>、 需配备实验所需的检测仪器；使用的仪器设备需定期进行检定合格和校准并符合相关要求。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w:t>
      </w:r>
      <w:r>
        <w:rPr>
          <w:rFonts w:hint="eastAsia" w:ascii="宋体" w:hAnsi="宋体"/>
          <w:sz w:val="28"/>
          <w:szCs w:val="28"/>
          <w:highlight w:val="none"/>
          <w:lang w:val="en-US" w:eastAsia="zh-CN"/>
        </w:rPr>
        <w:t>5</w:t>
      </w:r>
      <w:r>
        <w:rPr>
          <w:rFonts w:hint="eastAsia" w:ascii="宋体" w:hAnsi="宋体"/>
          <w:sz w:val="28"/>
          <w:szCs w:val="28"/>
          <w:highlight w:val="none"/>
          <w:lang w:val="en-US"/>
        </w:rPr>
        <w:t>、按照《水质采样 样品的保存和管理技术规定》HJ493-2009规范要求，保障样品及时进入实验室；</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w:t>
      </w:r>
      <w:r>
        <w:rPr>
          <w:rFonts w:hint="eastAsia" w:ascii="宋体" w:hAnsi="宋体"/>
          <w:sz w:val="28"/>
          <w:szCs w:val="28"/>
          <w:highlight w:val="none"/>
          <w:lang w:val="en-US" w:eastAsia="zh-CN"/>
        </w:rPr>
        <w:t>6</w:t>
      </w:r>
      <w:r>
        <w:rPr>
          <w:rFonts w:hint="eastAsia" w:ascii="宋体" w:hAnsi="宋体"/>
          <w:sz w:val="28"/>
          <w:szCs w:val="28"/>
          <w:highlight w:val="none"/>
          <w:lang w:val="en-US"/>
        </w:rPr>
        <w:t>、</w:t>
      </w:r>
      <w:r>
        <w:rPr>
          <w:rFonts w:hint="eastAsia" w:ascii="宋体" w:hAnsi="宋体"/>
          <w:sz w:val="28"/>
          <w:szCs w:val="28"/>
          <w:highlight w:val="none"/>
          <w:lang w:val="en-US" w:eastAsia="zh-CN"/>
        </w:rPr>
        <w:t>样品</w:t>
      </w:r>
      <w:r>
        <w:rPr>
          <w:rFonts w:hint="eastAsia" w:ascii="宋体" w:hAnsi="宋体"/>
          <w:sz w:val="28"/>
          <w:szCs w:val="28"/>
          <w:highlight w:val="none"/>
          <w:lang w:val="en-US"/>
        </w:rPr>
        <w:t>采样、运输、检测、留样由</w:t>
      </w:r>
      <w:r>
        <w:rPr>
          <w:rFonts w:hint="eastAsia" w:ascii="宋体" w:hAnsi="宋体"/>
          <w:sz w:val="28"/>
          <w:szCs w:val="28"/>
          <w:highlight w:val="none"/>
          <w:lang w:val="en-US" w:eastAsia="zh-CN"/>
        </w:rPr>
        <w:t>第三方检测机构</w:t>
      </w:r>
      <w:r>
        <w:rPr>
          <w:rFonts w:hint="eastAsia" w:ascii="宋体" w:hAnsi="宋体"/>
          <w:sz w:val="28"/>
          <w:szCs w:val="28"/>
          <w:highlight w:val="none"/>
          <w:lang w:val="en-US"/>
        </w:rPr>
        <w:t>自行负责。</w:t>
      </w:r>
    </w:p>
    <w:p>
      <w:pPr>
        <w:pStyle w:val="17"/>
        <w:spacing w:line="240" w:lineRule="auto"/>
        <w:ind w:left="-420" w:leftChars="-200" w:firstLine="560"/>
        <w:outlineLvl w:val="1"/>
        <w:rPr>
          <w:rFonts w:hint="eastAsia" w:ascii="宋体" w:hAnsi="宋体" w:eastAsia="宋体"/>
          <w:sz w:val="28"/>
          <w:szCs w:val="28"/>
          <w:highlight w:val="none"/>
          <w:lang w:val="en-US" w:eastAsia="zh-CN"/>
        </w:rPr>
      </w:pPr>
      <w:r>
        <w:rPr>
          <w:rFonts w:hint="eastAsia" w:ascii="宋体" w:hAnsi="宋体"/>
          <w:sz w:val="28"/>
          <w:szCs w:val="28"/>
          <w:highlight w:val="none"/>
          <w:lang w:val="en-US"/>
        </w:rPr>
        <w:t>1.1.</w:t>
      </w:r>
      <w:r>
        <w:rPr>
          <w:rFonts w:hint="eastAsia" w:ascii="宋体" w:hAnsi="宋体"/>
          <w:sz w:val="28"/>
          <w:szCs w:val="28"/>
          <w:highlight w:val="none"/>
          <w:lang w:val="en-US" w:eastAsia="zh-CN"/>
        </w:rPr>
        <w:t>7</w:t>
      </w:r>
      <w:r>
        <w:rPr>
          <w:rFonts w:hint="eastAsia" w:ascii="宋体" w:hAnsi="宋体"/>
          <w:sz w:val="28"/>
          <w:szCs w:val="28"/>
          <w:highlight w:val="none"/>
          <w:lang w:val="en-US"/>
        </w:rPr>
        <w:t>、</w:t>
      </w:r>
      <w:r>
        <w:rPr>
          <w:rFonts w:hint="eastAsia" w:ascii="宋体" w:hAnsi="宋体"/>
          <w:sz w:val="28"/>
          <w:szCs w:val="28"/>
          <w:highlight w:val="none"/>
          <w:lang w:val="en-US" w:eastAsia="zh-CN"/>
        </w:rPr>
        <w:t>第三方检测机构</w:t>
      </w:r>
      <w:r>
        <w:rPr>
          <w:rFonts w:hint="eastAsia" w:ascii="宋体" w:hAnsi="宋体"/>
          <w:sz w:val="28"/>
          <w:szCs w:val="28"/>
          <w:highlight w:val="none"/>
          <w:lang w:val="en-US"/>
        </w:rPr>
        <w:t>采样后，</w:t>
      </w:r>
      <w:r>
        <w:rPr>
          <w:rFonts w:hint="eastAsia" w:ascii="宋体" w:hAnsi="宋体"/>
          <w:sz w:val="28"/>
          <w:szCs w:val="28"/>
          <w:highlight w:val="none"/>
          <w:lang w:val="en-US" w:eastAsia="zh-CN"/>
        </w:rPr>
        <w:t>按</w:t>
      </w:r>
      <w:r>
        <w:rPr>
          <w:rFonts w:hint="eastAsia" w:ascii="宋体" w:hAnsi="宋体"/>
          <w:sz w:val="28"/>
          <w:szCs w:val="28"/>
          <w:highlight w:val="none"/>
          <w:lang w:val="en-US"/>
        </w:rPr>
        <w:t>国家标准要求进行检测、填写原始记录表、出具监测报告并拍照</w:t>
      </w:r>
      <w:r>
        <w:rPr>
          <w:rFonts w:hint="eastAsia" w:ascii="宋体" w:hAnsi="宋体"/>
          <w:sz w:val="28"/>
          <w:szCs w:val="28"/>
          <w:highlight w:val="none"/>
          <w:lang w:val="en-US" w:eastAsia="zh-CN"/>
        </w:rPr>
        <w:t>。</w:t>
      </w:r>
    </w:p>
    <w:p>
      <w:pPr>
        <w:pStyle w:val="4"/>
        <w:rPr>
          <w:rFonts w:hint="eastAsia" w:ascii="宋体" w:hAnsi="宋体" w:eastAsia="宋体" w:cs="宋体"/>
          <w:kern w:val="2"/>
          <w:sz w:val="28"/>
          <w:szCs w:val="28"/>
          <w:highlight w:val="none"/>
          <w:lang w:val="en-US" w:eastAsia="zh-CN" w:bidi="ar-SA"/>
        </w:rPr>
      </w:pPr>
      <w:r>
        <w:rPr>
          <w:rFonts w:hint="eastAsia" w:ascii="宋体" w:hAnsi="宋体"/>
          <w:sz w:val="28"/>
          <w:szCs w:val="28"/>
          <w:highlight w:val="none"/>
          <w:lang w:val="en-US"/>
        </w:rPr>
        <w:t>1.1.</w:t>
      </w:r>
      <w:r>
        <w:rPr>
          <w:rFonts w:hint="eastAsia" w:ascii="宋体" w:hAnsi="宋体"/>
          <w:sz w:val="28"/>
          <w:szCs w:val="28"/>
          <w:highlight w:val="none"/>
          <w:lang w:val="en-US" w:eastAsia="zh-CN"/>
        </w:rPr>
        <w:t>8</w:t>
      </w:r>
      <w:r>
        <w:rPr>
          <w:rFonts w:hint="eastAsia" w:ascii="宋体" w:hAnsi="宋体"/>
          <w:sz w:val="28"/>
          <w:szCs w:val="28"/>
          <w:highlight w:val="none"/>
          <w:lang w:val="en-US"/>
        </w:rPr>
        <w:t>、</w:t>
      </w:r>
      <w:r>
        <w:rPr>
          <w:rFonts w:hint="eastAsia" w:ascii="宋体" w:hAnsi="宋体" w:eastAsia="宋体" w:cs="宋体"/>
          <w:kern w:val="2"/>
          <w:sz w:val="28"/>
          <w:szCs w:val="28"/>
          <w:highlight w:val="none"/>
          <w:lang w:val="en-US" w:eastAsia="zh-CN" w:bidi="ar-SA"/>
        </w:rPr>
        <w:t>第三方检测机构应在合同规定的时间内将每次检测的采样及样品流转记录、检测及原始记录、加盖鲜章的检测报告扫描件发送至指定邮箱并寄送纸质版至我公司。</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2</w:t>
      </w:r>
      <w:r>
        <w:rPr>
          <w:rFonts w:hint="eastAsia" w:ascii="宋体" w:hAnsi="宋体"/>
          <w:sz w:val="28"/>
          <w:szCs w:val="28"/>
          <w:highlight w:val="none"/>
        </w:rPr>
        <w:t>、第三方内部质量控制活动</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2.1第三方</w:t>
      </w:r>
      <w:r>
        <w:rPr>
          <w:rFonts w:hint="eastAsia" w:ascii="宋体" w:hAnsi="宋体"/>
          <w:sz w:val="28"/>
          <w:szCs w:val="28"/>
          <w:highlight w:val="none"/>
        </w:rPr>
        <w:t>内部质量控制技术校核</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（1）每次检测样品前均制作标准曲线或应用标准溶液校准标准曲线。</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（2）定期使用有证标准物质进行内部质量控制活动。</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（3）使用相同或不同的方法进行重复检测。</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（4）分析一个样品的不同特性结果的相关性。</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（5）密码平行样品、加标样品检测等考核。</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（6）对所得检测结果测量不确定度进行评定。</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（7）细菌检测培养基应用参考菌种进行灵敏度实验。</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2.2第三方</w:t>
      </w:r>
      <w:r>
        <w:rPr>
          <w:rFonts w:hint="eastAsia" w:ascii="宋体" w:hAnsi="宋体"/>
          <w:sz w:val="28"/>
          <w:szCs w:val="28"/>
          <w:highlight w:val="none"/>
        </w:rPr>
        <w:t>内部质量控制计划</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（1）检测部根据质量控制计划，针对不同检测项目安排开展工作。</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（2）内部开展的一切质控活动的情况均应纳入每年的管理评审，进行评价。</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（3）档案管理员应按质量控制的计划，及时收集有关资料并编号归档保存。</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w:t>
      </w:r>
      <w:r>
        <w:rPr>
          <w:rFonts w:hint="eastAsia" w:ascii="宋体" w:hAnsi="宋体"/>
          <w:sz w:val="28"/>
          <w:szCs w:val="28"/>
          <w:highlight w:val="none"/>
          <w:lang w:val="en-US" w:eastAsia="zh-CN"/>
        </w:rPr>
        <w:t>3</w:t>
      </w:r>
      <w:r>
        <w:rPr>
          <w:rFonts w:hint="eastAsia" w:ascii="宋体" w:hAnsi="宋体"/>
          <w:sz w:val="28"/>
          <w:szCs w:val="28"/>
          <w:highlight w:val="none"/>
          <w:lang w:val="en-US"/>
        </w:rPr>
        <w:t>、委托方对第三方检测公司的质控措施</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w:t>
      </w:r>
      <w:r>
        <w:rPr>
          <w:rFonts w:hint="eastAsia" w:ascii="宋体" w:hAnsi="宋体"/>
          <w:sz w:val="28"/>
          <w:szCs w:val="28"/>
          <w:highlight w:val="none"/>
          <w:lang w:val="en-US" w:eastAsia="zh-CN"/>
        </w:rPr>
        <w:t>3</w:t>
      </w:r>
      <w:r>
        <w:rPr>
          <w:rFonts w:hint="eastAsia" w:ascii="宋体" w:hAnsi="宋体"/>
          <w:sz w:val="28"/>
          <w:szCs w:val="28"/>
          <w:highlight w:val="none"/>
          <w:lang w:val="en-US"/>
        </w:rPr>
        <w:t>.1、查看第三方检测公司的CMA资质，需有资质检测委托的相关项目，及相应检测报告、采样及样品流转、原始记录是否符合相关标准规范；</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w:t>
      </w:r>
      <w:r>
        <w:rPr>
          <w:rFonts w:hint="eastAsia" w:ascii="宋体" w:hAnsi="宋体"/>
          <w:sz w:val="28"/>
          <w:szCs w:val="28"/>
          <w:highlight w:val="none"/>
          <w:lang w:val="en-US" w:eastAsia="zh-CN"/>
        </w:rPr>
        <w:t>3</w:t>
      </w:r>
      <w:r>
        <w:rPr>
          <w:rFonts w:hint="eastAsia" w:ascii="宋体" w:hAnsi="宋体"/>
          <w:sz w:val="28"/>
          <w:szCs w:val="28"/>
          <w:highlight w:val="none"/>
          <w:lang w:val="en-US"/>
        </w:rPr>
        <w:t>.2、查看第三方检测公司CMA认证的实验室，是否配备有相应的仪器设备及人员，所采用的检测方法是否符合相应标准规范的要求；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w:t>
      </w:r>
      <w:r>
        <w:rPr>
          <w:rFonts w:hint="eastAsia" w:ascii="宋体" w:hAnsi="宋体"/>
          <w:sz w:val="28"/>
          <w:szCs w:val="28"/>
          <w:highlight w:val="none"/>
          <w:lang w:val="en-US" w:eastAsia="zh-CN"/>
        </w:rPr>
        <w:t>3</w:t>
      </w:r>
      <w:r>
        <w:rPr>
          <w:rFonts w:hint="eastAsia" w:ascii="宋体" w:hAnsi="宋体"/>
          <w:sz w:val="28"/>
          <w:szCs w:val="28"/>
          <w:highlight w:val="none"/>
          <w:lang w:val="en-US"/>
        </w:rPr>
        <w:t>.3、对第三方检测公司实施质控样盲样比对，频次是一年1-3次；</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w:t>
      </w:r>
      <w:r>
        <w:rPr>
          <w:rFonts w:hint="eastAsia" w:ascii="宋体" w:hAnsi="宋体"/>
          <w:sz w:val="28"/>
          <w:szCs w:val="28"/>
          <w:highlight w:val="none"/>
          <w:lang w:val="en-US" w:eastAsia="zh-CN"/>
        </w:rPr>
        <w:t>3</w:t>
      </w:r>
      <w:r>
        <w:rPr>
          <w:rFonts w:hint="eastAsia" w:ascii="宋体" w:hAnsi="宋体"/>
          <w:sz w:val="28"/>
          <w:szCs w:val="28"/>
          <w:highlight w:val="none"/>
          <w:lang w:val="en-US"/>
        </w:rPr>
        <w:t>.4、查看第三方检测公司对委托检测合同条款的履行情况。</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、检测及结果质量控制</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.2、检验检测工作由培训合格的、有相关技术能力和专业背景，经本公司能力确认并由最高管理者授权的人员进行。</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.3、使用定期进行检定合格和校准符合要求的仪器设备，用于检验检测活动。按计划开展仪器设备的期间核查工作，保持其原有状态，防止使用不符合技术规范要求的设备。</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.4、尽可能使用有证标准物质，按计划开展标准物质期间核查工作，确保相关检测的结果能够溯源到国家基准。</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.5、对影响检测结果的化学试剂等消耗品进行质量验证，保证其使用不影响最终检测结果和质量。</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.6、定期开展标准查新和更换，保证检测室现场使用的检测标准、作业指导书均为现行有效版本。</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.7、对现场环境条件及设施进行有效监控，保证环境条件和相关设施符合检验检测活动要求。</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.8、检测部质量监督员对涉及检测结果的各项活动进行充分监督，尽可能运用统计技术对实验室的检测结果质量进行控制。</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5</w:t>
      </w:r>
      <w:r>
        <w:rPr>
          <w:rFonts w:hint="eastAsia" w:ascii="宋体" w:hAnsi="宋体"/>
          <w:sz w:val="28"/>
          <w:szCs w:val="28"/>
          <w:highlight w:val="none"/>
        </w:rPr>
        <w:t>、检测报告质量控制</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5</w:t>
      </w:r>
      <w:r>
        <w:rPr>
          <w:rFonts w:hint="eastAsia" w:ascii="宋体" w:hAnsi="宋体"/>
          <w:sz w:val="28"/>
          <w:szCs w:val="28"/>
          <w:highlight w:val="none"/>
        </w:rPr>
        <w:t>.1、检测报告编制人员、各级报告审查人员检查有关检测记录、检测方法、报告格式、结果判定是否满足要求，授权签字人对报告的正确性负责。</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5</w:t>
      </w:r>
      <w:r>
        <w:rPr>
          <w:rFonts w:hint="eastAsia" w:ascii="宋体" w:hAnsi="宋体"/>
          <w:sz w:val="28"/>
          <w:szCs w:val="28"/>
          <w:highlight w:val="none"/>
        </w:rPr>
        <w:t>.2、报告检查中，无论哪个环节发现问题，及时反馈，及时纠正，实现对报告质量的有效控制。</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w:t>
      </w:r>
      <w:r>
        <w:rPr>
          <w:rFonts w:hint="eastAsia" w:ascii="宋体" w:hAnsi="宋体"/>
          <w:sz w:val="28"/>
          <w:szCs w:val="28"/>
          <w:highlight w:val="none"/>
          <w:lang w:val="en-US"/>
        </w:rPr>
        <w:t>五</w:t>
      </w:r>
      <w:r>
        <w:rPr>
          <w:rFonts w:hint="eastAsia" w:ascii="宋体" w:hAnsi="宋体"/>
          <w:sz w:val="28"/>
          <w:szCs w:val="28"/>
          <w:highlight w:val="none"/>
        </w:rPr>
        <w:t>）在线运维质量保证与质量控制措施</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对水污染源在线监测系统各监测仪每月进行不少于一次手动/自动校准，至少进行一次实际水样比对试验和质控样试验，对上位机数据、仪表数据、数采仪数据、</w:t>
      </w:r>
      <w:r>
        <w:rPr>
          <w:rFonts w:hint="eastAsia" w:ascii="宋体" w:hAnsi="宋体"/>
          <w:sz w:val="28"/>
          <w:szCs w:val="28"/>
          <w:highlight w:val="none"/>
          <w:lang w:val="en-US" w:eastAsia="zh-CN"/>
        </w:rPr>
        <w:t>在线平</w:t>
      </w:r>
      <w:r>
        <w:rPr>
          <w:rFonts w:hint="eastAsia" w:ascii="宋体" w:hAnsi="宋体"/>
          <w:sz w:val="28"/>
          <w:szCs w:val="28"/>
          <w:highlight w:val="none"/>
        </w:rPr>
        <w:t>台数据进行不少于一次的一致性比对、校准。</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1、运维技术要求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对 COD</w:t>
      </w:r>
      <w:r>
        <w:rPr>
          <w:rFonts w:hint="eastAsia" w:ascii="宋体" w:hAnsi="宋体"/>
          <w:sz w:val="28"/>
          <w:szCs w:val="28"/>
          <w:highlight w:val="none"/>
          <w:vertAlign w:val="subscript"/>
          <w:lang w:val="en-US"/>
        </w:rPr>
        <w:t>Cr</w:t>
      </w:r>
      <w:r>
        <w:rPr>
          <w:rFonts w:hint="eastAsia" w:ascii="宋体" w:hAnsi="宋体"/>
          <w:sz w:val="28"/>
          <w:szCs w:val="28"/>
          <w:highlight w:val="none"/>
          <w:lang w:val="en-US"/>
        </w:rPr>
        <w:t>、TOC、NH</w:t>
      </w:r>
      <w:r>
        <w:rPr>
          <w:rFonts w:hint="eastAsia" w:ascii="宋体" w:hAnsi="宋体"/>
          <w:sz w:val="28"/>
          <w:szCs w:val="28"/>
          <w:highlight w:val="none"/>
          <w:vertAlign w:val="subscript"/>
          <w:lang w:val="en-US"/>
        </w:rPr>
        <w:t>3</w:t>
      </w:r>
      <w:r>
        <w:rPr>
          <w:rFonts w:hint="eastAsia" w:ascii="宋体" w:hAnsi="宋体"/>
          <w:sz w:val="28"/>
          <w:szCs w:val="28"/>
          <w:highlight w:val="none"/>
          <w:lang w:val="en-US"/>
        </w:rPr>
        <w:t>-N、TP、TN 水质自动分析仪按照 HJ-355 的要求定期进行自动标样核查和自动校准，自动标样核查结果应满足HJ-355表1要求。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对 COD</w:t>
      </w:r>
      <w:r>
        <w:rPr>
          <w:rFonts w:hint="eastAsia" w:ascii="宋体" w:hAnsi="宋体"/>
          <w:sz w:val="28"/>
          <w:szCs w:val="28"/>
          <w:highlight w:val="none"/>
          <w:vertAlign w:val="subscript"/>
          <w:lang w:val="en-US"/>
        </w:rPr>
        <w:t>Cr</w:t>
      </w:r>
      <w:r>
        <w:rPr>
          <w:rFonts w:hint="eastAsia" w:ascii="宋体" w:hAnsi="宋体"/>
          <w:sz w:val="28"/>
          <w:szCs w:val="28"/>
          <w:highlight w:val="none"/>
          <w:lang w:val="en-US"/>
        </w:rPr>
        <w:t>、TOC、NH</w:t>
      </w:r>
      <w:r>
        <w:rPr>
          <w:rFonts w:hint="eastAsia" w:ascii="宋体" w:hAnsi="宋体"/>
          <w:sz w:val="28"/>
          <w:szCs w:val="28"/>
          <w:highlight w:val="none"/>
          <w:vertAlign w:val="subscript"/>
          <w:lang w:val="en-US"/>
        </w:rPr>
        <w:t>3</w:t>
      </w:r>
      <w:r>
        <w:rPr>
          <w:rFonts w:hint="eastAsia" w:ascii="宋体" w:hAnsi="宋体"/>
          <w:sz w:val="28"/>
          <w:szCs w:val="28"/>
          <w:highlight w:val="none"/>
          <w:lang w:val="en-US"/>
        </w:rPr>
        <w:t>-N、TP、TN、pH 水质自动分析仪、温度计及超声波明渠流量计按照HJ-355要求定期进行实际水样比对试验，比对试验结果应满足HJ-355表1的要求，实际水样国家环境监测分析方法标准。</w:t>
      </w:r>
    </w:p>
    <w:p>
      <w:pPr>
        <w:pStyle w:val="17"/>
        <w:spacing w:line="240" w:lineRule="auto"/>
        <w:ind w:left="-420" w:leftChars="-200" w:firstLine="560"/>
        <w:outlineLvl w:val="1"/>
        <w:rPr>
          <w:rFonts w:hint="eastAsia" w:ascii="宋体" w:hAnsi="宋体"/>
          <w:sz w:val="28"/>
          <w:szCs w:val="28"/>
          <w:highlight w:val="none"/>
          <w:lang w:val="en-US"/>
        </w:rPr>
      </w:pPr>
      <w:r>
        <w:rPr>
          <w:rFonts w:hint="eastAsia" w:ascii="宋体" w:hAnsi="宋体"/>
          <w:sz w:val="28"/>
          <w:szCs w:val="28"/>
          <w:highlight w:val="none"/>
          <w:lang w:val="en-US" w:eastAsia="zh-CN"/>
        </w:rPr>
        <w:t>2</w:t>
      </w:r>
      <w:r>
        <w:rPr>
          <w:rFonts w:hint="eastAsia" w:ascii="宋体" w:hAnsi="宋体"/>
          <w:sz w:val="28"/>
          <w:szCs w:val="28"/>
          <w:highlight w:val="none"/>
          <w:lang w:val="en-US"/>
        </w:rPr>
        <w:t>、校验、比对试验和质控样测试工作要求。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2</w:t>
      </w:r>
      <w:r>
        <w:rPr>
          <w:rFonts w:hint="eastAsia" w:ascii="宋体" w:hAnsi="宋体"/>
          <w:sz w:val="28"/>
          <w:szCs w:val="28"/>
          <w:highlight w:val="none"/>
          <w:lang w:val="en-US"/>
        </w:rPr>
        <w:t>.1必要时对设备进行量程漂移、零点漂移和重复性测试。</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rPr>
        <w:t>（1）</w:t>
      </w:r>
      <w:r>
        <w:rPr>
          <w:rFonts w:hint="eastAsia" w:ascii="宋体" w:hAnsi="宋体"/>
          <w:sz w:val="28"/>
          <w:szCs w:val="28"/>
          <w:highlight w:val="none"/>
          <w:lang w:val="en-US"/>
        </w:rPr>
        <w:t>COD</w:t>
      </w:r>
      <w:r>
        <w:rPr>
          <w:rFonts w:hint="eastAsia" w:ascii="宋体" w:hAnsi="宋体"/>
          <w:sz w:val="28"/>
          <w:szCs w:val="28"/>
          <w:highlight w:val="none"/>
          <w:vertAlign w:val="subscript"/>
          <w:lang w:val="en-US"/>
        </w:rPr>
        <w:t>Cr</w:t>
      </w:r>
      <w:r>
        <w:rPr>
          <w:rFonts w:hint="eastAsia" w:ascii="宋体" w:hAnsi="宋体"/>
          <w:sz w:val="28"/>
          <w:szCs w:val="28"/>
          <w:highlight w:val="none"/>
          <w:lang w:val="en-US"/>
        </w:rPr>
        <w:t>自动监测仪的量程漂移、零点漂移和重复性测试方法见HJ377-2019《化学需氧量（COD</w:t>
      </w:r>
      <w:r>
        <w:rPr>
          <w:rFonts w:hint="eastAsia" w:ascii="宋体" w:hAnsi="宋体"/>
          <w:sz w:val="28"/>
          <w:szCs w:val="28"/>
          <w:highlight w:val="none"/>
          <w:vertAlign w:val="subscript"/>
          <w:lang w:val="en-US"/>
        </w:rPr>
        <w:t>Cr</w:t>
      </w:r>
      <w:r>
        <w:rPr>
          <w:rFonts w:hint="eastAsia" w:ascii="宋体" w:hAnsi="宋体"/>
          <w:sz w:val="28"/>
          <w:szCs w:val="28"/>
          <w:highlight w:val="none"/>
          <w:lang w:val="en-US"/>
        </w:rPr>
        <w:t>）水质在线自动监测仪技术要求及检测方法》。</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rPr>
        <w:t>（</w:t>
      </w:r>
      <w:r>
        <w:rPr>
          <w:rFonts w:hint="eastAsia" w:ascii="宋体" w:hAnsi="宋体"/>
          <w:sz w:val="28"/>
          <w:szCs w:val="28"/>
          <w:highlight w:val="none"/>
          <w:lang w:val="en-US"/>
        </w:rPr>
        <w:t>2</w:t>
      </w:r>
      <w:r>
        <w:rPr>
          <w:rFonts w:hint="eastAsia" w:ascii="宋体" w:hAnsi="宋体"/>
          <w:sz w:val="28"/>
          <w:szCs w:val="28"/>
          <w:highlight w:val="none"/>
        </w:rPr>
        <w:t>）</w:t>
      </w:r>
      <w:r>
        <w:rPr>
          <w:rFonts w:hint="eastAsia" w:ascii="宋体" w:hAnsi="宋体"/>
          <w:sz w:val="28"/>
          <w:szCs w:val="28"/>
          <w:highlight w:val="none"/>
          <w:lang w:val="en-US"/>
        </w:rPr>
        <w:t>氨氮自动监测仪的量程漂移、零点漂移和重复性测试方法详见HJ/T101-2019《氨氮水质在线自动监测仪技术要求及检测方法》</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rPr>
        <w:t>（</w:t>
      </w:r>
      <w:r>
        <w:rPr>
          <w:rFonts w:hint="eastAsia" w:ascii="宋体" w:hAnsi="宋体"/>
          <w:sz w:val="28"/>
          <w:szCs w:val="28"/>
          <w:highlight w:val="none"/>
          <w:lang w:val="en-US"/>
        </w:rPr>
        <w:t>3</w:t>
      </w:r>
      <w:r>
        <w:rPr>
          <w:rFonts w:hint="eastAsia" w:ascii="宋体" w:hAnsi="宋体"/>
          <w:sz w:val="28"/>
          <w:szCs w:val="28"/>
          <w:highlight w:val="none"/>
        </w:rPr>
        <w:t>）</w:t>
      </w:r>
      <w:r>
        <w:rPr>
          <w:rFonts w:hint="eastAsia" w:ascii="宋体" w:hAnsi="宋体"/>
          <w:sz w:val="28"/>
          <w:szCs w:val="28"/>
          <w:highlight w:val="none"/>
          <w:lang w:val="en-US"/>
        </w:rPr>
        <w:t>总磷总氮的量程漂移、零点漂移和重复性测试方法见HJ103-03《总磷水质自动分析仪技术要求》、HJ102-03《总氮水质自动分析仪技术要求》，具体操作参照各仪器使用说明书。</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rPr>
        <w:t>（</w:t>
      </w:r>
      <w:r>
        <w:rPr>
          <w:rFonts w:hint="eastAsia" w:ascii="宋体" w:hAnsi="宋体"/>
          <w:sz w:val="28"/>
          <w:szCs w:val="28"/>
          <w:highlight w:val="none"/>
          <w:lang w:val="en-US"/>
        </w:rPr>
        <w:t>4</w:t>
      </w:r>
      <w:r>
        <w:rPr>
          <w:rFonts w:hint="eastAsia" w:ascii="宋体" w:hAnsi="宋体"/>
          <w:sz w:val="28"/>
          <w:szCs w:val="28"/>
          <w:highlight w:val="none"/>
        </w:rPr>
        <w:t>）</w:t>
      </w:r>
      <w:r>
        <w:rPr>
          <w:rFonts w:hint="eastAsia" w:ascii="宋体" w:hAnsi="宋体"/>
          <w:sz w:val="28"/>
          <w:szCs w:val="28"/>
          <w:highlight w:val="none"/>
          <w:lang w:val="en-US"/>
        </w:rPr>
        <w:t>操作参照各仪器使用说明书。</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3</w:t>
      </w:r>
      <w:r>
        <w:rPr>
          <w:rFonts w:hint="eastAsia" w:ascii="宋体" w:hAnsi="宋体"/>
          <w:sz w:val="28"/>
          <w:szCs w:val="28"/>
          <w:highlight w:val="none"/>
          <w:lang w:val="en-US"/>
        </w:rPr>
        <w:t>、与标准方法比对试验</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除流量外，运维人员每月应对每个站点所有自动分析仪至少进行1次自动监测方法与实验室标准方法的比对试验，试验结果应满足HJ 355表1规定的要求。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4</w:t>
      </w:r>
      <w:r>
        <w:rPr>
          <w:rFonts w:hint="eastAsia" w:ascii="宋体" w:hAnsi="宋体"/>
          <w:sz w:val="28"/>
          <w:szCs w:val="28"/>
          <w:highlight w:val="none"/>
          <w:lang w:val="en-US"/>
        </w:rPr>
        <w:t>、质控样试验</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运维人员每月应对每个站点所有自动分析仪至少进行1次质控样试验，采用国家认可的两种浓度的质控样进行试验，一种为接近废水浓度的质控样品，另一种为超过</w:t>
      </w:r>
      <w:r>
        <w:rPr>
          <w:rFonts w:hint="eastAsia" w:ascii="宋体" w:hAnsi="宋体"/>
          <w:sz w:val="28"/>
          <w:szCs w:val="28"/>
          <w:highlight w:val="none"/>
          <w:lang w:val="en-US" w:eastAsia="zh-CN"/>
        </w:rPr>
        <w:t>相应</w:t>
      </w:r>
      <w:r>
        <w:rPr>
          <w:rFonts w:hint="eastAsia" w:ascii="宋体" w:hAnsi="宋体"/>
          <w:sz w:val="28"/>
          <w:szCs w:val="28"/>
          <w:highlight w:val="none"/>
          <w:lang w:val="en-US"/>
        </w:rPr>
        <w:t>排放标准浓度的质控样品，每种样品至少测定2次，质控样测定的相对误差不大于标准值的±10%。</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5</w:t>
      </w:r>
      <w:r>
        <w:rPr>
          <w:rFonts w:hint="eastAsia" w:ascii="宋体" w:hAnsi="宋体"/>
          <w:sz w:val="28"/>
          <w:szCs w:val="28"/>
          <w:highlight w:val="none"/>
          <w:lang w:val="en-US"/>
        </w:rPr>
        <w:t>、有效数据率</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以月为周期，计算每个周期内水污染源在线监测仪实际获得的有效数据的个数占应获得的有效数据的个数的百分比不得小于 90%，有效数据的判定参见 HJ-356 的相关规定。</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6</w:t>
      </w:r>
      <w:r>
        <w:rPr>
          <w:rFonts w:hint="eastAsia" w:ascii="宋体" w:hAnsi="宋体"/>
          <w:sz w:val="28"/>
          <w:szCs w:val="28"/>
          <w:highlight w:val="none"/>
          <w:lang w:val="en-US"/>
        </w:rPr>
        <w:t>、其他质量控制要求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6</w:t>
      </w:r>
      <w:r>
        <w:rPr>
          <w:rFonts w:hint="eastAsia" w:ascii="宋体" w:hAnsi="宋体"/>
          <w:sz w:val="28"/>
          <w:szCs w:val="28"/>
          <w:highlight w:val="none"/>
          <w:lang w:val="en-US"/>
        </w:rPr>
        <w:t>.1应按照 HJ-91.1、HJ-493 以及本标准的相关要求对水样分析、自动监测实施质量控制。</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6</w:t>
      </w:r>
      <w:r>
        <w:rPr>
          <w:rFonts w:hint="eastAsia" w:ascii="宋体" w:hAnsi="宋体"/>
          <w:sz w:val="28"/>
          <w:szCs w:val="28"/>
          <w:highlight w:val="none"/>
          <w:lang w:val="en-US"/>
        </w:rPr>
        <w:t>.2对某一时段、某些异常水样，应不定期进行平行监测、加密监测和留样比对试验。</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6</w:t>
      </w:r>
      <w:r>
        <w:rPr>
          <w:rFonts w:hint="eastAsia" w:ascii="宋体" w:hAnsi="宋体"/>
          <w:sz w:val="28"/>
          <w:szCs w:val="28"/>
          <w:highlight w:val="none"/>
          <w:lang w:val="en-US"/>
        </w:rPr>
        <w:t>.3水污染源在线监测仪器所使用的标准溶液应正确保存且经有证的标准样品验证合格后方可使用。</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 xml:space="preserve">八、监测信息公开 </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我公司在省市级环境保护主管部门统一组织建立的公布平台上公开自行监测信息，并至少保存五年。公开内容：企业基础信息和监测数据一并公布，若基础信息和自行监测方案有调整变化时，将在变更后的五日内公布。公开时限：监测数据将于每次监测完成后的次日公布，每年一月底前公布上年度自行监测年度报告。</w:t>
      </w:r>
    </w:p>
    <w:p>
      <w:pPr>
        <w:pStyle w:val="17"/>
        <w:spacing w:line="240" w:lineRule="auto"/>
        <w:ind w:left="-420" w:leftChars="-200" w:firstLine="560"/>
        <w:outlineLvl w:val="1"/>
        <w:rPr>
          <w:rFonts w:ascii="宋体" w:hAnsi="宋体"/>
          <w:sz w:val="28"/>
          <w:szCs w:val="28"/>
          <w:highlight w:val="none"/>
          <w:lang w:val="en-US"/>
        </w:rPr>
      </w:pPr>
    </w:p>
    <w:p>
      <w:pPr>
        <w:pStyle w:val="17"/>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宋体" w:hAnsi="宋体" w:eastAsia="宋体" w:cs="宋体"/>
          <w:b w:val="0"/>
          <w:bCs w:val="0"/>
          <w:sz w:val="28"/>
          <w:szCs w:val="28"/>
          <w:highlight w:val="none"/>
          <w:lang w:val="zh-CN"/>
        </w:rPr>
      </w:pPr>
    </w:p>
    <w:p>
      <w:pPr>
        <w:pStyle w:val="17"/>
        <w:keepNext w:val="0"/>
        <w:keepLines w:val="0"/>
        <w:pageBreakBefore w:val="0"/>
        <w:kinsoku/>
        <w:wordWrap/>
        <w:overflowPunct/>
        <w:topLinePunct w:val="0"/>
        <w:autoSpaceDE/>
        <w:autoSpaceDN/>
        <w:bidi w:val="0"/>
        <w:spacing w:line="240" w:lineRule="auto"/>
        <w:ind w:firstLine="0" w:firstLineChars="0"/>
        <w:jc w:val="both"/>
        <w:rPr>
          <w:rFonts w:hint="eastAsia" w:ascii="宋体" w:hAnsi="宋体" w:eastAsia="宋体" w:cs="宋体"/>
          <w:b w:val="0"/>
          <w:bCs w:val="0"/>
          <w:sz w:val="28"/>
          <w:szCs w:val="28"/>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宋体" w:hAnsi="宋体" w:eastAsia="宋体" w:cs="宋体"/>
          <w:b w:val="0"/>
          <w:bCs w:val="0"/>
          <w:sz w:val="28"/>
          <w:szCs w:val="28"/>
          <w:lang w:val="zh-CN"/>
        </w:rPr>
      </w:pPr>
    </w:p>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FFFFFFF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F8550"/>
    <w:multiLevelType w:val="singleLevel"/>
    <w:tmpl w:val="CBCF8550"/>
    <w:lvl w:ilvl="0" w:tentative="0">
      <w:start w:val="1"/>
      <w:numFmt w:val="decimal"/>
      <w:lvlText w:val="%1."/>
      <w:lvlJc w:val="left"/>
      <w:pPr>
        <w:tabs>
          <w:tab w:val="left" w:pos="312"/>
        </w:tabs>
      </w:pPr>
    </w:lvl>
  </w:abstractNum>
  <w:abstractNum w:abstractNumId="1">
    <w:nsid w:val="ED74E18C"/>
    <w:multiLevelType w:val="singleLevel"/>
    <w:tmpl w:val="ED74E18C"/>
    <w:lvl w:ilvl="0" w:tentative="0">
      <w:start w:val="1"/>
      <w:numFmt w:val="chineseCounting"/>
      <w:suff w:val="nothing"/>
      <w:lvlText w:val="%1、"/>
      <w:lvlJc w:val="left"/>
      <w:rPr>
        <w:rFonts w:hint="eastAsia"/>
      </w:rPr>
    </w:lvl>
  </w:abstractNum>
  <w:abstractNum w:abstractNumId="2">
    <w:nsid w:val="066D4DCC"/>
    <w:multiLevelType w:val="singleLevel"/>
    <w:tmpl w:val="066D4DCC"/>
    <w:lvl w:ilvl="0" w:tentative="0">
      <w:start w:val="4"/>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4OTM3OWI5MjExMjliNzkxNTQ4ZDM4MWI3ZjNlYTYifQ=="/>
  </w:docVars>
  <w:rsids>
    <w:rsidRoot w:val="00EF740B"/>
    <w:rsid w:val="00064DBF"/>
    <w:rsid w:val="00070C07"/>
    <w:rsid w:val="000B3138"/>
    <w:rsid w:val="0010023F"/>
    <w:rsid w:val="002408BC"/>
    <w:rsid w:val="00273D88"/>
    <w:rsid w:val="00275634"/>
    <w:rsid w:val="002D0D64"/>
    <w:rsid w:val="003F03DA"/>
    <w:rsid w:val="003F6058"/>
    <w:rsid w:val="00450A96"/>
    <w:rsid w:val="004D0C88"/>
    <w:rsid w:val="004F04D3"/>
    <w:rsid w:val="0050037C"/>
    <w:rsid w:val="00560BAE"/>
    <w:rsid w:val="00601C8E"/>
    <w:rsid w:val="00621748"/>
    <w:rsid w:val="006C7931"/>
    <w:rsid w:val="006F2CBE"/>
    <w:rsid w:val="00792FBB"/>
    <w:rsid w:val="00794811"/>
    <w:rsid w:val="007E24D0"/>
    <w:rsid w:val="007F2EDF"/>
    <w:rsid w:val="008A70AA"/>
    <w:rsid w:val="00932FB8"/>
    <w:rsid w:val="00B719C7"/>
    <w:rsid w:val="00BD1F19"/>
    <w:rsid w:val="00C159AC"/>
    <w:rsid w:val="00C57ED5"/>
    <w:rsid w:val="00D00C9C"/>
    <w:rsid w:val="00DB0F36"/>
    <w:rsid w:val="00DD56DD"/>
    <w:rsid w:val="00E23C7B"/>
    <w:rsid w:val="00E456A9"/>
    <w:rsid w:val="00EC7B5F"/>
    <w:rsid w:val="00ED02A3"/>
    <w:rsid w:val="00EF740B"/>
    <w:rsid w:val="00F06454"/>
    <w:rsid w:val="011B0B29"/>
    <w:rsid w:val="0154099A"/>
    <w:rsid w:val="01704772"/>
    <w:rsid w:val="01E31CBA"/>
    <w:rsid w:val="020A79D2"/>
    <w:rsid w:val="02551C86"/>
    <w:rsid w:val="028449B8"/>
    <w:rsid w:val="02D1668B"/>
    <w:rsid w:val="0477598D"/>
    <w:rsid w:val="04877EA0"/>
    <w:rsid w:val="06266329"/>
    <w:rsid w:val="06EE2A52"/>
    <w:rsid w:val="0814288D"/>
    <w:rsid w:val="0B96552F"/>
    <w:rsid w:val="0B9B31DD"/>
    <w:rsid w:val="0C060443"/>
    <w:rsid w:val="0D596A7F"/>
    <w:rsid w:val="0D860903"/>
    <w:rsid w:val="0E2A021A"/>
    <w:rsid w:val="0E7B0CD7"/>
    <w:rsid w:val="0ECB6B53"/>
    <w:rsid w:val="0EF171E1"/>
    <w:rsid w:val="0F522F87"/>
    <w:rsid w:val="10A2678D"/>
    <w:rsid w:val="10AE7BCF"/>
    <w:rsid w:val="10CA1840"/>
    <w:rsid w:val="11A65731"/>
    <w:rsid w:val="127E553F"/>
    <w:rsid w:val="12EE149E"/>
    <w:rsid w:val="13F65B75"/>
    <w:rsid w:val="1412393D"/>
    <w:rsid w:val="14784D62"/>
    <w:rsid w:val="15AA7120"/>
    <w:rsid w:val="166449AE"/>
    <w:rsid w:val="1AAD0BF0"/>
    <w:rsid w:val="1B745089"/>
    <w:rsid w:val="1BEC1597"/>
    <w:rsid w:val="1BF135A1"/>
    <w:rsid w:val="1C102EEE"/>
    <w:rsid w:val="1C151BE9"/>
    <w:rsid w:val="1C4A3676"/>
    <w:rsid w:val="1C521E1E"/>
    <w:rsid w:val="1D5C7E55"/>
    <w:rsid w:val="1EA5569B"/>
    <w:rsid w:val="1F1C6859"/>
    <w:rsid w:val="1F7E5EFF"/>
    <w:rsid w:val="1F8B5027"/>
    <w:rsid w:val="1F947EAF"/>
    <w:rsid w:val="1FB65DB1"/>
    <w:rsid w:val="2137341A"/>
    <w:rsid w:val="228D5DA8"/>
    <w:rsid w:val="22DE422B"/>
    <w:rsid w:val="23346E14"/>
    <w:rsid w:val="234F458F"/>
    <w:rsid w:val="23E31A2F"/>
    <w:rsid w:val="24025C54"/>
    <w:rsid w:val="2412732E"/>
    <w:rsid w:val="244637ED"/>
    <w:rsid w:val="257162D7"/>
    <w:rsid w:val="25FB75CA"/>
    <w:rsid w:val="26DB0B03"/>
    <w:rsid w:val="26FB520B"/>
    <w:rsid w:val="28EB5233"/>
    <w:rsid w:val="299F78B6"/>
    <w:rsid w:val="2A6D1328"/>
    <w:rsid w:val="2A8B7E3A"/>
    <w:rsid w:val="2A941233"/>
    <w:rsid w:val="2B8D7D27"/>
    <w:rsid w:val="2D0A596C"/>
    <w:rsid w:val="2EAE6EB3"/>
    <w:rsid w:val="2EB82888"/>
    <w:rsid w:val="2FDF16A6"/>
    <w:rsid w:val="30501245"/>
    <w:rsid w:val="30911CC0"/>
    <w:rsid w:val="30B6540E"/>
    <w:rsid w:val="31102277"/>
    <w:rsid w:val="31576CC8"/>
    <w:rsid w:val="31DE2022"/>
    <w:rsid w:val="32D3687B"/>
    <w:rsid w:val="338E6922"/>
    <w:rsid w:val="33D56E6C"/>
    <w:rsid w:val="34ED34A4"/>
    <w:rsid w:val="35EA3960"/>
    <w:rsid w:val="37D25FFE"/>
    <w:rsid w:val="38E30E42"/>
    <w:rsid w:val="39601FFC"/>
    <w:rsid w:val="397D3023"/>
    <w:rsid w:val="399A161F"/>
    <w:rsid w:val="3AD42B84"/>
    <w:rsid w:val="3B770892"/>
    <w:rsid w:val="3BBE7F07"/>
    <w:rsid w:val="3CB80047"/>
    <w:rsid w:val="3D7430F3"/>
    <w:rsid w:val="3E156D61"/>
    <w:rsid w:val="3F2355BB"/>
    <w:rsid w:val="40374EE0"/>
    <w:rsid w:val="41546F82"/>
    <w:rsid w:val="41E43E40"/>
    <w:rsid w:val="425A6618"/>
    <w:rsid w:val="42924C7D"/>
    <w:rsid w:val="429D1D92"/>
    <w:rsid w:val="42AC6944"/>
    <w:rsid w:val="437A6528"/>
    <w:rsid w:val="43F379C4"/>
    <w:rsid w:val="45F04FB3"/>
    <w:rsid w:val="463E2A0A"/>
    <w:rsid w:val="465C7164"/>
    <w:rsid w:val="467241DC"/>
    <w:rsid w:val="4694113E"/>
    <w:rsid w:val="46DD580B"/>
    <w:rsid w:val="47045DE6"/>
    <w:rsid w:val="483700F0"/>
    <w:rsid w:val="487B7E49"/>
    <w:rsid w:val="4890170F"/>
    <w:rsid w:val="49E80A45"/>
    <w:rsid w:val="4A1346BE"/>
    <w:rsid w:val="4A273C4D"/>
    <w:rsid w:val="4A940F59"/>
    <w:rsid w:val="4B0F37A9"/>
    <w:rsid w:val="4D391073"/>
    <w:rsid w:val="4D4C6310"/>
    <w:rsid w:val="4D8F0645"/>
    <w:rsid w:val="4E19415E"/>
    <w:rsid w:val="4E3E684C"/>
    <w:rsid w:val="4E9B6783"/>
    <w:rsid w:val="4F7E64BC"/>
    <w:rsid w:val="4FC87033"/>
    <w:rsid w:val="4FF14E3D"/>
    <w:rsid w:val="505815DA"/>
    <w:rsid w:val="50AC6875"/>
    <w:rsid w:val="51260EDF"/>
    <w:rsid w:val="51922196"/>
    <w:rsid w:val="522927F7"/>
    <w:rsid w:val="522D7EDE"/>
    <w:rsid w:val="52F16AC2"/>
    <w:rsid w:val="54247CBC"/>
    <w:rsid w:val="55BE7A5C"/>
    <w:rsid w:val="56C24BAF"/>
    <w:rsid w:val="58DC5138"/>
    <w:rsid w:val="59652919"/>
    <w:rsid w:val="59AC7302"/>
    <w:rsid w:val="5A066554"/>
    <w:rsid w:val="5BD14E4D"/>
    <w:rsid w:val="5BF27FD1"/>
    <w:rsid w:val="5D610DE5"/>
    <w:rsid w:val="5D896391"/>
    <w:rsid w:val="5DF417CA"/>
    <w:rsid w:val="5DFB2398"/>
    <w:rsid w:val="5E167788"/>
    <w:rsid w:val="5E5E2B95"/>
    <w:rsid w:val="5E932438"/>
    <w:rsid w:val="60916CAF"/>
    <w:rsid w:val="60954832"/>
    <w:rsid w:val="6265684A"/>
    <w:rsid w:val="632D2E85"/>
    <w:rsid w:val="63450CE0"/>
    <w:rsid w:val="634C29D0"/>
    <w:rsid w:val="638A7F05"/>
    <w:rsid w:val="64DA5BC8"/>
    <w:rsid w:val="650224CC"/>
    <w:rsid w:val="65C46ECA"/>
    <w:rsid w:val="66194291"/>
    <w:rsid w:val="67CE5394"/>
    <w:rsid w:val="67D2576D"/>
    <w:rsid w:val="68684D3C"/>
    <w:rsid w:val="686B5940"/>
    <w:rsid w:val="68B46A81"/>
    <w:rsid w:val="6914650B"/>
    <w:rsid w:val="6A104222"/>
    <w:rsid w:val="6AAF2569"/>
    <w:rsid w:val="6B882FFF"/>
    <w:rsid w:val="6BF93EB1"/>
    <w:rsid w:val="6CEE2469"/>
    <w:rsid w:val="6D1A27B8"/>
    <w:rsid w:val="6D2A4A4E"/>
    <w:rsid w:val="6D363EE7"/>
    <w:rsid w:val="6E4F2261"/>
    <w:rsid w:val="6F6639BD"/>
    <w:rsid w:val="6F9B6285"/>
    <w:rsid w:val="6FA43561"/>
    <w:rsid w:val="6FF129B5"/>
    <w:rsid w:val="700317FB"/>
    <w:rsid w:val="70BD0E5E"/>
    <w:rsid w:val="71B2527A"/>
    <w:rsid w:val="71FB452B"/>
    <w:rsid w:val="74193E88"/>
    <w:rsid w:val="744877CF"/>
    <w:rsid w:val="74C26DA2"/>
    <w:rsid w:val="75224124"/>
    <w:rsid w:val="75DA541D"/>
    <w:rsid w:val="75F62936"/>
    <w:rsid w:val="76D348AD"/>
    <w:rsid w:val="771A0787"/>
    <w:rsid w:val="77722C30"/>
    <w:rsid w:val="77824FE1"/>
    <w:rsid w:val="78EA354B"/>
    <w:rsid w:val="79C54946"/>
    <w:rsid w:val="7A0471E6"/>
    <w:rsid w:val="7AFC37E8"/>
    <w:rsid w:val="7B1C3799"/>
    <w:rsid w:val="7DC728FC"/>
    <w:rsid w:val="7E3075F1"/>
    <w:rsid w:val="7E644613"/>
    <w:rsid w:val="7FE95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30"/>
      <w:szCs w:val="44"/>
    </w:rPr>
  </w:style>
  <w:style w:type="paragraph" w:styleId="3">
    <w:name w:val="heading 2"/>
    <w:basedOn w:val="1"/>
    <w:next w:val="1"/>
    <w:link w:val="19"/>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11"/>
    <w:pPr>
      <w:spacing w:before="240" w:after="60" w:line="312" w:lineRule="auto"/>
      <w:jc w:val="center"/>
      <w:outlineLvl w:val="1"/>
    </w:pPr>
    <w:rPr>
      <w:b/>
      <w:bCs/>
      <w:kern w:val="28"/>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color w:val="185ECF"/>
      <w:u w:val="none"/>
    </w:rPr>
  </w:style>
  <w:style w:type="character" w:styleId="12">
    <w:name w:val="Emphasis"/>
    <w:basedOn w:val="10"/>
    <w:qFormat/>
    <w:uiPriority w:val="20"/>
    <w:rPr>
      <w:i/>
    </w:rPr>
  </w:style>
  <w:style w:type="character" w:styleId="13">
    <w:name w:val="Hyperlink"/>
    <w:basedOn w:val="10"/>
    <w:semiHidden/>
    <w:unhideWhenUsed/>
    <w:qFormat/>
    <w:uiPriority w:val="99"/>
    <w:rPr>
      <w:color w:val="185ECF"/>
      <w:u w:val="none"/>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A0正文"/>
    <w:basedOn w:val="1"/>
    <w:qFormat/>
    <w:uiPriority w:val="0"/>
    <w:pPr>
      <w:spacing w:line="500" w:lineRule="exact"/>
      <w:ind w:firstLine="480" w:firstLineChars="200"/>
    </w:pPr>
    <w:rPr>
      <w:rFonts w:ascii="Times New Roman" w:hAnsi="Times New Roman" w:eastAsia="宋体" w:cs="宋体"/>
      <w:sz w:val="24"/>
      <w:szCs w:val="20"/>
      <w:lang w:val="zh-CN" w:eastAsia="zh-CN"/>
    </w:rPr>
  </w:style>
  <w:style w:type="paragraph" w:customStyle="1" w:styleId="18">
    <w:name w:val="A标题2级"/>
    <w:basedOn w:val="3"/>
    <w:qFormat/>
    <w:uiPriority w:val="0"/>
    <w:pPr>
      <w:spacing w:before="240" w:after="0" w:line="500" w:lineRule="exact"/>
    </w:pPr>
    <w:rPr>
      <w:rFonts w:ascii="Times New Roman" w:hAnsi="Times New Roman" w:eastAsia="黑体" w:cs="宋体"/>
      <w:b w:val="0"/>
      <w:bCs w:val="0"/>
      <w:sz w:val="28"/>
      <w:szCs w:val="20"/>
    </w:rPr>
  </w:style>
  <w:style w:type="character" w:customStyle="1" w:styleId="19">
    <w:name w:val="标题 2 字符"/>
    <w:basedOn w:val="10"/>
    <w:link w:val="3"/>
    <w:semiHidden/>
    <w:qFormat/>
    <w:uiPriority w:val="9"/>
    <w:rPr>
      <w:rFonts w:asciiTheme="majorHAnsi" w:hAnsiTheme="majorHAnsi" w:eastAsiaTheme="majorEastAsia" w:cstheme="majorBidi"/>
      <w:b/>
      <w:bCs/>
      <w:sz w:val="32"/>
      <w:szCs w:val="32"/>
    </w:rPr>
  </w:style>
  <w:style w:type="paragraph" w:customStyle="1" w:styleId="20">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21">
    <w:name w:val="正文_23"/>
    <w:qFormat/>
    <w:uiPriority w:val="0"/>
    <w:pPr>
      <w:widowControl w:val="0"/>
      <w:jc w:val="both"/>
    </w:pPr>
    <w:rPr>
      <w:rFonts w:ascii="Calibri" w:hAnsi="Calibri" w:eastAsia="宋体" w:cs="Times New Roman"/>
      <w:kern w:val="2"/>
      <w:sz w:val="21"/>
      <w:szCs w:val="20"/>
      <w:lang w:val="en-US" w:eastAsia="zh-CN" w:bidi="ar-SA"/>
    </w:rPr>
  </w:style>
  <w:style w:type="paragraph" w:customStyle="1" w:styleId="22">
    <w:name w:val="正文_22"/>
    <w:qFormat/>
    <w:uiPriority w:val="0"/>
    <w:pPr>
      <w:widowControl w:val="0"/>
      <w:jc w:val="both"/>
    </w:pPr>
    <w:rPr>
      <w:rFonts w:ascii="Calibri" w:hAnsi="Calibri" w:eastAsia="宋体" w:cs="Times New Roman"/>
      <w:kern w:val="2"/>
      <w:sz w:val="21"/>
      <w:szCs w:val="20"/>
      <w:lang w:val="en-US" w:eastAsia="zh-CN" w:bidi="ar-SA"/>
    </w:rPr>
  </w:style>
  <w:style w:type="paragraph" w:customStyle="1" w:styleId="23">
    <w:name w:val="正文_24"/>
    <w:qFormat/>
    <w:uiPriority w:val="0"/>
    <w:pPr>
      <w:widowControl w:val="0"/>
      <w:jc w:val="both"/>
    </w:pPr>
    <w:rPr>
      <w:rFonts w:ascii="Calibri" w:hAnsi="Calibri" w:eastAsia="宋体" w:cs="Times New Roman"/>
      <w:kern w:val="2"/>
      <w:sz w:val="21"/>
      <w:lang w:val="en-US" w:eastAsia="zh-CN" w:bidi="ar-SA"/>
    </w:rPr>
  </w:style>
  <w:style w:type="character" w:customStyle="1" w:styleId="24">
    <w:name w:val="font21"/>
    <w:basedOn w:val="10"/>
    <w:qFormat/>
    <w:uiPriority w:val="0"/>
    <w:rPr>
      <w:rFonts w:hint="eastAsia" w:ascii="黑体" w:hAnsi="宋体" w:eastAsia="黑体" w:cs="黑体"/>
      <w:color w:val="000000"/>
      <w:sz w:val="21"/>
      <w:szCs w:val="21"/>
      <w:u w:val="none"/>
    </w:rPr>
  </w:style>
  <w:style w:type="character" w:customStyle="1" w:styleId="25">
    <w:name w:val="font51"/>
    <w:basedOn w:val="10"/>
    <w:qFormat/>
    <w:uiPriority w:val="0"/>
    <w:rPr>
      <w:rFonts w:hint="default" w:ascii="Arial" w:hAnsi="Arial" w:cs="Arial"/>
      <w:color w:val="000000"/>
      <w:sz w:val="19"/>
      <w:szCs w:val="19"/>
      <w:u w:val="none"/>
    </w:rPr>
  </w:style>
  <w:style w:type="character" w:customStyle="1" w:styleId="26">
    <w:name w:val="font41"/>
    <w:basedOn w:val="10"/>
    <w:qFormat/>
    <w:uiPriority w:val="0"/>
    <w:rPr>
      <w:rFonts w:hint="default" w:ascii="Arial" w:hAnsi="Arial" w:cs="Arial"/>
      <w:color w:val="333333"/>
      <w:sz w:val="19"/>
      <w:szCs w:val="19"/>
      <w:u w:val="none"/>
    </w:rPr>
  </w:style>
  <w:style w:type="character" w:customStyle="1" w:styleId="27">
    <w:name w:val="font61"/>
    <w:basedOn w:val="10"/>
    <w:qFormat/>
    <w:uiPriority w:val="0"/>
    <w:rPr>
      <w:rFonts w:hint="eastAsia" w:ascii="宋体" w:hAnsi="宋体" w:eastAsia="宋体" w:cs="宋体"/>
      <w:color w:val="333333"/>
      <w:sz w:val="19"/>
      <w:szCs w:val="19"/>
      <w:u w:val="none"/>
    </w:rPr>
  </w:style>
  <w:style w:type="character" w:customStyle="1" w:styleId="28">
    <w:name w:val="font31"/>
    <w:basedOn w:val="10"/>
    <w:qFormat/>
    <w:uiPriority w:val="0"/>
    <w:rPr>
      <w:rFonts w:hint="eastAsia" w:ascii="宋体" w:hAnsi="宋体" w:eastAsia="宋体" w:cs="宋体"/>
      <w:color w:val="000000"/>
      <w:sz w:val="21"/>
      <w:szCs w:val="21"/>
      <w:u w:val="none"/>
    </w:rPr>
  </w:style>
  <w:style w:type="character" w:customStyle="1" w:styleId="29">
    <w:name w:val="font71"/>
    <w:basedOn w:val="10"/>
    <w:qFormat/>
    <w:uiPriority w:val="0"/>
    <w:rPr>
      <w:rFonts w:ascii="等线" w:hAnsi="等线" w:eastAsia="等线" w:cs="等线"/>
      <w:color w:val="000000"/>
      <w:sz w:val="21"/>
      <w:szCs w:val="21"/>
      <w:u w:val="none"/>
    </w:rPr>
  </w:style>
  <w:style w:type="character" w:customStyle="1" w:styleId="30">
    <w:name w:val="font01"/>
    <w:basedOn w:val="10"/>
    <w:qFormat/>
    <w:uiPriority w:val="0"/>
    <w:rPr>
      <w:rFonts w:hint="eastAsia" w:ascii="宋体" w:hAnsi="宋体" w:eastAsia="宋体" w:cs="宋体"/>
      <w:color w:val="FF0000"/>
      <w:sz w:val="21"/>
      <w:szCs w:val="21"/>
      <w:u w:val="none"/>
    </w:rPr>
  </w:style>
  <w:style w:type="paragraph" w:customStyle="1" w:styleId="31">
    <w:name w:val="List Paragraph1"/>
    <w:basedOn w:val="1"/>
    <w:qFormat/>
    <w:uiPriority w:val="0"/>
    <w:pPr>
      <w:ind w:left="720"/>
    </w:pPr>
    <w:rPr>
      <w:rFonts w:ascii="Cambria" w:hAnsi="Cambria" w:eastAsia="Cambria"/>
      <w:sz w:val="22"/>
      <w:szCs w:val="22"/>
    </w:rPr>
  </w:style>
  <w:style w:type="paragraph" w:customStyle="1" w:styleId="32">
    <w:name w:val="列出段落1"/>
    <w:basedOn w:val="1"/>
    <w:qFormat/>
    <w:uiPriority w:val="0"/>
    <w:pPr>
      <w:ind w:left="720"/>
    </w:pPr>
    <w:rPr>
      <w:rFonts w:ascii="Cambria" w:hAnsi="Cambria" w:eastAsia="Cambria"/>
      <w:sz w:val="22"/>
      <w:szCs w:val="22"/>
    </w:rPr>
  </w:style>
  <w:style w:type="paragraph" w:customStyle="1" w:styleId="33">
    <w:name w:val="列出段落2"/>
    <w:basedOn w:val="1"/>
    <w:qFormat/>
    <w:uiPriority w:val="0"/>
    <w:pPr>
      <w:ind w:left="720"/>
    </w:pPr>
    <w:rPr>
      <w:rFonts w:ascii="Cambria" w:hAnsi="Cambria" w:eastAsia="Cambria"/>
      <w:sz w:val="22"/>
      <w:szCs w:val="22"/>
    </w:rPr>
  </w:style>
  <w:style w:type="character" w:customStyle="1" w:styleId="34">
    <w:name w:val="checkbox"/>
    <w:basedOn w:val="10"/>
    <w:qFormat/>
    <w:uiPriority w:val="0"/>
  </w:style>
  <w:style w:type="character" w:customStyle="1" w:styleId="35">
    <w:name w:val="shenbao"/>
    <w:basedOn w:val="10"/>
    <w:qFormat/>
    <w:uiPriority w:val="0"/>
    <w:rPr>
      <w:color w:val="EF6334"/>
    </w:rPr>
  </w:style>
  <w:style w:type="character" w:customStyle="1" w:styleId="36">
    <w:name w:val="chakan"/>
    <w:basedOn w:val="10"/>
    <w:qFormat/>
    <w:uiPriority w:val="0"/>
    <w:rPr>
      <w:color w:val="0064E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emf"/><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12431</Words>
  <Characters>15009</Characters>
  <Lines>22</Lines>
  <Paragraphs>6</Paragraphs>
  <TotalTime>12</TotalTime>
  <ScaleCrop>false</ScaleCrop>
  <LinksUpToDate>false</LinksUpToDate>
  <CharactersWithSpaces>15207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2019-06-17T03:07:00Z</dcterms:created>
  <dc:creator>刘 莹莹</dc:creator>
  <cp:lastModifiedBy>Administrator</cp:lastModifiedBy>
  <cp:lastPrinted>2022-06-23T03:57:00Z</cp:lastPrinted>
  <dcterms:modified xsi:type="dcterms:W3CDTF">2024-05-10T00:22:30Z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9DD88051B4E34042801C7D594DC57D68</vt:lpwstr>
  </property>
</Properties>
</file>