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江西洪城水业环保有限公司锦绣分公司自行监测方案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  <w:r>
        <w:rPr>
          <w:rFonts w:hint="eastAsia"/>
          <w:lang w:val="en-US" w:eastAsia="zh-CN"/>
        </w:rPr>
        <w:t xml:space="preserve">   2021n年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罗浩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91361027MA38QNDJ2N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江西省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抚州市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金溪县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江西省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抚州市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金溪县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秀谷镇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乡（镇）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江西省抚州市金溪县秀谷镇港东村檀湖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街（村）、门牌号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116,45,37.51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/27,56,0.78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邵晶华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13767675633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344800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污水处理及其再生利用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4620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2009-12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长江流域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FA-FN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/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监测方案</w:t>
      </w:r>
    </w:p>
    <w:p>
      <w:pPr>
        <w:pStyle w:val="5"/>
      </w:pPr>
      <w:r>
        <w:rPr>
          <w:rFonts w:hint="eastAsia"/>
        </w:rPr>
        <w:t>废气监测方案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主要仪器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17"/>
        <w:gridCol w:w="1739"/>
        <w:gridCol w:w="2092"/>
        <w:gridCol w:w="1036"/>
        <w:gridCol w:w="109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冷原子吸收分光光度法——固体废物 总汞的测定 冷原子吸收分光光度法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总铬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总铬的测定 高锰酸钾氧化-二苯碳酰二肼分光光度法 GB/T 7466-1987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红外分光光度法——水质 石油类和动植物油类的测定 红外分光光度法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电感耦合等离子体质谱法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六价铬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六价铬的测定 二苯碳酰二肼分光光度法GB 7467-87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红外分光光度法——水质 石油类和动植物油类的测定 红外分光光度法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烷基汞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气相色谱法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阴离子表面活性剂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亚甲蓝分光光度法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五日生化需氧量（BOD5）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纳氏试剂分光光度法——水质 氨氮的测定 纳氏试剂分光光度法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钼酸铵分光光度法——水质 总磷的测定 钼酸铵分光光度法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重铬酸盐法——水质 化学需氧量的测定 重铬酸盐法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碱性过硫酸钾消解紫外分光光度法——水质 总氮的测定 碱性过硫酸钾消解紫外分光光度法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水温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色度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色度的测定GB 11903-89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悬浮物的测定 重量法 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电感耦合等离子体质谱法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粪大肠菌群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多管发酵法和滤膜法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废水总排口(WS-8F9050)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城镇污水处理厂污染物排放标准GB 18918-2002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原子荧光法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雨水排口(null)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悬浮物的测定 重量法 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雨水排口(null)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化学需氧量的测定 重铬酸盐法 HJ 828-2017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雨水排口(null)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pH值的测定 玻璃电极法 GB 6920-1986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雨水排口(null)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水质 氨氮的测定 纳氏试剂分光光度法 HJ 535-2009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15"/>
        <w:gridCol w:w="1841"/>
        <w:gridCol w:w="2022"/>
        <w:gridCol w:w="1125"/>
        <w:gridCol w:w="1194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厂内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气相色谱法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上限:0.03mg/m3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上限:1.5mg/m3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纳氏试剂分光光度法——环境空气和废气 氨的测定 纳氏试剂分光光度法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城镇污水处理厂污染物排放标准[国标]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周边环境监测方案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68"/>
        <w:gridCol w:w="1439"/>
        <w:gridCol w:w="2174"/>
        <w:gridCol w:w="1196"/>
        <w:gridCol w:w="1272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东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南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西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北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</w:p>
        </w:tc>
      </w:tr>
    </w:tbl>
    <w:p>
      <w:pPr>
        <w:rPr>
          <w:rFonts w:hint="eastAsi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br w:type="page"/>
      </w:r>
    </w:p>
    <w:p>
      <w:pPr>
        <w:pStyle w:val="5"/>
      </w:pPr>
      <w:r>
        <w:rPr>
          <w:rFonts w:hint="eastAsia"/>
        </w:rPr>
        <w:t>厂区内土壤、地下水监测方案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>
      <w:pPr>
        <w:pStyle w:val="5"/>
      </w:pPr>
      <w:r>
        <w:rPr>
          <w:rFonts w:hint="eastAsia"/>
        </w:rPr>
        <w:t>自动监测设备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总氮在线监测仪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Hash NW160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总磷在线监测仪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pH在线监测仪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氨氮在线监测仪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Hash  Amtax Compact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化学需氧量在线监测仪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pStyle w:val="5"/>
      </w:pPr>
      <w:r>
        <w:rPr>
          <w:rFonts w:hint="eastAsia"/>
        </w:rPr>
        <w:t>手工监测设备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>
      <w:pPr>
        <w:pStyle w:val="5"/>
      </w:pPr>
      <w:r>
        <w:rPr>
          <w:rFonts w:hint="eastAsia"/>
        </w:rPr>
        <w:t>废气治理设施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</w:tbl>
    <w:p>
      <w:pPr>
        <w:pStyle w:val="5"/>
      </w:pPr>
      <w:r>
        <w:rPr>
          <w:rFonts w:hint="eastAsia"/>
        </w:rPr>
        <w:t>废水治理设施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lY2FmOTQwZWM1YjFmZTNmYTFiMDMxYWY0N2MxMDcifQ=="/>
  </w:docVars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0EA96C87"/>
    <w:rsid w:val="469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autoRedefine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202</Words>
  <Characters>1154</Characters>
  <Lines>9</Lines>
  <Paragraphs>2</Paragraphs>
  <TotalTime>464</TotalTime>
  <ScaleCrop>false</ScaleCrop>
  <LinksUpToDate>false</LinksUpToDate>
  <CharactersWithSpaces>1354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Administrator</cp:lastModifiedBy>
  <dcterms:modified xsi:type="dcterms:W3CDTF">2024-05-16T10:10:04Z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8C9F7A0F8497448BB07F686F67ACB6BC_13</vt:lpwstr>
  </property>
</Properties>
</file>