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江西洪城水业环保有限公司</w:t>
      </w:r>
      <w:r>
        <w:rPr>
          <w:rFonts w:hint="eastAsia" w:ascii="宋体" w:hAnsi="宋体" w:cs="宋体"/>
          <w:b/>
          <w:bCs/>
          <w:color w:val="000000" w:themeColor="text1"/>
          <w:sz w:val="32"/>
          <w:szCs w:val="32"/>
          <w:lang w:val="en-US" w:eastAsia="zh-CN"/>
          <w14:textFill>
            <w14:solidFill>
              <w14:schemeClr w14:val="tx1"/>
            </w14:solidFill>
          </w14:textFill>
        </w:rPr>
        <w:t>石城县</w:t>
      </w:r>
      <w:r>
        <w:rPr>
          <w:rFonts w:hint="eastAsia" w:ascii="宋体" w:hAnsi="宋体" w:eastAsia="宋体" w:cs="宋体"/>
          <w:b/>
          <w:bCs/>
          <w:sz w:val="32"/>
          <w:szCs w:val="32"/>
          <w:lang w:eastAsia="zh-CN"/>
        </w:rPr>
        <w:t>分公司</w:t>
      </w:r>
    </w:p>
    <w:p>
      <w:pPr>
        <w:pStyle w:val="18"/>
        <w:keepNext w:val="0"/>
        <w:keepLines w:val="0"/>
        <w:pageBreakBefore w:val="0"/>
        <w:kinsoku/>
        <w:wordWrap/>
        <w:overflowPunct/>
        <w:topLinePunct w:val="0"/>
        <w:autoSpaceDE/>
        <w:autoSpaceDN/>
        <w:bidi w:val="0"/>
        <w:spacing w:line="240" w:lineRule="auto"/>
        <w:ind w:firstLine="0" w:firstLineChars="0"/>
        <w:jc w:val="center"/>
        <w:rPr>
          <w:rFonts w:hint="eastAsia" w:ascii="宋体" w:hAnsi="宋体" w:eastAsia="宋体" w:cs="宋体"/>
          <w:b/>
          <w:bCs/>
          <w:color w:val="FF0000"/>
          <w:sz w:val="32"/>
          <w:szCs w:val="32"/>
          <w:lang w:val="en-US" w:eastAsia="zh-CN"/>
        </w:rPr>
      </w:pPr>
      <w:r>
        <w:rPr>
          <w:rFonts w:hint="eastAsia" w:ascii="宋体" w:hAnsi="宋体" w:cs="宋体"/>
          <w:b/>
          <w:bCs/>
          <w:sz w:val="32"/>
          <w:szCs w:val="32"/>
          <w:lang w:val="en-US" w:eastAsia="zh-CN"/>
        </w:rPr>
        <w:t>2024年</w:t>
      </w:r>
      <w:r>
        <w:rPr>
          <w:rFonts w:hint="eastAsia" w:ascii="宋体" w:hAnsi="宋体" w:eastAsia="宋体" w:cs="宋体"/>
          <w:b/>
          <w:bCs/>
          <w:sz w:val="32"/>
          <w:szCs w:val="32"/>
          <w:lang w:eastAsia="zh-CN"/>
        </w:rPr>
        <w:t>自行监测</w:t>
      </w:r>
      <w:r>
        <w:rPr>
          <w:rFonts w:hint="eastAsia" w:ascii="宋体" w:hAnsi="宋体" w:eastAsia="宋体" w:cs="宋体"/>
          <w:b/>
          <w:bCs/>
          <w:sz w:val="32"/>
          <w:szCs w:val="32"/>
          <w:lang w:val="en-US" w:eastAsia="zh-CN"/>
        </w:rPr>
        <w:t>方案</w:t>
      </w:r>
    </w:p>
    <w:p>
      <w:pPr>
        <w:pStyle w:val="18"/>
        <w:keepNext w:val="0"/>
        <w:keepLines w:val="0"/>
        <w:pageBreakBefore w:val="0"/>
        <w:numPr>
          <w:ilvl w:val="0"/>
          <w:numId w:val="1"/>
        </w:numPr>
        <w:kinsoku/>
        <w:wordWrap/>
        <w:overflowPunct/>
        <w:topLinePunct w:val="0"/>
        <w:autoSpaceDE/>
        <w:autoSpaceDN/>
        <w:bidi w:val="0"/>
        <w:spacing w:line="240" w:lineRule="auto"/>
        <w:ind w:firstLine="0" w:firstLineChars="0"/>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排污单位基本情况</w:t>
      </w:r>
    </w:p>
    <w:p>
      <w:pPr>
        <w:pStyle w:val="18"/>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1</w:t>
      </w:r>
      <w:r>
        <w:rPr>
          <w:rFonts w:hint="eastAsia" w:ascii="宋体" w:hAnsi="宋体" w:cs="宋体"/>
          <w:b w:val="0"/>
          <w:bCs w:val="0"/>
          <w:sz w:val="28"/>
          <w:szCs w:val="28"/>
          <w:lang w:eastAsia="zh-CN"/>
        </w:rPr>
        <w:t>、</w:t>
      </w:r>
      <w:r>
        <w:rPr>
          <w:rFonts w:hint="eastAsia" w:ascii="宋体" w:hAnsi="宋体" w:eastAsia="宋体" w:cs="宋体"/>
          <w:b w:val="0"/>
          <w:bCs w:val="0"/>
          <w:sz w:val="28"/>
          <w:szCs w:val="28"/>
          <w:lang w:eastAsia="zh-CN"/>
        </w:rPr>
        <w:t>基本信息</w:t>
      </w:r>
    </w:p>
    <w:tbl>
      <w:tblPr>
        <w:tblStyle w:val="8"/>
        <w:tblpPr w:leftFromText="180" w:rightFromText="180" w:vertAnchor="text" w:horzAnchor="margin" w:tblpY="20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4"/>
        <w:gridCol w:w="1935"/>
        <w:gridCol w:w="2096"/>
        <w:gridCol w:w="2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021" w:type="dxa"/>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法定代表人</w:t>
            </w:r>
          </w:p>
        </w:tc>
        <w:tc>
          <w:tcPr>
            <w:tcW w:w="1943" w:type="dxa"/>
            <w:shd w:val="clear" w:color="auto" w:fill="auto"/>
          </w:tcPr>
          <w:p>
            <w:pPr>
              <w:keepNext w:val="0"/>
              <w:keepLines w:val="0"/>
              <w:pageBreakBefore w:val="0"/>
              <w:kinsoku/>
              <w:wordWrap/>
              <w:overflowPunct/>
              <w:topLinePunct w:val="0"/>
              <w:autoSpaceDE/>
              <w:autoSpaceDN/>
              <w:bidi w:val="0"/>
              <w:spacing w:line="240" w:lineRule="auto"/>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温美金</w:t>
            </w:r>
          </w:p>
        </w:tc>
        <w:tc>
          <w:tcPr>
            <w:tcW w:w="2127" w:type="dxa"/>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企业曾用名</w:t>
            </w:r>
          </w:p>
        </w:tc>
        <w:tc>
          <w:tcPr>
            <w:tcW w:w="2205" w:type="dxa"/>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企业类别</w:t>
            </w:r>
          </w:p>
        </w:tc>
        <w:tc>
          <w:tcPr>
            <w:tcW w:w="1943" w:type="dxa"/>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废水</w:t>
            </w:r>
          </w:p>
        </w:tc>
        <w:tc>
          <w:tcPr>
            <w:tcW w:w="2127" w:type="dxa"/>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社会信用代码</w:t>
            </w:r>
          </w:p>
        </w:tc>
        <w:tc>
          <w:tcPr>
            <w:tcW w:w="2205" w:type="dxa"/>
            <w:shd w:val="clear" w:color="auto" w:fill="auto"/>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913607355500889035L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方案审核地址</w:t>
            </w:r>
          </w:p>
        </w:tc>
        <w:tc>
          <w:tcPr>
            <w:tcW w:w="6275" w:type="dxa"/>
            <w:gridSpan w:val="3"/>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赣州市石城生态环境局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vMerge w:val="restart"/>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中心经度</w:t>
            </w:r>
          </w:p>
        </w:tc>
        <w:tc>
          <w:tcPr>
            <w:tcW w:w="1943" w:type="dxa"/>
            <w:shd w:val="clear" w:color="auto" w:fill="auto"/>
          </w:tcPr>
          <w:p>
            <w:pPr>
              <w:keepNext w:val="0"/>
              <w:keepLines w:val="0"/>
              <w:pageBreakBefore w:val="0"/>
              <w:kinsoku/>
              <w:wordWrap/>
              <w:overflowPunct/>
              <w:topLinePunct w:val="0"/>
              <w:autoSpaceDE/>
              <w:autoSpaceDN/>
              <w:bidi w:val="0"/>
              <w:spacing w:line="240" w:lineRule="auto"/>
              <w:ind w:firstLine="480" w:firstLineChars="200"/>
              <w:jc w:val="center"/>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116</w:t>
            </w:r>
            <w:r>
              <w:rPr>
                <w:rFonts w:hint="eastAsia" w:ascii="宋体" w:hAnsi="宋体" w:eastAsia="宋体" w:cs="宋体"/>
                <w:b w:val="0"/>
                <w:bCs w:val="0"/>
                <w:sz w:val="24"/>
                <w:szCs w:val="24"/>
              </w:rPr>
              <w:t>度</w:t>
            </w:r>
          </w:p>
        </w:tc>
        <w:tc>
          <w:tcPr>
            <w:tcW w:w="2127" w:type="dxa"/>
            <w:vMerge w:val="restart"/>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中心纬度</w:t>
            </w:r>
          </w:p>
        </w:tc>
        <w:tc>
          <w:tcPr>
            <w:tcW w:w="2205" w:type="dxa"/>
            <w:shd w:val="clear" w:color="auto" w:fill="auto"/>
          </w:tcPr>
          <w:p>
            <w:pPr>
              <w:keepNext w:val="0"/>
              <w:keepLines w:val="0"/>
              <w:pageBreakBefore w:val="0"/>
              <w:kinsoku/>
              <w:wordWrap/>
              <w:overflowPunct/>
              <w:topLinePunct w:val="0"/>
              <w:autoSpaceDE/>
              <w:autoSpaceDN/>
              <w:bidi w:val="0"/>
              <w:spacing w:line="240" w:lineRule="auto"/>
              <w:ind w:firstLine="480" w:firstLineChars="200"/>
              <w:jc w:val="center"/>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26</w:t>
            </w:r>
            <w:r>
              <w:rPr>
                <w:rFonts w:hint="eastAsia" w:ascii="宋体" w:hAnsi="宋体" w:eastAsia="宋体" w:cs="宋体"/>
                <w:b w:val="0"/>
                <w:bCs w:val="0"/>
                <w:sz w:val="24"/>
                <w:szCs w:val="24"/>
              </w:rPr>
              <w:t>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vMerge w:val="continue"/>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p>
        </w:tc>
        <w:tc>
          <w:tcPr>
            <w:tcW w:w="1943" w:type="dxa"/>
            <w:shd w:val="clear" w:color="auto" w:fill="auto"/>
          </w:tcPr>
          <w:p>
            <w:pPr>
              <w:keepNext w:val="0"/>
              <w:keepLines w:val="0"/>
              <w:pageBreakBefore w:val="0"/>
              <w:kinsoku/>
              <w:wordWrap/>
              <w:overflowPunct/>
              <w:topLinePunct w:val="0"/>
              <w:autoSpaceDE/>
              <w:autoSpaceDN/>
              <w:bidi w:val="0"/>
              <w:spacing w:line="240" w:lineRule="auto"/>
              <w:ind w:firstLine="480" w:firstLineChars="200"/>
              <w:jc w:val="center"/>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20</w:t>
            </w:r>
            <w:r>
              <w:rPr>
                <w:rFonts w:hint="eastAsia" w:ascii="宋体" w:hAnsi="宋体" w:eastAsia="宋体" w:cs="宋体"/>
                <w:b w:val="0"/>
                <w:bCs w:val="0"/>
                <w:sz w:val="24"/>
                <w:szCs w:val="24"/>
              </w:rPr>
              <w:t>分</w:t>
            </w:r>
          </w:p>
        </w:tc>
        <w:tc>
          <w:tcPr>
            <w:tcW w:w="2127" w:type="dxa"/>
            <w:vMerge w:val="continue"/>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p>
        </w:tc>
        <w:tc>
          <w:tcPr>
            <w:tcW w:w="2205" w:type="dxa"/>
            <w:shd w:val="clear" w:color="auto" w:fill="auto"/>
          </w:tcPr>
          <w:p>
            <w:pPr>
              <w:keepNext w:val="0"/>
              <w:keepLines w:val="0"/>
              <w:pageBreakBefore w:val="0"/>
              <w:kinsoku/>
              <w:wordWrap/>
              <w:overflowPunct/>
              <w:topLinePunct w:val="0"/>
              <w:autoSpaceDE/>
              <w:autoSpaceDN/>
              <w:bidi w:val="0"/>
              <w:spacing w:line="240" w:lineRule="auto"/>
              <w:ind w:firstLine="480" w:firstLineChars="200"/>
              <w:jc w:val="center"/>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17</w:t>
            </w:r>
            <w:r>
              <w:rPr>
                <w:rFonts w:hint="eastAsia" w:ascii="宋体" w:hAnsi="宋体" w:eastAsia="宋体" w:cs="宋体"/>
                <w:b w:val="0"/>
                <w:bCs w:val="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vMerge w:val="continue"/>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p>
        </w:tc>
        <w:tc>
          <w:tcPr>
            <w:tcW w:w="1943" w:type="dxa"/>
            <w:shd w:val="clear" w:color="auto" w:fill="auto"/>
          </w:tcPr>
          <w:p>
            <w:pPr>
              <w:keepNext w:val="0"/>
              <w:keepLines w:val="0"/>
              <w:pageBreakBefore w:val="0"/>
              <w:kinsoku/>
              <w:wordWrap/>
              <w:overflowPunct/>
              <w:topLinePunct w:val="0"/>
              <w:autoSpaceDE/>
              <w:autoSpaceDN/>
              <w:bidi w:val="0"/>
              <w:spacing w:line="240" w:lineRule="auto"/>
              <w:ind w:firstLine="480" w:firstLineChars="200"/>
              <w:jc w:val="center"/>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12.12</w:t>
            </w:r>
            <w:r>
              <w:rPr>
                <w:rFonts w:hint="eastAsia" w:ascii="宋体" w:hAnsi="宋体" w:eastAsia="宋体" w:cs="宋体"/>
                <w:b w:val="0"/>
                <w:bCs w:val="0"/>
                <w:sz w:val="24"/>
                <w:szCs w:val="24"/>
              </w:rPr>
              <w:t>秒</w:t>
            </w:r>
          </w:p>
        </w:tc>
        <w:tc>
          <w:tcPr>
            <w:tcW w:w="2127" w:type="dxa"/>
            <w:vMerge w:val="continue"/>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p>
        </w:tc>
        <w:tc>
          <w:tcPr>
            <w:tcW w:w="2205" w:type="dxa"/>
            <w:shd w:val="clear" w:color="auto" w:fill="auto"/>
          </w:tcPr>
          <w:p>
            <w:pPr>
              <w:keepNext w:val="0"/>
              <w:keepLines w:val="0"/>
              <w:pageBreakBefore w:val="0"/>
              <w:kinsoku/>
              <w:wordWrap/>
              <w:overflowPunct/>
              <w:topLinePunct w:val="0"/>
              <w:autoSpaceDE/>
              <w:autoSpaceDN/>
              <w:bidi w:val="0"/>
              <w:spacing w:line="240" w:lineRule="auto"/>
              <w:ind w:firstLine="480" w:firstLineChars="200"/>
              <w:jc w:val="center"/>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4.78</w:t>
            </w:r>
            <w:r>
              <w:rPr>
                <w:rFonts w:hint="eastAsia" w:ascii="宋体" w:hAnsi="宋体" w:eastAsia="宋体" w:cs="宋体"/>
                <w:b w:val="0"/>
                <w:bCs w:val="0"/>
                <w:sz w:val="24"/>
                <w:szCs w:val="24"/>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联系人</w:t>
            </w:r>
          </w:p>
        </w:tc>
        <w:tc>
          <w:tcPr>
            <w:tcW w:w="1943" w:type="dxa"/>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温美金</w:t>
            </w:r>
          </w:p>
        </w:tc>
        <w:tc>
          <w:tcPr>
            <w:tcW w:w="2127" w:type="dxa"/>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电话号码</w:t>
            </w:r>
          </w:p>
        </w:tc>
        <w:tc>
          <w:tcPr>
            <w:tcW w:w="2205" w:type="dxa"/>
            <w:shd w:val="clear" w:color="auto" w:fill="auto"/>
          </w:tcPr>
          <w:p>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13979753365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传真号码</w:t>
            </w:r>
          </w:p>
        </w:tc>
        <w:tc>
          <w:tcPr>
            <w:tcW w:w="1943" w:type="dxa"/>
            <w:shd w:val="clear" w:color="auto" w:fill="auto"/>
          </w:tcPr>
          <w:p>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07975733008</w:t>
            </w:r>
          </w:p>
        </w:tc>
        <w:tc>
          <w:tcPr>
            <w:tcW w:w="2127" w:type="dxa"/>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邮编</w:t>
            </w:r>
          </w:p>
        </w:tc>
        <w:tc>
          <w:tcPr>
            <w:tcW w:w="2205" w:type="dxa"/>
            <w:shd w:val="clear" w:color="auto" w:fill="auto"/>
          </w:tcPr>
          <w:p>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342701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是否为VOC企业</w:t>
            </w:r>
          </w:p>
        </w:tc>
        <w:tc>
          <w:tcPr>
            <w:tcW w:w="1943" w:type="dxa"/>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否</w:t>
            </w:r>
          </w:p>
        </w:tc>
        <w:tc>
          <w:tcPr>
            <w:tcW w:w="2127" w:type="dxa"/>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自行监测开展方式</w:t>
            </w:r>
          </w:p>
        </w:tc>
        <w:tc>
          <w:tcPr>
            <w:tcW w:w="2205" w:type="dxa"/>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手工+自动+委托监测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行业类别</w:t>
            </w:r>
          </w:p>
        </w:tc>
        <w:tc>
          <w:tcPr>
            <w:tcW w:w="1943" w:type="dxa"/>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污水处理及其再生利用</w:t>
            </w:r>
          </w:p>
        </w:tc>
        <w:tc>
          <w:tcPr>
            <w:tcW w:w="2127" w:type="dxa"/>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行业代码</w:t>
            </w:r>
          </w:p>
        </w:tc>
        <w:tc>
          <w:tcPr>
            <w:tcW w:w="2205" w:type="dxa"/>
            <w:shd w:val="clear" w:color="auto" w:fill="auto"/>
          </w:tcPr>
          <w:p>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sz w:val="24"/>
                <w:szCs w:val="24"/>
                <w:lang w:val="en-US"/>
              </w:rPr>
            </w:pPr>
            <w:r>
              <w:rPr>
                <w:rFonts w:hint="eastAsia" w:ascii="宋体" w:hAnsi="宋体" w:eastAsia="宋体" w:cs="宋体"/>
                <w:b w:val="0"/>
                <w:bCs w:val="0"/>
                <w:sz w:val="24"/>
                <w:szCs w:val="24"/>
                <w:lang w:val="en-US" w:eastAsia="zh-CN"/>
              </w:rPr>
              <w:t>D4620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021" w:type="dxa"/>
            <w:shd w:val="clear" w:color="auto" w:fill="auto"/>
          </w:tcPr>
          <w:p>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设计规模</w:t>
            </w:r>
          </w:p>
        </w:tc>
        <w:tc>
          <w:tcPr>
            <w:tcW w:w="1943" w:type="dxa"/>
            <w:shd w:val="clear" w:color="auto" w:fill="auto"/>
          </w:tcPr>
          <w:p>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2.25万吨</w:t>
            </w:r>
          </w:p>
        </w:tc>
        <w:tc>
          <w:tcPr>
            <w:tcW w:w="2127" w:type="dxa"/>
            <w:shd w:val="clear" w:color="auto" w:fill="auto"/>
          </w:tcPr>
          <w:p>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服务范围</w:t>
            </w:r>
          </w:p>
        </w:tc>
        <w:tc>
          <w:tcPr>
            <w:tcW w:w="2205" w:type="dxa"/>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（污水收集范围东至东环路，西至莲香大道，南至花园村，北至</w:t>
            </w:r>
            <w:r>
              <w:rPr>
                <w:rFonts w:ascii="Arial" w:hAnsi="Arial" w:eastAsia="宋体" w:cs="Arial"/>
                <w:i w:val="0"/>
                <w:iCs w:val="0"/>
                <w:caps w:val="0"/>
                <w:color w:val="000000" w:themeColor="text1"/>
                <w:spacing w:val="0"/>
                <w:sz w:val="21"/>
                <w:szCs w:val="21"/>
                <w:shd w:val="clear" w:fill="FFFFFF"/>
                <w14:textFill>
                  <w14:solidFill>
                    <w14:schemeClr w14:val="tx1"/>
                  </w14:solidFill>
                </w14:textFill>
              </w:rPr>
              <w:t>睦富村</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021" w:type="dxa"/>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排污方式</w:t>
            </w:r>
          </w:p>
        </w:tc>
        <w:tc>
          <w:tcPr>
            <w:tcW w:w="1943" w:type="dxa"/>
            <w:shd w:val="clear" w:color="auto" w:fill="auto"/>
          </w:tcPr>
          <w:p>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管道连续排放</w:t>
            </w:r>
          </w:p>
        </w:tc>
        <w:tc>
          <w:tcPr>
            <w:tcW w:w="2127" w:type="dxa"/>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kern w:val="2"/>
                <w:sz w:val="24"/>
                <w:szCs w:val="24"/>
                <w:lang w:val="en-US" w:eastAsia="zh-CN" w:bidi="ar-SA"/>
              </w:rPr>
              <w:t>受纳水体</w:t>
            </w:r>
          </w:p>
        </w:tc>
        <w:tc>
          <w:tcPr>
            <w:tcW w:w="2205" w:type="dxa"/>
            <w:shd w:val="clear" w:color="auto" w:fill="auto"/>
          </w:tcPr>
          <w:p>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琴江河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shd w:val="clear" w:color="auto" w:fill="auto"/>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技术负责人</w:t>
            </w:r>
          </w:p>
        </w:tc>
        <w:tc>
          <w:tcPr>
            <w:tcW w:w="1943" w:type="dxa"/>
            <w:shd w:val="clear" w:color="auto" w:fill="auto"/>
          </w:tcPr>
          <w:p>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周祚恒</w:t>
            </w:r>
          </w:p>
        </w:tc>
        <w:tc>
          <w:tcPr>
            <w:tcW w:w="2127" w:type="dxa"/>
            <w:shd w:val="clear" w:color="auto" w:fill="auto"/>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rPr>
              <w:t>数据公开时限</w:t>
            </w:r>
          </w:p>
        </w:tc>
        <w:tc>
          <w:tcPr>
            <w:tcW w:w="2205" w:type="dxa"/>
            <w:shd w:val="clear" w:color="auto" w:fill="auto"/>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rPr>
              <w:t>手工：次日，自动：实时</w:t>
            </w:r>
          </w:p>
        </w:tc>
      </w:tr>
    </w:tbl>
    <w:p>
      <w:pPr>
        <w:pStyle w:val="18"/>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2、污染物产生情况</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tcPr>
          <w:p>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废水</w:t>
            </w:r>
          </w:p>
        </w:tc>
        <w:tc>
          <w:tcPr>
            <w:tcW w:w="7592" w:type="dxa"/>
            <w:shd w:val="clear" w:color="auto" w:fill="auto"/>
          </w:tcPr>
          <w:p>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根据环评及环评批复，</w:t>
            </w:r>
            <w:r>
              <w:rPr>
                <w:rFonts w:hint="eastAsia" w:ascii="宋体" w:hAnsi="宋体" w:eastAsia="宋体" w:cs="宋体"/>
                <w:b w:val="0"/>
                <w:bCs w:val="0"/>
                <w:sz w:val="24"/>
                <w:szCs w:val="24"/>
                <w:lang w:eastAsia="zh-CN"/>
              </w:rPr>
              <w:t>我</w:t>
            </w:r>
            <w:r>
              <w:rPr>
                <w:rFonts w:hint="eastAsia" w:ascii="宋体" w:hAnsi="宋体" w:eastAsia="宋体" w:cs="宋体"/>
                <w:sz w:val="24"/>
                <w:szCs w:val="24"/>
              </w:rPr>
              <w:t>厂主要处理城镇生活</w:t>
            </w:r>
            <w:r>
              <w:rPr>
                <w:rFonts w:hint="eastAsia" w:ascii="宋体" w:hAnsi="宋体" w:eastAsia="宋体" w:cs="宋体"/>
                <w:sz w:val="24"/>
                <w:szCs w:val="24"/>
                <w:lang w:val="en-US" w:eastAsia="zh-CN"/>
              </w:rPr>
              <w:t>污水</w:t>
            </w:r>
            <w:r>
              <w:rPr>
                <w:rFonts w:hint="eastAsia" w:ascii="宋体" w:hAnsi="宋体" w:eastAsia="宋体" w:cs="宋体"/>
                <w:sz w:val="24"/>
                <w:szCs w:val="24"/>
              </w:rPr>
              <w:t>管网收集的负荷相关</w:t>
            </w:r>
            <w:r>
              <w:rPr>
                <w:rFonts w:hint="eastAsia" w:ascii="宋体" w:hAnsi="宋体" w:eastAsia="宋体" w:cs="宋体"/>
                <w:sz w:val="24"/>
                <w:szCs w:val="24"/>
                <w:lang w:val="en-US" w:eastAsia="zh-CN"/>
              </w:rPr>
              <w:t>纳</w:t>
            </w:r>
            <w:r>
              <w:rPr>
                <w:rFonts w:hint="eastAsia" w:ascii="宋体" w:hAnsi="宋体" w:eastAsia="宋体" w:cs="宋体"/>
                <w:sz w:val="24"/>
                <w:szCs w:val="24"/>
              </w:rPr>
              <w:t>管标准的生活污水，脱泥压滤产生的少量污水回流至厂区提升泵房进行处理。生产所排放的污染物主要为经过处理后，尚未彻底消解，并达到国家相关排放标准的污水</w:t>
            </w:r>
            <w:r>
              <w:rPr>
                <w:rFonts w:hint="eastAsia" w:ascii="宋体" w:hAnsi="宋体" w:eastAsia="宋体" w:cs="宋体"/>
                <w:sz w:val="24"/>
                <w:szCs w:val="24"/>
                <w:lang w:eastAsia="zh-CN"/>
              </w:rPr>
              <w:t>，</w:t>
            </w:r>
            <w:r>
              <w:rPr>
                <w:rFonts w:hint="eastAsia" w:ascii="宋体" w:hAnsi="宋体" w:eastAsia="宋体" w:cs="宋体"/>
                <w:b w:val="0"/>
                <w:bCs w:val="0"/>
                <w:sz w:val="24"/>
                <w:szCs w:val="24"/>
              </w:rPr>
              <w:t>执行《城镇污水处理厂污染物排放标准》（GB18918-2002）</w:t>
            </w:r>
            <w:r>
              <w:rPr>
                <w:rFonts w:hint="eastAsia" w:ascii="宋体" w:hAnsi="宋体" w:eastAsia="宋体" w:cs="宋体"/>
                <w:b w:val="0"/>
                <w:bCs w:val="0"/>
                <w:sz w:val="24"/>
                <w:szCs w:val="24"/>
                <w:lang w:val="en-US" w:eastAsia="zh-CN"/>
              </w:rPr>
              <w:t>一</w:t>
            </w:r>
            <w:r>
              <w:rPr>
                <w:rFonts w:hint="eastAsia" w:ascii="宋体" w:hAnsi="宋体" w:eastAsia="宋体" w:cs="宋体"/>
                <w:b w:val="0"/>
                <w:bCs w:val="0"/>
                <w:sz w:val="24"/>
                <w:szCs w:val="24"/>
              </w:rPr>
              <w:t>级</w:t>
            </w:r>
            <w:r>
              <w:rPr>
                <w:rFonts w:hint="eastAsia" w:ascii="宋体" w:hAnsi="宋体" w:eastAsia="宋体" w:cs="宋体"/>
                <w:b w:val="0"/>
                <w:bCs w:val="0"/>
                <w:sz w:val="24"/>
                <w:szCs w:val="24"/>
                <w:lang w:val="en-US" w:eastAsia="zh-CN"/>
              </w:rPr>
              <w:t>A</w:t>
            </w:r>
            <w:r>
              <w:rPr>
                <w:rFonts w:hint="eastAsia" w:ascii="宋体" w:hAnsi="宋体" w:eastAsia="宋体" w:cs="宋体"/>
                <w:b w:val="0"/>
                <w:bCs w:val="0"/>
                <w:sz w:val="24"/>
                <w:szCs w:val="24"/>
              </w:rPr>
              <w:t>标准排放</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出水</w:t>
            </w:r>
            <w:r>
              <w:rPr>
                <w:rFonts w:hint="eastAsia" w:ascii="宋体" w:hAnsi="宋体" w:eastAsia="宋体" w:cs="宋体"/>
                <w:sz w:val="24"/>
                <w:szCs w:val="24"/>
                <w:lang w:val="en-US" w:eastAsia="zh-CN"/>
              </w:rPr>
              <w:t>排入琴江河。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tcPr>
          <w:p>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废气</w:t>
            </w:r>
          </w:p>
        </w:tc>
        <w:tc>
          <w:tcPr>
            <w:tcW w:w="7592" w:type="dxa"/>
            <w:shd w:val="clear" w:color="auto" w:fill="auto"/>
          </w:tcPr>
          <w:p>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根据环评及环评批复，废气主要为污水及污泥处理过程中产生的恶臭</w:t>
            </w:r>
            <w:r>
              <w:rPr>
                <w:rFonts w:hint="eastAsia" w:ascii="宋体" w:hAnsi="宋体" w:eastAsia="宋体" w:cs="宋体"/>
                <w:b w:val="0"/>
                <w:bCs w:val="0"/>
                <w:sz w:val="24"/>
                <w:szCs w:val="24"/>
                <w:lang w:val="en-US" w:eastAsia="zh-CN"/>
              </w:rPr>
              <w:t>气体</w:t>
            </w:r>
            <w:r>
              <w:rPr>
                <w:rFonts w:hint="eastAsia" w:ascii="宋体" w:hAnsi="宋体" w:eastAsia="宋体" w:cs="宋体"/>
                <w:b w:val="0"/>
                <w:bCs w:val="0"/>
                <w:sz w:val="24"/>
                <w:szCs w:val="24"/>
              </w:rPr>
              <w:t>由管道收集，经过</w:t>
            </w:r>
            <w:r>
              <w:rPr>
                <w:rFonts w:hint="eastAsia" w:ascii="宋体" w:hAnsi="宋体" w:eastAsia="宋体" w:cs="宋体"/>
                <w:b w:val="0"/>
                <w:bCs w:val="0"/>
                <w:sz w:val="24"/>
                <w:szCs w:val="24"/>
                <w:lang w:val="en-US" w:eastAsia="zh-CN"/>
              </w:rPr>
              <w:t>生物</w:t>
            </w:r>
            <w:r>
              <w:rPr>
                <w:rFonts w:hint="eastAsia" w:ascii="宋体" w:hAnsi="宋体" w:eastAsia="宋体" w:cs="宋体"/>
                <w:b w:val="0"/>
                <w:bCs w:val="0"/>
                <w:sz w:val="24"/>
                <w:szCs w:val="24"/>
              </w:rPr>
              <w:t>土壤滤池处理后无组织排放</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相关废气执行《城镇污水处理厂污染物排放标准》（GB18918-2002）二级标准排放。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tcPr>
          <w:p>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噪声</w:t>
            </w:r>
          </w:p>
        </w:tc>
        <w:tc>
          <w:tcPr>
            <w:tcW w:w="7592" w:type="dxa"/>
            <w:shd w:val="clear" w:color="auto" w:fill="auto"/>
          </w:tcPr>
          <w:p>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污水处理</w:t>
            </w:r>
            <w:r>
              <w:rPr>
                <w:rFonts w:hint="eastAsia" w:ascii="宋体" w:hAnsi="宋体" w:eastAsia="宋体" w:cs="宋体"/>
                <w:b w:val="0"/>
                <w:bCs w:val="0"/>
                <w:sz w:val="24"/>
                <w:szCs w:val="24"/>
                <w:lang w:val="en-US" w:eastAsia="zh-CN"/>
              </w:rPr>
              <w:t>过程中</w:t>
            </w:r>
            <w:r>
              <w:rPr>
                <w:rFonts w:hint="eastAsia" w:ascii="宋体" w:hAnsi="宋体" w:eastAsia="宋体" w:cs="宋体"/>
                <w:b w:val="0"/>
                <w:bCs w:val="0"/>
                <w:sz w:val="24"/>
                <w:szCs w:val="24"/>
              </w:rPr>
              <w:t>提升泵等设备运行中产生</w:t>
            </w:r>
            <w:r>
              <w:rPr>
                <w:rFonts w:hint="eastAsia" w:ascii="宋体" w:hAnsi="宋体" w:eastAsia="宋体" w:cs="宋体"/>
                <w:b w:val="0"/>
                <w:bCs w:val="0"/>
                <w:sz w:val="24"/>
                <w:szCs w:val="24"/>
                <w:lang w:val="en-US" w:eastAsia="zh-CN"/>
              </w:rPr>
              <w:t>的</w:t>
            </w:r>
            <w:r>
              <w:rPr>
                <w:rFonts w:hint="eastAsia" w:ascii="宋体" w:hAnsi="宋体" w:eastAsia="宋体" w:cs="宋体"/>
                <w:b w:val="0"/>
                <w:bCs w:val="0"/>
                <w:sz w:val="24"/>
                <w:szCs w:val="24"/>
              </w:rPr>
              <w:t>噪声</w:t>
            </w:r>
            <w:r>
              <w:rPr>
                <w:rFonts w:hint="eastAsia" w:ascii="宋体" w:hAnsi="宋体" w:eastAsia="宋体" w:cs="宋体"/>
                <w:color w:val="auto"/>
                <w:sz w:val="24"/>
                <w:szCs w:val="24"/>
              </w:rPr>
              <w:t>《城镇污水处理厂污染物排放标准》（GB18918-2002）2类标准。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tcPr>
          <w:p>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固废</w:t>
            </w:r>
          </w:p>
        </w:tc>
        <w:tc>
          <w:tcPr>
            <w:tcW w:w="7592" w:type="dxa"/>
            <w:shd w:val="clear" w:color="auto" w:fill="auto"/>
          </w:tcPr>
          <w:p>
            <w:pPr>
              <w:keepNext w:val="0"/>
              <w:keepLines w:val="0"/>
              <w:pageBreakBefore w:val="0"/>
              <w:kinsoku/>
              <w:wordWrap/>
              <w:overflowPunct/>
              <w:topLinePunct w:val="0"/>
              <w:autoSpaceDE/>
              <w:autoSpaceDN/>
              <w:bidi w:val="0"/>
              <w:spacing w:line="240" w:lineRule="auto"/>
              <w:jc w:val="left"/>
              <w:rPr>
                <w:rFonts w:hint="default" w:ascii="宋体" w:hAnsi="宋体" w:eastAsia="宋体" w:cs="宋体"/>
                <w:b w:val="0"/>
                <w:bCs w:val="0"/>
                <w:sz w:val="24"/>
                <w:szCs w:val="24"/>
                <w:lang w:val="en-US" w:eastAsia="zh-CN"/>
              </w:rPr>
            </w:pPr>
            <w:r>
              <w:rPr>
                <w:rFonts w:hint="eastAsia" w:ascii="宋体" w:hAnsi="宋体" w:eastAsia="宋体" w:cs="宋体"/>
                <w:sz w:val="24"/>
                <w:szCs w:val="24"/>
              </w:rPr>
              <w:t>根据环评及环评批复，我司污水处理厂固体废物主要为污水处理过程中产生的剩余污泥，</w:t>
            </w:r>
            <w:r>
              <w:rPr>
                <w:rFonts w:hint="eastAsia" w:ascii="宋体" w:hAnsi="宋体" w:eastAsia="宋体" w:cs="宋体"/>
                <w:sz w:val="24"/>
                <w:szCs w:val="24"/>
                <w:lang w:val="en-US" w:eastAsia="zh-CN"/>
              </w:rPr>
              <w:t>经带式压滤脱水机压榨至含水率小于80%以内泥饼，传送至专用污泥运输车辆</w:t>
            </w:r>
            <w:r>
              <w:rPr>
                <w:rFonts w:hint="eastAsia" w:ascii="宋体" w:hAnsi="宋体" w:eastAsia="宋体" w:cs="宋体"/>
                <w:sz w:val="24"/>
                <w:szCs w:val="24"/>
              </w:rPr>
              <w:t>，再外运至政府指定的地点</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石城县污泥处置中心</w:t>
            </w:r>
            <w:r>
              <w:rPr>
                <w:rFonts w:hint="eastAsia" w:ascii="宋体" w:hAnsi="宋体" w:eastAsia="宋体" w:cs="宋体"/>
                <w:b w:val="0"/>
                <w:bCs w:val="0"/>
                <w:color w:val="000000" w:themeColor="text1"/>
                <w:sz w:val="24"/>
                <w:szCs w:val="24"/>
                <w:lang w:val="en-US" w:eastAsia="zh-CN"/>
                <w14:textFill>
                  <w14:solidFill>
                    <w14:schemeClr w14:val="tx1"/>
                  </w14:solidFill>
                </w14:textFill>
              </w:rPr>
              <w:t>，一年预计产生  4300 吨污泥。</w:t>
            </w:r>
          </w:p>
        </w:tc>
      </w:tr>
    </w:tbl>
    <w:p>
      <w:pPr>
        <w:pStyle w:val="18"/>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val="0"/>
          <w:bCs w:val="0"/>
          <w:color w:val="FF0000"/>
          <w:sz w:val="28"/>
          <w:szCs w:val="28"/>
          <w:lang w:eastAsia="zh-CN"/>
        </w:rPr>
      </w:pPr>
      <w:r>
        <w:rPr>
          <w:rFonts w:hint="eastAsia" w:ascii="宋体" w:hAnsi="宋体" w:eastAsia="宋体" w:cs="宋体"/>
          <w:b w:val="0"/>
          <w:bCs w:val="0"/>
          <w:sz w:val="28"/>
          <w:szCs w:val="28"/>
          <w:lang w:eastAsia="zh-CN"/>
        </w:rPr>
        <w:t>3、污染处理设施情况</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6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auto"/>
          </w:tcPr>
          <w:p>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废水治理设施</w:t>
            </w:r>
          </w:p>
        </w:tc>
        <w:tc>
          <w:tcPr>
            <w:tcW w:w="6672" w:type="dxa"/>
            <w:shd w:val="clear" w:color="auto" w:fill="auto"/>
          </w:tcPr>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石城县生活污水处理厂占地面积70亩，主要收集处理城区生活污水的处理，2009年完成一期日处理0.75万吨规模的建设，2010年交付江西洪城水业环保有限公司石城县分公司运营。2017年8月一期二步投入运行，达到设计处理规模1.5万吨/日。污水处理工艺为“沉砂池+改良型氧化沟+二沉池+紫外消毒”，主要污染处理设施包括格栅，提升泵、沉砂池、氧化沟生化降解池，二沉池，紫外消毒等设备设施。2021年1月1日提标工艺完成开始试运行，新增高效沉淀池，反硝化深床滤池，消毒接触池，淘汰原紫外灯消毒，采用投加次氯酸钠消毒，出水由原来一级B标准提高到一级A标准。2022年二期扩容1.5万吨/日处理规模主体构筑物建设完工，设备按0.75万吨/日安装完毕，污水处理工艺为：沉砂池+改良型氧化沟+二沉池+高效沉淀池，反硝化深床滤池，消毒接触池，于2022年6月委托我公司代运维，目前总处理规模为2.25万吨/日。</w:t>
            </w:r>
          </w:p>
          <w:p>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auto"/>
          </w:tcPr>
          <w:p>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废气治理设施</w:t>
            </w:r>
          </w:p>
        </w:tc>
        <w:tc>
          <w:tcPr>
            <w:tcW w:w="6672" w:type="dxa"/>
            <w:shd w:val="clear" w:color="auto" w:fill="auto"/>
          </w:tcPr>
          <w:p>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lang w:eastAsia="zh-CN"/>
              </w:rPr>
            </w:pPr>
            <w:r>
              <w:rPr>
                <w:rFonts w:hint="eastAsia" w:ascii="宋体" w:hAnsi="宋体" w:eastAsia="宋体" w:cs="宋体"/>
                <w:sz w:val="24"/>
                <w:szCs w:val="24"/>
              </w:rPr>
              <w:t>按环评要求设置了卫生防护距离，并在厂界四周种植了绿化隔离带。</w:t>
            </w:r>
            <w:r>
              <w:rPr>
                <w:rFonts w:hint="eastAsia" w:ascii="宋体" w:hAnsi="宋体" w:eastAsia="宋体" w:cs="宋体"/>
                <w:b w:val="0"/>
                <w:bCs w:val="0"/>
                <w:sz w:val="24"/>
                <w:szCs w:val="24"/>
              </w:rPr>
              <w:t>恶臭</w:t>
            </w:r>
            <w:r>
              <w:rPr>
                <w:rFonts w:hint="eastAsia" w:ascii="宋体" w:hAnsi="宋体" w:eastAsia="宋体" w:cs="宋体"/>
                <w:b w:val="0"/>
                <w:bCs w:val="0"/>
                <w:sz w:val="24"/>
                <w:szCs w:val="24"/>
                <w:lang w:val="en-US" w:eastAsia="zh-CN"/>
              </w:rPr>
              <w:t>气体</w:t>
            </w:r>
            <w:r>
              <w:rPr>
                <w:rFonts w:hint="eastAsia" w:ascii="宋体" w:hAnsi="宋体" w:eastAsia="宋体" w:cs="宋体"/>
                <w:b w:val="0"/>
                <w:bCs w:val="0"/>
                <w:sz w:val="24"/>
                <w:szCs w:val="24"/>
              </w:rPr>
              <w:t>由管道收集，经过</w:t>
            </w:r>
            <w:r>
              <w:rPr>
                <w:rFonts w:hint="eastAsia" w:ascii="宋体" w:hAnsi="宋体" w:eastAsia="宋体" w:cs="宋体"/>
                <w:b w:val="0"/>
                <w:bCs w:val="0"/>
                <w:sz w:val="24"/>
                <w:szCs w:val="24"/>
                <w:lang w:val="en-US" w:eastAsia="zh-CN"/>
              </w:rPr>
              <w:t>生物</w:t>
            </w:r>
            <w:r>
              <w:rPr>
                <w:rFonts w:hint="eastAsia" w:ascii="宋体" w:hAnsi="宋体" w:eastAsia="宋体" w:cs="宋体"/>
                <w:b w:val="0"/>
                <w:bCs w:val="0"/>
                <w:sz w:val="24"/>
                <w:szCs w:val="24"/>
              </w:rPr>
              <w:t>土壤滤池处理后无组织排放</w:t>
            </w:r>
            <w:r>
              <w:rPr>
                <w:rFonts w:hint="eastAsia" w:ascii="宋体" w:hAnsi="宋体" w:eastAsia="宋体" w:cs="宋体"/>
                <w:b w:val="0"/>
                <w:bCs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auto"/>
          </w:tcPr>
          <w:p>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噪声治理设施</w:t>
            </w:r>
          </w:p>
        </w:tc>
        <w:tc>
          <w:tcPr>
            <w:tcW w:w="6672" w:type="dxa"/>
            <w:shd w:val="clear" w:color="auto" w:fill="auto"/>
          </w:tcPr>
          <w:p>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采用低噪音环保设备并通过安装在室内、水下和消音装置及厂区内外种植树木等措施防治噪音。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auto"/>
          </w:tcPr>
          <w:p>
            <w:pPr>
              <w:keepNext w:val="0"/>
              <w:keepLines w:val="0"/>
              <w:pageBreakBefore w:val="0"/>
              <w:kinsoku/>
              <w:wordWrap/>
              <w:overflowPunct/>
              <w:topLinePunct w:val="0"/>
              <w:autoSpaceDE/>
              <w:autoSpaceDN/>
              <w:bidi w:val="0"/>
              <w:spacing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固废治理设施</w:t>
            </w:r>
          </w:p>
        </w:tc>
        <w:tc>
          <w:tcPr>
            <w:tcW w:w="6672" w:type="dxa"/>
            <w:shd w:val="clear" w:color="auto" w:fill="auto"/>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sz w:val="24"/>
                <w:szCs w:val="24"/>
              </w:rPr>
              <w:t>固体废物主要为污水处理过程中产生的剩余</w:t>
            </w:r>
            <w:r>
              <w:rPr>
                <w:rFonts w:hint="eastAsia" w:ascii="宋体" w:hAnsi="宋体" w:eastAsia="宋体" w:cs="宋体"/>
                <w:b w:val="0"/>
                <w:bCs w:val="0"/>
                <w:sz w:val="24"/>
                <w:szCs w:val="24"/>
              </w:rPr>
              <w:t>污泥，污泥经过稳定化</w:t>
            </w:r>
            <w:r>
              <w:rPr>
                <w:rFonts w:hint="eastAsia" w:ascii="宋体" w:hAnsi="宋体" w:eastAsia="宋体" w:cs="宋体"/>
                <w:b w:val="0"/>
                <w:bCs w:val="0"/>
                <w:sz w:val="24"/>
                <w:szCs w:val="24"/>
                <w:lang w:val="en-US" w:eastAsia="zh-CN"/>
              </w:rPr>
              <w:t>后，通过带式压滤脱水机压榨至含水率小于80%泥饼，通</w:t>
            </w:r>
            <w:r>
              <w:rPr>
                <w:rFonts w:hint="eastAsia" w:ascii="宋体" w:hAnsi="宋体" w:eastAsia="宋体" w:cs="宋体"/>
                <w:sz w:val="24"/>
                <w:szCs w:val="24"/>
                <w:lang w:val="en-US" w:eastAsia="zh-CN"/>
              </w:rPr>
              <w:t>过污泥运输车辆</w:t>
            </w:r>
            <w:r>
              <w:rPr>
                <w:rFonts w:hint="eastAsia" w:ascii="宋体" w:hAnsi="宋体" w:eastAsia="宋体" w:cs="宋体"/>
                <w:sz w:val="24"/>
                <w:szCs w:val="24"/>
              </w:rPr>
              <w:t>，外运至政府指定的地点</w:t>
            </w:r>
            <w:r>
              <w:rPr>
                <w:rFonts w:hint="eastAsia" w:ascii="宋体" w:hAnsi="宋体" w:eastAsia="宋体" w:cs="宋体"/>
                <w:sz w:val="24"/>
                <w:szCs w:val="24"/>
                <w:lang w:val="en-US" w:eastAsia="zh-CN"/>
              </w:rPr>
              <w:t>-石城县污泥处置中心，</w:t>
            </w:r>
            <w:r>
              <w:rPr>
                <w:rFonts w:hint="eastAsia" w:ascii="宋体" w:hAnsi="宋体" w:eastAsia="宋体" w:cs="宋体"/>
                <w:sz w:val="24"/>
                <w:szCs w:val="24"/>
              </w:rPr>
              <w:t>进行</w:t>
            </w:r>
            <w:r>
              <w:rPr>
                <w:rFonts w:hint="eastAsia" w:ascii="宋体" w:hAnsi="宋体" w:eastAsia="宋体" w:cs="宋体"/>
                <w:sz w:val="24"/>
                <w:szCs w:val="24"/>
                <w:lang w:val="en-US" w:eastAsia="zh-CN"/>
              </w:rPr>
              <w:t>再次干化</w:t>
            </w:r>
            <w:r>
              <w:rPr>
                <w:rFonts w:hint="eastAsia" w:ascii="宋体" w:hAnsi="宋体" w:eastAsia="宋体" w:cs="宋体"/>
                <w:sz w:val="24"/>
                <w:szCs w:val="24"/>
              </w:rPr>
              <w:t>妥善处理，防止二次污染。</w:t>
            </w:r>
          </w:p>
        </w:tc>
      </w:tr>
    </w:tbl>
    <w:p>
      <w:pPr>
        <w:pStyle w:val="4"/>
        <w:rPr>
          <w:rFonts w:hint="eastAsia" w:ascii="宋体" w:hAnsi="宋体" w:eastAsia="宋体" w:cs="宋体"/>
          <w:b/>
          <w:bCs/>
          <w:sz w:val="28"/>
          <w:szCs w:val="28"/>
          <w:lang w:eastAsia="zh-CN"/>
        </w:rPr>
      </w:pPr>
    </w:p>
    <w:p>
      <w:pPr>
        <w:pStyle w:val="4"/>
        <w:rPr>
          <w:rFonts w:hint="eastAsia" w:ascii="宋体" w:hAnsi="宋体" w:eastAsia="宋体" w:cs="宋体"/>
          <w:b/>
          <w:bCs/>
          <w:sz w:val="28"/>
          <w:szCs w:val="28"/>
          <w:lang w:eastAsia="zh-CN"/>
        </w:rPr>
      </w:pPr>
    </w:p>
    <w:p>
      <w:pPr>
        <w:pStyle w:val="4"/>
        <w:rPr>
          <w:rFonts w:hint="eastAsia" w:ascii="宋体" w:hAnsi="宋体" w:eastAsia="宋体" w:cs="宋体"/>
          <w:b/>
          <w:bCs/>
          <w:sz w:val="28"/>
          <w:szCs w:val="28"/>
          <w:lang w:eastAsia="zh-CN"/>
        </w:rPr>
      </w:pPr>
    </w:p>
    <w:p>
      <w:pPr>
        <w:pStyle w:val="4"/>
        <w:rPr>
          <w:rFonts w:hint="eastAsia" w:ascii="宋体" w:hAnsi="宋体" w:eastAsia="宋体" w:cs="宋体"/>
          <w:b/>
          <w:bCs/>
          <w:sz w:val="28"/>
          <w:szCs w:val="28"/>
          <w:lang w:eastAsia="zh-CN"/>
        </w:rPr>
      </w:pPr>
    </w:p>
    <w:p>
      <w:pPr>
        <w:pStyle w:val="4"/>
        <w:rPr>
          <w:rFonts w:hint="eastAsia" w:ascii="宋体" w:hAnsi="宋体" w:eastAsia="宋体" w:cs="宋体"/>
          <w:b/>
          <w:bCs/>
          <w:sz w:val="28"/>
          <w:szCs w:val="28"/>
          <w:lang w:eastAsia="zh-CN"/>
        </w:rPr>
      </w:pPr>
    </w:p>
    <w:p>
      <w:pPr>
        <w:pStyle w:val="4"/>
        <w:rPr>
          <w:rFonts w:hint="eastAsia" w:ascii="宋体" w:hAnsi="宋体" w:eastAsia="宋体" w:cs="宋体"/>
          <w:b/>
          <w:bCs/>
          <w:sz w:val="28"/>
          <w:szCs w:val="28"/>
          <w:lang w:eastAsia="zh-CN"/>
        </w:rPr>
      </w:pPr>
    </w:p>
    <w:p>
      <w:pPr>
        <w:pStyle w:val="4"/>
        <w:rPr>
          <w:rFonts w:hint="eastAsia" w:ascii="宋体" w:hAnsi="宋体" w:eastAsia="宋体" w:cs="宋体"/>
          <w:b/>
          <w:bCs/>
          <w:sz w:val="28"/>
          <w:szCs w:val="28"/>
          <w:lang w:eastAsia="zh-CN"/>
        </w:rPr>
      </w:pPr>
    </w:p>
    <w:p>
      <w:pPr>
        <w:pStyle w:val="4"/>
        <w:rPr>
          <w:rFonts w:hint="eastAsia" w:ascii="宋体" w:hAnsi="宋体" w:eastAsia="宋体" w:cs="宋体"/>
          <w:b/>
          <w:bCs/>
          <w:sz w:val="28"/>
          <w:szCs w:val="28"/>
          <w:lang w:eastAsia="zh-CN"/>
        </w:rPr>
      </w:pPr>
    </w:p>
    <w:p>
      <w:pPr>
        <w:pStyle w:val="4"/>
        <w:rPr>
          <w:rFonts w:hint="eastAsia" w:ascii="宋体" w:hAnsi="宋体" w:eastAsia="宋体" w:cs="宋体"/>
          <w:b/>
          <w:bCs/>
          <w:sz w:val="28"/>
          <w:szCs w:val="28"/>
          <w:lang w:val="en-US" w:eastAsia="zh-CN"/>
        </w:rPr>
      </w:pPr>
      <w:r>
        <w:rPr>
          <w:rFonts w:hint="eastAsia" w:ascii="宋体" w:hAnsi="宋体" w:eastAsia="宋体" w:cs="宋体"/>
          <w:b/>
          <w:bCs/>
          <w:sz w:val="28"/>
          <w:szCs w:val="28"/>
          <w:lang w:eastAsia="zh-CN"/>
        </w:rPr>
        <w:t>二、工艺流程及废水监测点位</w:t>
      </w:r>
    </w:p>
    <w:p>
      <w:pPr>
        <w:pStyle w:val="18"/>
        <w:spacing w:line="240" w:lineRule="auto"/>
        <w:ind w:firstLine="0" w:firstLineChars="0"/>
        <w:rPr>
          <w:rFonts w:hint="eastAsia" w:ascii="宋体" w:hAnsi="宋体" w:eastAsia="宋体"/>
          <w:sz w:val="28"/>
          <w:szCs w:val="28"/>
          <w:lang w:eastAsia="zh-CN"/>
        </w:rPr>
        <w:sectPr>
          <w:footerReference r:id="rId5" w:type="default"/>
          <w:pgSz w:w="11906" w:h="16838"/>
          <w:pgMar w:top="12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宋体" w:hAnsi="宋体" w:eastAsia="宋体" w:cs="宋体"/>
          <w:b w:val="0"/>
          <w:bCs w:val="0"/>
          <w:sz w:val="28"/>
          <w:szCs w:val="28"/>
          <w:lang w:eastAsia="zh-CN"/>
        </w:rPr>
        <w:drawing>
          <wp:inline distT="0" distB="0" distL="114300" distR="114300">
            <wp:extent cx="5596255" cy="3510915"/>
            <wp:effectExtent l="0" t="0" r="4445" b="13335"/>
            <wp:docPr id="1" name="图片 1" descr="石城污水处理厂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石城污水处理厂工艺流程图"/>
                    <pic:cNvPicPr>
                      <a:picLocks noChangeAspect="1"/>
                    </pic:cNvPicPr>
                  </pic:nvPicPr>
                  <pic:blipFill>
                    <a:blip r:embed="rId9"/>
                    <a:stretch>
                      <a:fillRect/>
                    </a:stretch>
                  </pic:blipFill>
                  <pic:spPr>
                    <a:xfrm>
                      <a:off x="0" y="0"/>
                      <a:ext cx="5596255" cy="3510915"/>
                    </a:xfrm>
                    <a:prstGeom prst="rect">
                      <a:avLst/>
                    </a:prstGeom>
                  </pic:spPr>
                </pic:pic>
              </a:graphicData>
            </a:graphic>
          </wp:inline>
        </w:drawing>
      </w:r>
    </w:p>
    <w:p>
      <w:pPr>
        <w:pStyle w:val="18"/>
        <w:keepNext w:val="0"/>
        <w:keepLines w:val="0"/>
        <w:pageBreakBefore w:val="0"/>
        <w:kinsoku/>
        <w:wordWrap/>
        <w:overflowPunct/>
        <w:topLinePunct w:val="0"/>
        <w:autoSpaceDE/>
        <w:autoSpaceDN/>
        <w:bidi w:val="0"/>
        <w:spacing w:line="240" w:lineRule="auto"/>
        <w:ind w:left="8120" w:hanging="8120" w:hangingChars="2900"/>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114300" distR="114300">
            <wp:extent cx="8147050" cy="13195300"/>
            <wp:effectExtent l="0" t="0" r="6350" b="6350"/>
            <wp:docPr id="2" name="图片 2" descr="2.25万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25万吨-1"/>
                    <pic:cNvPicPr>
                      <a:picLocks noChangeAspect="1"/>
                    </pic:cNvPicPr>
                  </pic:nvPicPr>
                  <pic:blipFill>
                    <a:blip r:embed="rId10"/>
                    <a:stretch>
                      <a:fillRect/>
                    </a:stretch>
                  </pic:blipFill>
                  <pic:spPr>
                    <a:xfrm rot="5400000">
                      <a:off x="0" y="0"/>
                      <a:ext cx="8147050" cy="13195300"/>
                    </a:xfrm>
                    <a:prstGeom prst="rect">
                      <a:avLst/>
                    </a:prstGeom>
                  </pic:spPr>
                </pic:pic>
              </a:graphicData>
            </a:graphic>
          </wp:inline>
        </w:drawing>
      </w:r>
    </w:p>
    <w:p>
      <w:pPr>
        <w:pStyle w:val="18"/>
        <w:keepNext w:val="0"/>
        <w:keepLines w:val="0"/>
        <w:pageBreakBefore w:val="0"/>
        <w:kinsoku/>
        <w:wordWrap/>
        <w:overflowPunct/>
        <w:topLinePunct w:val="0"/>
        <w:autoSpaceDE/>
        <w:autoSpaceDN/>
        <w:bidi w:val="0"/>
        <w:spacing w:line="240" w:lineRule="auto"/>
        <w:ind w:left="8100" w:leftChars="3857" w:firstLine="280" w:firstLineChars="100"/>
        <w:rPr>
          <w:rFonts w:hint="eastAsia" w:ascii="宋体" w:hAnsi="宋体" w:eastAsia="宋体" w:cs="宋体"/>
          <w:b w:val="0"/>
          <w:bCs w:val="0"/>
          <w:sz w:val="28"/>
          <w:szCs w:val="28"/>
          <w:lang w:eastAsia="zh-CN"/>
        </w:rPr>
        <w:sectPr>
          <w:pgSz w:w="23811" w:h="16838" w:orient="landscape"/>
          <w:pgMar w:top="1180" w:right="1440" w:bottom="1598"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b w:val="0"/>
          <w:bCs w:val="0"/>
          <w:sz w:val="28"/>
          <w:szCs w:val="28"/>
          <w:lang w:eastAsia="zh-CN"/>
        </w:rPr>
        <w:t>图1  工艺流程图和废水监测</w:t>
      </w:r>
    </w:p>
    <w:p>
      <w:pPr>
        <w:pStyle w:val="4"/>
        <w:rPr>
          <w:rFonts w:hint="eastAsia" w:ascii="宋体" w:hAnsi="宋体" w:eastAsia="宋体" w:cs="宋体"/>
          <w:b/>
          <w:bCs/>
          <w:color w:val="FF0000"/>
          <w:sz w:val="28"/>
          <w:szCs w:val="28"/>
          <w:lang w:eastAsia="zh-CN"/>
        </w:rPr>
      </w:pPr>
      <w:r>
        <w:rPr>
          <w:rFonts w:hint="eastAsia" w:ascii="宋体" w:hAnsi="宋体" w:eastAsia="宋体" w:cs="宋体"/>
          <w:b/>
          <w:bCs/>
          <w:sz w:val="28"/>
          <w:szCs w:val="28"/>
          <w:lang w:eastAsia="zh-CN"/>
        </w:rPr>
        <w:t>无组织废气</w:t>
      </w:r>
    </w:p>
    <w:p>
      <w:pPr>
        <w:pStyle w:val="18"/>
        <w:keepNext w:val="0"/>
        <w:keepLines w:val="0"/>
        <w:pageBreakBefore w:val="0"/>
        <w:kinsoku/>
        <w:wordWrap/>
        <w:overflowPunct/>
        <w:topLinePunct w:val="0"/>
        <w:autoSpaceDE/>
        <w:autoSpaceDN/>
        <w:bidi w:val="0"/>
        <w:spacing w:line="240" w:lineRule="auto"/>
        <w:ind w:firstLine="560"/>
        <w:rPr>
          <w:rFonts w:hint="default" w:ascii="宋体"/>
          <w:color w:val="auto"/>
          <w:sz w:val="28"/>
          <w:szCs w:val="28"/>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60288" behindDoc="1" locked="0" layoutInCell="1" allowOverlap="1">
            <wp:simplePos x="0" y="0"/>
            <wp:positionH relativeFrom="column">
              <wp:posOffset>76200</wp:posOffset>
            </wp:positionH>
            <wp:positionV relativeFrom="paragraph">
              <wp:posOffset>1965960</wp:posOffset>
            </wp:positionV>
            <wp:extent cx="3829050" cy="3810000"/>
            <wp:effectExtent l="0" t="0" r="0" b="0"/>
            <wp:wrapTight wrapText="bothSides">
              <wp:wrapPolygon>
                <wp:start x="0" y="0"/>
                <wp:lineTo x="0" y="21492"/>
                <wp:lineTo x="21493" y="21492"/>
                <wp:lineTo x="21493" y="0"/>
                <wp:lineTo x="0" y="0"/>
              </wp:wrapPolygon>
            </wp:wrapTight>
            <wp:docPr id="9" name="图片 9" descr="166391719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63917197623"/>
                    <pic:cNvPicPr>
                      <a:picLocks noChangeAspect="1"/>
                    </pic:cNvPicPr>
                  </pic:nvPicPr>
                  <pic:blipFill>
                    <a:blip r:embed="rId11"/>
                    <a:stretch>
                      <a:fillRect/>
                    </a:stretch>
                  </pic:blipFill>
                  <pic:spPr>
                    <a:xfrm>
                      <a:off x="0" y="0"/>
                      <a:ext cx="3829050" cy="3810000"/>
                    </a:xfrm>
                    <a:prstGeom prst="rect">
                      <a:avLst/>
                    </a:prstGeom>
                  </pic:spPr>
                </pic:pic>
              </a:graphicData>
            </a:graphic>
          </wp:anchor>
        </w:drawing>
      </w:r>
      <w:r>
        <w:rPr>
          <w:rFonts w:hint="eastAsia" w:ascii="宋体" w:hAnsi="宋体" w:eastAsia="宋体" w:cs="宋体"/>
          <w:b w:val="0"/>
          <w:bCs w:val="0"/>
          <w:color w:val="auto"/>
          <w:sz w:val="28"/>
          <w:szCs w:val="28"/>
          <w:lang w:eastAsia="zh-CN"/>
        </w:rPr>
        <w:t>本公司大气污染源主要来</w:t>
      </w:r>
      <w:r>
        <w:rPr>
          <w:rFonts w:hint="eastAsia" w:ascii="宋体" w:hAnsi="宋体" w:cs="宋体"/>
          <w:b w:val="0"/>
          <w:bCs w:val="0"/>
          <w:color w:val="auto"/>
          <w:sz w:val="28"/>
          <w:szCs w:val="28"/>
          <w:lang w:val="en-US" w:eastAsia="zh-CN"/>
        </w:rPr>
        <w:t>自</w:t>
      </w:r>
      <w:r>
        <w:rPr>
          <w:rFonts w:hint="eastAsia" w:ascii="宋体" w:hAnsi="宋体" w:eastAsia="宋体" w:cs="宋体"/>
          <w:b w:val="0"/>
          <w:bCs w:val="0"/>
          <w:color w:val="auto"/>
          <w:sz w:val="28"/>
          <w:szCs w:val="28"/>
          <w:lang w:eastAsia="zh-CN"/>
        </w:rPr>
        <w:t>污水及污泥处理过程中产生的恶臭</w:t>
      </w:r>
      <w:r>
        <w:rPr>
          <w:rFonts w:hint="eastAsia" w:ascii="宋体" w:hAnsi="宋体" w:cs="宋体"/>
          <w:b w:val="0"/>
          <w:bCs w:val="0"/>
          <w:color w:val="auto"/>
          <w:sz w:val="28"/>
          <w:szCs w:val="28"/>
          <w:lang w:eastAsia="zh-CN"/>
        </w:rPr>
        <w:t>，</w:t>
      </w:r>
      <w:r>
        <w:rPr>
          <w:rFonts w:hint="eastAsia" w:ascii="宋体" w:hAnsi="宋体" w:eastAsia="宋体" w:cs="宋体"/>
          <w:b w:val="0"/>
          <w:bCs w:val="0"/>
          <w:color w:val="auto"/>
          <w:sz w:val="28"/>
          <w:szCs w:val="28"/>
          <w:lang w:eastAsia="zh-CN"/>
        </w:rPr>
        <w:t>这个设施产生的恶臭为无组织排放，采取的主要环保措施是恶臭</w:t>
      </w:r>
      <w:r>
        <w:rPr>
          <w:rFonts w:hint="eastAsia" w:ascii="宋体"/>
          <w:color w:val="auto"/>
          <w:sz w:val="28"/>
          <w:szCs w:val="28"/>
          <w:lang w:val="en-US" w:eastAsia="zh-CN"/>
        </w:rPr>
        <w:t>气体</w:t>
      </w:r>
      <w:r>
        <w:rPr>
          <w:rFonts w:hint="eastAsia" w:ascii="宋体"/>
          <w:color w:val="auto"/>
          <w:sz w:val="28"/>
          <w:szCs w:val="28"/>
        </w:rPr>
        <w:t>由管道收集，经过</w:t>
      </w:r>
      <w:r>
        <w:rPr>
          <w:rFonts w:hint="eastAsia" w:ascii="宋体"/>
          <w:color w:val="auto"/>
          <w:sz w:val="28"/>
          <w:szCs w:val="28"/>
          <w:lang w:val="en-US" w:eastAsia="zh-CN"/>
        </w:rPr>
        <w:t>生物</w:t>
      </w:r>
      <w:r>
        <w:rPr>
          <w:rFonts w:hint="eastAsia" w:ascii="宋体"/>
          <w:color w:val="auto"/>
          <w:sz w:val="28"/>
          <w:szCs w:val="28"/>
        </w:rPr>
        <w:t>土壤滤池处理后无组织排放</w:t>
      </w:r>
      <w:r>
        <w:rPr>
          <w:rFonts w:hint="eastAsia" w:ascii="宋体"/>
          <w:color w:val="auto"/>
          <w:sz w:val="28"/>
          <w:szCs w:val="28"/>
          <w:lang w:eastAsia="zh-CN"/>
        </w:rPr>
        <w:t>。</w:t>
      </w:r>
      <w:r>
        <w:rPr>
          <w:rFonts w:hint="eastAsia" w:ascii="宋体"/>
          <w:color w:val="auto"/>
          <w:sz w:val="28"/>
          <w:szCs w:val="28"/>
          <w:lang w:val="en-US" w:eastAsia="zh-CN"/>
        </w:rPr>
        <w:t>并</w:t>
      </w:r>
      <w:r>
        <w:rPr>
          <w:rFonts w:ascii="宋体"/>
          <w:color w:val="auto"/>
          <w:sz w:val="28"/>
          <w:szCs w:val="28"/>
        </w:rPr>
        <w:t>按环评要求设置了卫生防护距离，并在厂界四周种植了绿化隔离带</w:t>
      </w:r>
      <w:r>
        <w:rPr>
          <w:rFonts w:hint="eastAsia" w:ascii="宋体"/>
          <w:color w:val="auto"/>
          <w:sz w:val="28"/>
          <w:szCs w:val="28"/>
          <w:lang w:eastAsia="zh-CN"/>
        </w:rPr>
        <w:t>，无组织废气监测期间同步监测气象因子。</w:t>
      </w:r>
    </w:p>
    <w:p>
      <w:pPr>
        <w:pStyle w:val="18"/>
        <w:keepNext w:val="0"/>
        <w:keepLines w:val="0"/>
        <w:pageBreakBefore w:val="0"/>
        <w:kinsoku/>
        <w:wordWrap/>
        <w:overflowPunct/>
        <w:topLinePunct w:val="0"/>
        <w:autoSpaceDE/>
        <w:autoSpaceDN/>
        <w:bidi w:val="0"/>
        <w:spacing w:line="240" w:lineRule="auto"/>
        <w:ind w:firstLine="560"/>
        <w:rPr>
          <w:rFonts w:hint="eastAsia" w:ascii="宋体" w:hAnsi="宋体" w:eastAsia="宋体" w:cs="宋体"/>
          <w:b w:val="0"/>
          <w:bCs w:val="0"/>
          <w:sz w:val="28"/>
          <w:szCs w:val="28"/>
          <w:lang w:eastAsia="zh-CN"/>
        </w:rPr>
      </w:pPr>
      <w:r>
        <w:rPr>
          <w:rFonts w:hint="eastAsia" w:asciiTheme="minorEastAsia" w:hAnsiTheme="minorEastAsia" w:eastAsiaTheme="minorEastAsia" w:cstheme="minorEastAsia"/>
          <w:sz w:val="24"/>
          <w:szCs w:val="24"/>
        </w:rPr>
        <w:drawing>
          <wp:anchor distT="0" distB="0" distL="114300" distR="114300" simplePos="0" relativeHeight="251659264" behindDoc="1" locked="0" layoutInCell="1" allowOverlap="1">
            <wp:simplePos x="0" y="0"/>
            <wp:positionH relativeFrom="column">
              <wp:posOffset>3409950</wp:posOffset>
            </wp:positionH>
            <wp:positionV relativeFrom="paragraph">
              <wp:posOffset>32385</wp:posOffset>
            </wp:positionV>
            <wp:extent cx="2334895" cy="1516380"/>
            <wp:effectExtent l="0" t="0" r="8255" b="7620"/>
            <wp:wrapTight wrapText="bothSides">
              <wp:wrapPolygon>
                <wp:start x="0" y="0"/>
                <wp:lineTo x="0" y="21437"/>
                <wp:lineTo x="21500" y="21437"/>
                <wp:lineTo x="21500" y="0"/>
                <wp:lineTo x="0" y="0"/>
              </wp:wrapPolygon>
            </wp:wrapTight>
            <wp:docPr id="6" name="图片 2" descr="b5a53d5dabb64a08dd18f3a5d6ea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b5a53d5dabb64a08dd18f3a5d6ea155"/>
                    <pic:cNvPicPr>
                      <a:picLocks noChangeAspect="1"/>
                    </pic:cNvPicPr>
                  </pic:nvPicPr>
                  <pic:blipFill>
                    <a:blip r:embed="rId12" cstate="print"/>
                    <a:stretch>
                      <a:fillRect/>
                    </a:stretch>
                  </pic:blipFill>
                  <pic:spPr>
                    <a:xfrm>
                      <a:off x="0" y="0"/>
                      <a:ext cx="2334895" cy="1516380"/>
                    </a:xfrm>
                    <a:prstGeom prst="rect">
                      <a:avLst/>
                    </a:prstGeom>
                  </pic:spPr>
                </pic:pic>
              </a:graphicData>
            </a:graphic>
          </wp:anchor>
        </w:drawing>
      </w:r>
    </w:p>
    <w:p>
      <w:pPr>
        <w:pStyle w:val="18"/>
        <w:keepNext w:val="0"/>
        <w:keepLines w:val="0"/>
        <w:pageBreakBefore w:val="0"/>
        <w:kinsoku/>
        <w:wordWrap/>
        <w:overflowPunct/>
        <w:topLinePunct w:val="0"/>
        <w:autoSpaceDE/>
        <w:autoSpaceDN/>
        <w:bidi w:val="0"/>
        <w:spacing w:line="240" w:lineRule="auto"/>
        <w:ind w:firstLine="560"/>
        <w:rPr>
          <w:rFonts w:hint="eastAsia" w:ascii="宋体" w:hAnsi="宋体" w:eastAsia="宋体" w:cs="宋体"/>
          <w:b w:val="0"/>
          <w:bCs w:val="0"/>
          <w:sz w:val="28"/>
          <w:szCs w:val="28"/>
          <w:lang w:eastAsia="zh-CN"/>
        </w:rPr>
      </w:pPr>
    </w:p>
    <w:p>
      <w:pPr>
        <w:pStyle w:val="18"/>
        <w:spacing w:line="240" w:lineRule="atLeast"/>
        <w:ind w:firstLine="0" w:firstLineChars="0"/>
        <w:rPr>
          <w:rFonts w:ascii="宋体" w:hAnsi="宋体"/>
          <w:sz w:val="18"/>
          <w:szCs w:val="18"/>
          <w:lang w:eastAsia="zh-CN"/>
        </w:rPr>
      </w:pPr>
      <w:r>
        <w:rPr>
          <w:rFonts w:hint="eastAsia" w:ascii="宋体" w:hAnsi="宋体"/>
          <w:sz w:val="18"/>
          <w:szCs w:val="18"/>
          <w:lang w:eastAsia="zh-CN"/>
        </w:rPr>
        <w:t>注：</w:t>
      </w:r>
      <w:r>
        <w:rPr>
          <w:rFonts w:hint="eastAsia" w:ascii="宋体" w:hAnsi="宋体"/>
          <w:sz w:val="18"/>
          <w:szCs w:val="18"/>
          <w:lang w:eastAsia="zh-CN"/>
        </w:rPr>
        <w:drawing>
          <wp:inline distT="0" distB="0" distL="0" distR="0">
            <wp:extent cx="167640" cy="167640"/>
            <wp:effectExtent l="0" t="0" r="381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67640" cy="167640"/>
                    </a:xfrm>
                    <a:prstGeom prst="rect">
                      <a:avLst/>
                    </a:prstGeom>
                    <a:noFill/>
                    <a:ln>
                      <a:noFill/>
                    </a:ln>
                  </pic:spPr>
                </pic:pic>
              </a:graphicData>
            </a:graphic>
          </wp:inline>
        </w:drawing>
      </w:r>
      <w:r>
        <w:rPr>
          <w:rFonts w:hint="eastAsia" w:ascii="宋体" w:hAnsi="宋体"/>
          <w:sz w:val="18"/>
          <w:szCs w:val="18"/>
          <w:lang w:eastAsia="zh-CN"/>
        </w:rPr>
        <w:t>为监测点</w:t>
      </w:r>
    </w:p>
    <w:p>
      <w:pPr>
        <w:pStyle w:val="18"/>
        <w:keepNext w:val="0"/>
        <w:keepLines w:val="0"/>
        <w:pageBreakBefore w:val="0"/>
        <w:kinsoku/>
        <w:wordWrap/>
        <w:overflowPunct/>
        <w:topLinePunct w:val="0"/>
        <w:autoSpaceDE/>
        <w:autoSpaceDN/>
        <w:bidi w:val="0"/>
        <w:spacing w:line="240" w:lineRule="auto"/>
        <w:ind w:firstLine="560"/>
        <w:rPr>
          <w:rFonts w:hint="default" w:ascii="宋体" w:hAnsi="宋体" w:eastAsia="宋体" w:cs="宋体"/>
          <w:b w:val="0"/>
          <w:bCs w:val="0"/>
          <w:sz w:val="28"/>
          <w:szCs w:val="28"/>
          <w:lang w:val="en-US" w:eastAsia="zh-CN"/>
        </w:rPr>
      </w:pPr>
      <w:r>
        <w:rPr>
          <w:rFonts w:hint="eastAsia" w:ascii="宋体" w:hAnsi="宋体"/>
          <w:color w:val="auto"/>
          <w:sz w:val="18"/>
          <w:szCs w:val="18"/>
          <w:lang w:eastAsia="zh-CN"/>
        </w:rPr>
        <w:t>根据监测期间的风向确定点位布设，上风向设1个</w:t>
      </w:r>
      <w:r>
        <w:rPr>
          <w:rFonts w:hint="eastAsia" w:ascii="宋体" w:hAnsi="宋体"/>
          <w:color w:val="auto"/>
          <w:sz w:val="18"/>
          <w:szCs w:val="18"/>
          <w:lang w:val="en-US" w:eastAsia="zh-CN"/>
        </w:rPr>
        <w:t>,下风向3个点</w:t>
      </w:r>
    </w:p>
    <w:p>
      <w:pPr>
        <w:pStyle w:val="18"/>
        <w:keepNext w:val="0"/>
        <w:keepLines w:val="0"/>
        <w:pageBreakBefore w:val="0"/>
        <w:kinsoku/>
        <w:wordWrap/>
        <w:overflowPunct/>
        <w:topLinePunct w:val="0"/>
        <w:autoSpaceDE/>
        <w:autoSpaceDN/>
        <w:bidi w:val="0"/>
        <w:spacing w:line="240" w:lineRule="auto"/>
        <w:ind w:firstLine="560"/>
        <w:rPr>
          <w:rFonts w:hint="eastAsia" w:ascii="宋体" w:hAnsi="宋体" w:eastAsia="宋体" w:cs="宋体"/>
          <w:b w:val="0"/>
          <w:bCs w:val="0"/>
          <w:sz w:val="28"/>
          <w:szCs w:val="28"/>
          <w:lang w:eastAsia="zh-CN"/>
        </w:rPr>
      </w:pPr>
    </w:p>
    <w:p>
      <w:pPr>
        <w:pStyle w:val="18"/>
        <w:keepNext w:val="0"/>
        <w:keepLines w:val="0"/>
        <w:pageBreakBefore w:val="0"/>
        <w:kinsoku/>
        <w:wordWrap/>
        <w:overflowPunct/>
        <w:topLinePunct w:val="0"/>
        <w:autoSpaceDE/>
        <w:autoSpaceDN/>
        <w:bidi w:val="0"/>
        <w:spacing w:line="240" w:lineRule="auto"/>
        <w:ind w:firstLine="560"/>
        <w:rPr>
          <w:rFonts w:hint="eastAsia" w:ascii="宋体" w:hAnsi="宋体" w:eastAsia="宋体" w:cs="宋体"/>
          <w:b w:val="0"/>
          <w:bCs w:val="0"/>
          <w:sz w:val="28"/>
          <w:szCs w:val="28"/>
          <w:lang w:eastAsia="zh-CN"/>
        </w:rPr>
      </w:pPr>
    </w:p>
    <w:p>
      <w:pPr>
        <w:pStyle w:val="18"/>
        <w:keepNext w:val="0"/>
        <w:keepLines w:val="0"/>
        <w:pageBreakBefore w:val="0"/>
        <w:kinsoku/>
        <w:wordWrap/>
        <w:overflowPunct/>
        <w:topLinePunct w:val="0"/>
        <w:autoSpaceDE/>
        <w:autoSpaceDN/>
        <w:bidi w:val="0"/>
        <w:spacing w:line="240" w:lineRule="auto"/>
        <w:ind w:firstLine="560"/>
        <w:rPr>
          <w:rFonts w:hint="eastAsia" w:ascii="宋体" w:hAnsi="宋体" w:eastAsia="宋体" w:cs="宋体"/>
          <w:b w:val="0"/>
          <w:bCs w:val="0"/>
          <w:sz w:val="28"/>
          <w:szCs w:val="28"/>
          <w:lang w:eastAsia="zh-CN"/>
        </w:rPr>
      </w:pPr>
    </w:p>
    <w:p>
      <w:pPr>
        <w:pStyle w:val="18"/>
        <w:keepNext w:val="0"/>
        <w:keepLines w:val="0"/>
        <w:pageBreakBefore w:val="0"/>
        <w:kinsoku/>
        <w:wordWrap/>
        <w:overflowPunct/>
        <w:topLinePunct w:val="0"/>
        <w:autoSpaceDE/>
        <w:autoSpaceDN/>
        <w:bidi w:val="0"/>
        <w:spacing w:line="240" w:lineRule="auto"/>
        <w:ind w:firstLine="560"/>
        <w:rPr>
          <w:rFonts w:hint="eastAsia" w:ascii="宋体" w:hAnsi="宋体" w:eastAsia="宋体" w:cs="宋体"/>
          <w:b w:val="0"/>
          <w:bCs w:val="0"/>
          <w:sz w:val="28"/>
          <w:szCs w:val="28"/>
          <w:lang w:eastAsia="zh-CN"/>
        </w:rPr>
      </w:pPr>
    </w:p>
    <w:p>
      <w:pPr>
        <w:pStyle w:val="18"/>
        <w:keepNext w:val="0"/>
        <w:keepLines w:val="0"/>
        <w:pageBreakBefore w:val="0"/>
        <w:kinsoku/>
        <w:wordWrap/>
        <w:overflowPunct/>
        <w:topLinePunct w:val="0"/>
        <w:autoSpaceDE/>
        <w:autoSpaceDN/>
        <w:bidi w:val="0"/>
        <w:spacing w:line="240" w:lineRule="auto"/>
        <w:ind w:firstLine="560"/>
        <w:rPr>
          <w:rFonts w:hint="eastAsia" w:ascii="宋体" w:hAnsi="宋体" w:eastAsia="宋体" w:cs="宋体"/>
          <w:b w:val="0"/>
          <w:bCs w:val="0"/>
          <w:sz w:val="28"/>
          <w:szCs w:val="28"/>
          <w:lang w:eastAsia="zh-CN"/>
        </w:rPr>
      </w:pPr>
    </w:p>
    <w:p>
      <w:pPr>
        <w:pStyle w:val="18"/>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eastAsia="宋体" w:cs="宋体"/>
          <w:b w:val="0"/>
          <w:bCs w:val="0"/>
          <w:sz w:val="28"/>
          <w:szCs w:val="28"/>
          <w:lang w:eastAsia="zh-CN"/>
        </w:rPr>
      </w:pPr>
    </w:p>
    <w:p>
      <w:pPr>
        <w:pStyle w:val="18"/>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eastAsia="宋体" w:cs="宋体"/>
          <w:b w:val="0"/>
          <w:bCs w:val="0"/>
          <w:sz w:val="28"/>
          <w:szCs w:val="28"/>
          <w:lang w:eastAsia="zh-CN"/>
        </w:rPr>
      </w:pPr>
    </w:p>
    <w:p>
      <w:pPr>
        <w:pStyle w:val="18"/>
        <w:keepNext w:val="0"/>
        <w:keepLines w:val="0"/>
        <w:pageBreakBefore w:val="0"/>
        <w:kinsoku/>
        <w:wordWrap/>
        <w:overflowPunct/>
        <w:topLinePunct w:val="0"/>
        <w:autoSpaceDE/>
        <w:autoSpaceDN/>
        <w:bidi w:val="0"/>
        <w:spacing w:line="240" w:lineRule="auto"/>
        <w:ind w:left="0" w:leftChars="0" w:firstLine="0" w:firstLineChars="0"/>
        <w:rPr>
          <w:rFonts w:hint="eastAsia" w:ascii="宋体" w:hAnsi="宋体" w:eastAsia="宋体" w:cs="宋体"/>
          <w:b w:val="0"/>
          <w:bCs w:val="0"/>
          <w:sz w:val="28"/>
          <w:szCs w:val="28"/>
          <w:lang w:eastAsia="zh-CN"/>
        </w:rPr>
      </w:pPr>
    </w:p>
    <w:p>
      <w:pPr>
        <w:pStyle w:val="18"/>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bCs/>
          <w:sz w:val="28"/>
          <w:szCs w:val="28"/>
          <w:lang w:eastAsia="zh-CN"/>
        </w:rPr>
      </w:pPr>
      <w:r>
        <w:rPr>
          <w:rFonts w:hint="eastAsia" w:ascii="宋体" w:hAnsi="宋体" w:cs="宋体"/>
          <w:b/>
          <w:bCs/>
          <w:sz w:val="28"/>
          <w:szCs w:val="28"/>
          <w:lang w:val="en-US" w:eastAsia="zh-CN"/>
        </w:rPr>
        <w:t>三</w:t>
      </w:r>
      <w:r>
        <w:rPr>
          <w:rFonts w:hint="eastAsia" w:ascii="宋体" w:hAnsi="宋体" w:eastAsia="宋体" w:cs="宋体"/>
          <w:b/>
          <w:bCs/>
          <w:sz w:val="28"/>
          <w:szCs w:val="28"/>
          <w:lang w:eastAsia="zh-CN"/>
        </w:rPr>
        <w:t>、监测指标及相关信息</w:t>
      </w:r>
    </w:p>
    <w:p>
      <w:pPr>
        <w:pStyle w:val="18"/>
        <w:keepNext w:val="0"/>
        <w:keepLines w:val="0"/>
        <w:pageBreakBefore w:val="0"/>
        <w:kinsoku/>
        <w:wordWrap/>
        <w:overflowPunct/>
        <w:topLinePunct w:val="0"/>
        <w:autoSpaceDE/>
        <w:autoSpaceDN/>
        <w:bidi w:val="0"/>
        <w:spacing w:line="240" w:lineRule="auto"/>
        <w:ind w:firstLine="560"/>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本公司自行监测的具体监测点位、监测指标、监测频次和监测方法见下表。</w:t>
      </w:r>
    </w:p>
    <w:tbl>
      <w:tblPr>
        <w:tblStyle w:val="8"/>
        <w:tblW w:w="89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5"/>
        <w:gridCol w:w="705"/>
        <w:gridCol w:w="1260"/>
        <w:gridCol w:w="1309"/>
        <w:gridCol w:w="2792"/>
        <w:gridCol w:w="19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30" w:type="dxa"/>
            <w:gridSpan w:val="3"/>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rPr>
            </w:pPr>
            <w:r>
              <w:rPr>
                <w:rFonts w:hint="eastAsia" w:ascii="宋体" w:hAnsi="宋体" w:eastAsia="宋体" w:cs="宋体"/>
                <w:sz w:val="28"/>
                <w:szCs w:val="28"/>
              </w:rPr>
              <w:t>污染源类型</w:t>
            </w:r>
          </w:p>
        </w:tc>
        <w:tc>
          <w:tcPr>
            <w:tcW w:w="1309" w:type="dxa"/>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rPr>
            </w:pPr>
            <w:r>
              <w:rPr>
                <w:rFonts w:hint="eastAsia" w:ascii="宋体" w:hAnsi="宋体" w:eastAsia="宋体" w:cs="宋体"/>
                <w:sz w:val="28"/>
                <w:szCs w:val="28"/>
              </w:rPr>
              <w:t>序号</w:t>
            </w:r>
          </w:p>
        </w:tc>
        <w:tc>
          <w:tcPr>
            <w:tcW w:w="2792" w:type="dxa"/>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rPr>
            </w:pPr>
            <w:r>
              <w:rPr>
                <w:rFonts w:hint="eastAsia" w:ascii="宋体" w:hAnsi="宋体" w:eastAsia="宋体" w:cs="宋体"/>
                <w:sz w:val="28"/>
                <w:szCs w:val="28"/>
              </w:rPr>
              <w:t>监测点位名称</w:t>
            </w:r>
          </w:p>
        </w:tc>
        <w:tc>
          <w:tcPr>
            <w:tcW w:w="1995" w:type="dxa"/>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rPr>
            </w:pPr>
            <w:r>
              <w:rPr>
                <w:rFonts w:hint="eastAsia" w:ascii="宋体" w:hAnsi="宋体" w:eastAsia="宋体" w:cs="宋体"/>
                <w:sz w:val="28"/>
                <w:szCs w:val="28"/>
              </w:rPr>
              <w:t>排口编号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30" w:type="dxa"/>
            <w:gridSpan w:val="3"/>
            <w:vMerge w:val="restart"/>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rPr>
            </w:pPr>
            <w:r>
              <w:rPr>
                <w:rFonts w:hint="eastAsia" w:ascii="宋体" w:hAnsi="宋体" w:eastAsia="宋体" w:cs="宋体"/>
                <w:sz w:val="28"/>
                <w:szCs w:val="28"/>
              </w:rPr>
              <w:t>废水</w:t>
            </w:r>
          </w:p>
        </w:tc>
        <w:tc>
          <w:tcPr>
            <w:tcW w:w="1309" w:type="dxa"/>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color w:val="FF0000"/>
                <w:sz w:val="28"/>
                <w:szCs w:val="28"/>
                <w:lang w:val="en-US" w:eastAsia="zh-CN"/>
              </w:rPr>
            </w:pPr>
            <w:r>
              <w:rPr>
                <w:rFonts w:hint="eastAsia" w:ascii="宋体" w:hAnsi="宋体" w:eastAsia="宋体" w:cs="宋体"/>
                <w:color w:val="auto"/>
                <w:sz w:val="28"/>
                <w:szCs w:val="28"/>
                <w:lang w:val="en-US" w:eastAsia="zh-CN"/>
              </w:rPr>
              <w:t>1</w:t>
            </w:r>
          </w:p>
        </w:tc>
        <w:tc>
          <w:tcPr>
            <w:tcW w:w="2792" w:type="dxa"/>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进水口</w:t>
            </w:r>
          </w:p>
        </w:tc>
        <w:tc>
          <w:tcPr>
            <w:tcW w:w="1995" w:type="dxa"/>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lang w:val="en-US" w:eastAsia="zh-CN"/>
              </w:rPr>
            </w:pPr>
            <w:r>
              <w:rPr>
                <w:rFonts w:hint="default" w:ascii="Arial" w:hAnsi="Arial" w:eastAsia="宋体" w:cs="Arial"/>
                <w:i w:val="0"/>
                <w:iCs w:val="0"/>
                <w:caps w:val="0"/>
                <w:color w:val="auto"/>
                <w:spacing w:val="0"/>
                <w:sz w:val="21"/>
                <w:szCs w:val="21"/>
                <w:shd w:val="clear" w:fill="FFFFFF"/>
              </w:rPr>
              <w:t>MW001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2830" w:type="dxa"/>
            <w:gridSpan w:val="3"/>
            <w:vMerge w:val="continue"/>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rPr>
            </w:pPr>
          </w:p>
        </w:tc>
        <w:tc>
          <w:tcPr>
            <w:tcW w:w="1309" w:type="dxa"/>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p>
        </w:tc>
        <w:tc>
          <w:tcPr>
            <w:tcW w:w="2792" w:type="dxa"/>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rPr>
            </w:pPr>
            <w:r>
              <w:rPr>
                <w:rFonts w:hint="eastAsia" w:ascii="宋体" w:hAnsi="宋体" w:eastAsia="宋体" w:cs="宋体"/>
                <w:sz w:val="28"/>
                <w:szCs w:val="28"/>
              </w:rPr>
              <w:t>出水总排放口</w:t>
            </w:r>
          </w:p>
        </w:tc>
        <w:tc>
          <w:tcPr>
            <w:tcW w:w="1995" w:type="dxa"/>
            <w:vAlign w:val="center"/>
          </w:tcPr>
          <w:p>
            <w:pPr>
              <w:pStyle w:val="33"/>
              <w:keepNext w:val="0"/>
              <w:keepLines w:val="0"/>
              <w:suppressLineNumbers w:val="0"/>
              <w:snapToGrid w:val="0"/>
              <w:spacing w:before="0" w:beforeAutospacing="0" w:after="0" w:afterAutospacing="0"/>
              <w:ind w:left="0" w:right="0"/>
              <w:contextualSpacing/>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DW001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30" w:type="dxa"/>
            <w:gridSpan w:val="3"/>
            <w:vMerge w:val="continue"/>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rPr>
            </w:pPr>
          </w:p>
        </w:tc>
        <w:tc>
          <w:tcPr>
            <w:tcW w:w="1309" w:type="dxa"/>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w:t>
            </w:r>
          </w:p>
        </w:tc>
        <w:tc>
          <w:tcPr>
            <w:tcW w:w="2792" w:type="dxa"/>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雨水排放口</w:t>
            </w:r>
          </w:p>
        </w:tc>
        <w:tc>
          <w:tcPr>
            <w:tcW w:w="1995" w:type="dxa"/>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DW002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6" w:hRule="atLeast"/>
          <w:jc w:val="center"/>
        </w:trPr>
        <w:tc>
          <w:tcPr>
            <w:tcW w:w="1570" w:type="dxa"/>
            <w:gridSpan w:val="2"/>
            <w:vMerge w:val="restart"/>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rPr>
            </w:pPr>
            <w:r>
              <w:rPr>
                <w:rFonts w:hint="eastAsia" w:ascii="宋体" w:hAnsi="宋体" w:eastAsia="宋体" w:cs="宋体"/>
                <w:sz w:val="28"/>
                <w:szCs w:val="28"/>
              </w:rPr>
              <w:t>废气</w:t>
            </w:r>
          </w:p>
        </w:tc>
        <w:tc>
          <w:tcPr>
            <w:tcW w:w="1260" w:type="dxa"/>
            <w:vMerge w:val="restart"/>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rPr>
            </w:pPr>
            <w:r>
              <w:rPr>
                <w:rFonts w:hint="eastAsia" w:ascii="宋体" w:hAnsi="宋体" w:eastAsia="宋体" w:cs="宋体"/>
                <w:sz w:val="28"/>
                <w:szCs w:val="28"/>
              </w:rPr>
              <w:t>无组织</w:t>
            </w:r>
          </w:p>
        </w:tc>
        <w:tc>
          <w:tcPr>
            <w:tcW w:w="1309" w:type="dxa"/>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w:t>
            </w:r>
          </w:p>
        </w:tc>
        <w:tc>
          <w:tcPr>
            <w:tcW w:w="2792" w:type="dxa"/>
            <w:vAlign w:val="center"/>
          </w:tcPr>
          <w:p>
            <w:pPr>
              <w:pStyle w:val="33"/>
              <w:keepNext w:val="0"/>
              <w:keepLines w:val="0"/>
              <w:suppressLineNumbers w:val="0"/>
              <w:snapToGrid w:val="0"/>
              <w:spacing w:before="0" w:beforeAutospacing="0" w:after="0" w:afterAutospacing="0"/>
              <w:ind w:left="0" w:right="0"/>
              <w:contextualSpacing/>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上风向1</w:t>
            </w:r>
          </w:p>
        </w:tc>
        <w:tc>
          <w:tcPr>
            <w:tcW w:w="1995" w:type="dxa"/>
            <w:vAlign w:val="center"/>
          </w:tcPr>
          <w:p>
            <w:pPr>
              <w:pStyle w:val="33"/>
              <w:keepNext w:val="0"/>
              <w:keepLines w:val="0"/>
              <w:suppressLineNumbers w:val="0"/>
              <w:snapToGrid w:val="0"/>
              <w:spacing w:before="0" w:beforeAutospacing="0" w:after="0" w:afterAutospacing="0"/>
              <w:ind w:left="0" w:right="0"/>
              <w:contextualSpacing/>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SF001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1570" w:type="dxa"/>
            <w:gridSpan w:val="2"/>
            <w:vMerge w:val="continue"/>
            <w:vAlign w:val="center"/>
          </w:tcPr>
          <w:p>
            <w:pPr>
              <w:pStyle w:val="33"/>
              <w:keepNext w:val="0"/>
              <w:keepLines w:val="0"/>
              <w:suppressLineNumbers w:val="0"/>
              <w:snapToGrid w:val="0"/>
              <w:spacing w:before="0" w:beforeAutospacing="0" w:after="0" w:afterAutospacing="0"/>
              <w:ind w:left="0" w:right="0"/>
              <w:contextualSpacing/>
              <w:jc w:val="center"/>
              <w:rPr>
                <w:rFonts w:hint="default"/>
              </w:rPr>
            </w:pPr>
          </w:p>
        </w:tc>
        <w:tc>
          <w:tcPr>
            <w:tcW w:w="1260" w:type="dxa"/>
            <w:vMerge w:val="continue"/>
            <w:vAlign w:val="center"/>
          </w:tcPr>
          <w:p>
            <w:pPr>
              <w:pStyle w:val="33"/>
              <w:keepNext w:val="0"/>
              <w:keepLines w:val="0"/>
              <w:suppressLineNumbers w:val="0"/>
              <w:snapToGrid w:val="0"/>
              <w:spacing w:before="0" w:beforeAutospacing="0" w:after="0" w:afterAutospacing="0"/>
              <w:ind w:left="0" w:right="0"/>
              <w:contextualSpacing/>
              <w:jc w:val="center"/>
              <w:rPr>
                <w:rFonts w:hint="default"/>
              </w:rPr>
            </w:pPr>
          </w:p>
        </w:tc>
        <w:tc>
          <w:tcPr>
            <w:tcW w:w="1309" w:type="dxa"/>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w:t>
            </w:r>
          </w:p>
        </w:tc>
        <w:tc>
          <w:tcPr>
            <w:tcW w:w="2792" w:type="dxa"/>
            <w:vAlign w:val="center"/>
          </w:tcPr>
          <w:p>
            <w:pPr>
              <w:pStyle w:val="33"/>
              <w:keepNext w:val="0"/>
              <w:keepLines w:val="0"/>
              <w:suppressLineNumbers w:val="0"/>
              <w:snapToGrid w:val="0"/>
              <w:spacing w:before="0" w:beforeAutospacing="0" w:after="0" w:afterAutospacing="0"/>
              <w:ind w:left="0" w:right="0"/>
              <w:contextualSpacing/>
              <w:jc w:val="center"/>
              <w:rPr>
                <w:rFonts w:hint="default" w:ascii="宋体" w:hAnsi="宋体" w:eastAsia="宋体" w:cs="宋体"/>
                <w:sz w:val="28"/>
                <w:szCs w:val="28"/>
                <w:lang w:val="en-US" w:eastAsia="zh-CN"/>
              </w:rPr>
            </w:pPr>
            <w:r>
              <w:rPr>
                <w:rFonts w:hint="eastAsia" w:ascii="宋体" w:hAnsi="宋体" w:eastAsia="宋体" w:cs="宋体"/>
                <w:sz w:val="28"/>
                <w:szCs w:val="28"/>
                <w:lang w:eastAsia="zh-CN"/>
              </w:rPr>
              <w:t>下风向</w:t>
            </w:r>
            <w:r>
              <w:rPr>
                <w:rFonts w:hint="eastAsia" w:ascii="宋体" w:hAnsi="宋体" w:eastAsia="宋体" w:cs="宋体"/>
                <w:sz w:val="28"/>
                <w:szCs w:val="28"/>
                <w:lang w:val="en-US" w:eastAsia="zh-CN"/>
              </w:rPr>
              <w:t>2</w:t>
            </w:r>
          </w:p>
        </w:tc>
        <w:tc>
          <w:tcPr>
            <w:tcW w:w="1995" w:type="dxa"/>
            <w:vAlign w:val="center"/>
          </w:tcPr>
          <w:p>
            <w:pPr>
              <w:pStyle w:val="33"/>
              <w:keepNext w:val="0"/>
              <w:keepLines w:val="0"/>
              <w:suppressLineNumbers w:val="0"/>
              <w:snapToGrid w:val="0"/>
              <w:spacing w:before="0" w:beforeAutospacing="0" w:after="0" w:afterAutospacing="0"/>
              <w:ind w:left="0" w:right="0"/>
              <w:contextualSpacing/>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XF002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2" w:hRule="atLeast"/>
          <w:jc w:val="center"/>
        </w:trPr>
        <w:tc>
          <w:tcPr>
            <w:tcW w:w="1570" w:type="dxa"/>
            <w:gridSpan w:val="2"/>
            <w:vMerge w:val="continue"/>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rPr>
            </w:pPr>
          </w:p>
        </w:tc>
        <w:tc>
          <w:tcPr>
            <w:tcW w:w="1260" w:type="dxa"/>
            <w:vMerge w:val="continue"/>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rPr>
            </w:pPr>
          </w:p>
        </w:tc>
        <w:tc>
          <w:tcPr>
            <w:tcW w:w="1309" w:type="dxa"/>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w:t>
            </w:r>
          </w:p>
        </w:tc>
        <w:tc>
          <w:tcPr>
            <w:tcW w:w="2792" w:type="dxa"/>
            <w:vAlign w:val="center"/>
          </w:tcPr>
          <w:p>
            <w:pPr>
              <w:pStyle w:val="33"/>
              <w:keepNext w:val="0"/>
              <w:keepLines w:val="0"/>
              <w:suppressLineNumbers w:val="0"/>
              <w:snapToGrid w:val="0"/>
              <w:spacing w:before="0" w:beforeAutospacing="0" w:after="0" w:afterAutospacing="0"/>
              <w:ind w:left="0" w:right="0"/>
              <w:contextualSpacing/>
              <w:jc w:val="center"/>
              <w:rPr>
                <w:rFonts w:hint="default" w:ascii="宋体" w:hAnsi="宋体" w:eastAsia="宋体" w:cs="宋体"/>
                <w:sz w:val="28"/>
                <w:szCs w:val="28"/>
                <w:lang w:val="en-US" w:eastAsia="zh-CN"/>
              </w:rPr>
            </w:pPr>
            <w:r>
              <w:rPr>
                <w:rFonts w:hint="eastAsia" w:ascii="宋体" w:hAnsi="宋体" w:eastAsia="宋体" w:cs="宋体"/>
                <w:sz w:val="28"/>
                <w:szCs w:val="28"/>
                <w:lang w:eastAsia="zh-CN"/>
              </w:rPr>
              <w:t>下风向</w:t>
            </w:r>
            <w:r>
              <w:rPr>
                <w:rFonts w:hint="eastAsia" w:ascii="宋体" w:hAnsi="宋体" w:eastAsia="宋体" w:cs="宋体"/>
                <w:sz w:val="28"/>
                <w:szCs w:val="28"/>
                <w:lang w:val="en-US" w:eastAsia="zh-CN"/>
              </w:rPr>
              <w:t>3</w:t>
            </w:r>
          </w:p>
        </w:tc>
        <w:tc>
          <w:tcPr>
            <w:tcW w:w="1995" w:type="dxa"/>
            <w:vAlign w:val="center"/>
          </w:tcPr>
          <w:p>
            <w:pPr>
              <w:pStyle w:val="33"/>
              <w:keepNext w:val="0"/>
              <w:keepLines w:val="0"/>
              <w:suppressLineNumbers w:val="0"/>
              <w:snapToGrid w:val="0"/>
              <w:spacing w:before="0" w:beforeAutospacing="0" w:after="0" w:afterAutospacing="0"/>
              <w:ind w:left="0" w:right="0"/>
              <w:contextualSpacing/>
              <w:jc w:val="center"/>
              <w:rPr>
                <w:rFonts w:hint="default" w:ascii="宋体" w:hAnsi="宋体" w:eastAsia="宋体" w:cs="宋体"/>
                <w:sz w:val="28"/>
                <w:szCs w:val="28"/>
                <w:lang w:val="en-US"/>
              </w:rPr>
            </w:pPr>
            <w:r>
              <w:rPr>
                <w:rFonts w:hint="eastAsia" w:ascii="宋体" w:hAnsi="宋体" w:eastAsia="宋体" w:cs="宋体"/>
                <w:sz w:val="28"/>
                <w:szCs w:val="28"/>
                <w:lang w:val="en-US" w:eastAsia="zh-CN"/>
              </w:rPr>
              <w:t>XF003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8" w:hRule="atLeast"/>
          <w:jc w:val="center"/>
        </w:trPr>
        <w:tc>
          <w:tcPr>
            <w:tcW w:w="1570" w:type="dxa"/>
            <w:gridSpan w:val="2"/>
            <w:vMerge w:val="continue"/>
            <w:vAlign w:val="center"/>
          </w:tcPr>
          <w:p>
            <w:pPr>
              <w:pStyle w:val="33"/>
              <w:keepNext w:val="0"/>
              <w:keepLines w:val="0"/>
              <w:suppressLineNumbers w:val="0"/>
              <w:snapToGrid w:val="0"/>
              <w:spacing w:before="0" w:beforeAutospacing="0" w:after="0" w:afterAutospacing="0"/>
              <w:ind w:left="0" w:right="0"/>
              <w:contextualSpacing/>
              <w:jc w:val="center"/>
              <w:rPr>
                <w:rFonts w:hint="default"/>
              </w:rPr>
            </w:pPr>
          </w:p>
        </w:tc>
        <w:tc>
          <w:tcPr>
            <w:tcW w:w="1260" w:type="dxa"/>
            <w:vMerge w:val="continue"/>
            <w:vAlign w:val="center"/>
          </w:tcPr>
          <w:p>
            <w:pPr>
              <w:pStyle w:val="33"/>
              <w:keepNext w:val="0"/>
              <w:keepLines w:val="0"/>
              <w:suppressLineNumbers w:val="0"/>
              <w:snapToGrid w:val="0"/>
              <w:spacing w:before="0" w:beforeAutospacing="0" w:after="0" w:afterAutospacing="0"/>
              <w:ind w:left="0" w:right="0"/>
              <w:contextualSpacing/>
              <w:jc w:val="center"/>
              <w:rPr>
                <w:rFonts w:hint="default"/>
              </w:rPr>
            </w:pPr>
          </w:p>
        </w:tc>
        <w:tc>
          <w:tcPr>
            <w:tcW w:w="1309" w:type="dxa"/>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w:t>
            </w:r>
          </w:p>
        </w:tc>
        <w:tc>
          <w:tcPr>
            <w:tcW w:w="2792" w:type="dxa"/>
            <w:vAlign w:val="center"/>
          </w:tcPr>
          <w:p>
            <w:pPr>
              <w:pStyle w:val="33"/>
              <w:keepNext w:val="0"/>
              <w:keepLines w:val="0"/>
              <w:suppressLineNumbers w:val="0"/>
              <w:snapToGrid w:val="0"/>
              <w:spacing w:before="0" w:beforeAutospacing="0" w:after="0" w:afterAutospacing="0"/>
              <w:ind w:left="0" w:right="0"/>
              <w:contextualSpacing/>
              <w:jc w:val="center"/>
              <w:rPr>
                <w:rFonts w:hint="default" w:ascii="宋体" w:hAnsi="宋体" w:eastAsia="宋体" w:cs="宋体"/>
                <w:sz w:val="28"/>
                <w:szCs w:val="28"/>
                <w:lang w:val="en-US" w:eastAsia="zh-CN"/>
              </w:rPr>
            </w:pPr>
            <w:r>
              <w:rPr>
                <w:rFonts w:hint="eastAsia" w:ascii="宋体" w:hAnsi="宋体" w:eastAsia="宋体" w:cs="宋体"/>
                <w:sz w:val="28"/>
                <w:szCs w:val="28"/>
                <w:lang w:eastAsia="zh-CN"/>
              </w:rPr>
              <w:t>下风向</w:t>
            </w:r>
            <w:r>
              <w:rPr>
                <w:rFonts w:hint="eastAsia" w:ascii="宋体" w:hAnsi="宋体" w:eastAsia="宋体" w:cs="宋体"/>
                <w:sz w:val="28"/>
                <w:szCs w:val="28"/>
                <w:lang w:val="en-US" w:eastAsia="zh-CN"/>
              </w:rPr>
              <w:t>4</w:t>
            </w:r>
          </w:p>
        </w:tc>
        <w:tc>
          <w:tcPr>
            <w:tcW w:w="1995" w:type="dxa"/>
            <w:vAlign w:val="center"/>
          </w:tcPr>
          <w:p>
            <w:pPr>
              <w:pStyle w:val="33"/>
              <w:keepNext w:val="0"/>
              <w:keepLines w:val="0"/>
              <w:suppressLineNumbers w:val="0"/>
              <w:snapToGrid w:val="0"/>
              <w:spacing w:before="0" w:beforeAutospacing="0" w:after="0" w:afterAutospacing="0"/>
              <w:ind w:left="0" w:right="0"/>
              <w:contextualSpacing/>
              <w:jc w:val="center"/>
              <w:rPr>
                <w:rFonts w:hint="default" w:ascii="宋体" w:hAnsi="宋体" w:eastAsia="宋体" w:cs="宋体"/>
                <w:sz w:val="28"/>
                <w:szCs w:val="28"/>
                <w:lang w:val="en-US"/>
              </w:rPr>
            </w:pPr>
            <w:r>
              <w:rPr>
                <w:rFonts w:hint="eastAsia" w:ascii="宋体" w:hAnsi="宋体" w:eastAsia="宋体" w:cs="宋体"/>
                <w:sz w:val="28"/>
                <w:szCs w:val="28"/>
                <w:lang w:val="en-US" w:eastAsia="zh-CN"/>
              </w:rPr>
              <w:t>XF004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570" w:type="dxa"/>
            <w:gridSpan w:val="2"/>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sz w:val="28"/>
                <w:szCs w:val="28"/>
              </w:rPr>
            </w:pPr>
          </w:p>
        </w:tc>
        <w:tc>
          <w:tcPr>
            <w:tcW w:w="1260" w:type="dxa"/>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sz w:val="28"/>
                <w:szCs w:val="28"/>
              </w:rPr>
            </w:pPr>
          </w:p>
        </w:tc>
        <w:tc>
          <w:tcPr>
            <w:tcW w:w="1309" w:type="dxa"/>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lang w:eastAsia="zh-CN"/>
              </w:rPr>
            </w:pPr>
            <w:r>
              <w:rPr>
                <w:rFonts w:hint="eastAsia" w:ascii="宋体" w:hAnsi="宋体" w:eastAsia="宋体" w:cs="宋体"/>
                <w:sz w:val="28"/>
                <w:szCs w:val="28"/>
                <w:lang w:val="en-US" w:eastAsia="zh-CN"/>
              </w:rPr>
              <w:t>1</w:t>
            </w:r>
          </w:p>
        </w:tc>
        <w:tc>
          <w:tcPr>
            <w:tcW w:w="2792" w:type="dxa"/>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厂区体积浓度最高处</w:t>
            </w:r>
          </w:p>
        </w:tc>
        <w:tc>
          <w:tcPr>
            <w:tcW w:w="1995" w:type="dxa"/>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rPr>
            </w:pPr>
            <w:r>
              <w:rPr>
                <w:rFonts w:hint="eastAsia" w:ascii="宋体" w:hAnsi="宋体" w:eastAsia="宋体" w:cs="宋体"/>
                <w:sz w:val="28"/>
                <w:szCs w:val="28"/>
              </w:rPr>
              <w:t>CN001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570" w:type="dxa"/>
            <w:gridSpan w:val="2"/>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sz w:val="28"/>
                <w:szCs w:val="28"/>
              </w:rPr>
            </w:pPr>
          </w:p>
        </w:tc>
        <w:tc>
          <w:tcPr>
            <w:tcW w:w="1260" w:type="dxa"/>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sz w:val="28"/>
                <w:szCs w:val="28"/>
              </w:rPr>
            </w:pPr>
          </w:p>
        </w:tc>
        <w:tc>
          <w:tcPr>
            <w:tcW w:w="1309" w:type="dxa"/>
            <w:vAlign w:val="center"/>
          </w:tcPr>
          <w:p>
            <w:pPr>
              <w:pStyle w:val="33"/>
              <w:keepNext w:val="0"/>
              <w:keepLines w:val="0"/>
              <w:suppressLineNumbers w:val="0"/>
              <w:snapToGrid w:val="0"/>
              <w:spacing w:before="0" w:beforeAutospacing="0" w:after="0" w:afterAutospacing="0"/>
              <w:ind w:left="0" w:right="0"/>
              <w:contextualSpacing/>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w:t>
            </w:r>
          </w:p>
        </w:tc>
        <w:tc>
          <w:tcPr>
            <w:tcW w:w="2792" w:type="dxa"/>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厂区体积浓度最高处</w:t>
            </w:r>
          </w:p>
        </w:tc>
        <w:tc>
          <w:tcPr>
            <w:tcW w:w="1995" w:type="dxa"/>
            <w:vAlign w:val="center"/>
          </w:tcPr>
          <w:p>
            <w:pPr>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lang w:val="en-US" w:eastAsia="zh-CN"/>
              </w:rPr>
            </w:pPr>
            <w:r>
              <w:rPr>
                <w:rFonts w:hint="eastAsia" w:ascii="宋体" w:hAnsi="宋体" w:eastAsia="宋体" w:cs="宋体"/>
                <w:sz w:val="28"/>
                <w:szCs w:val="28"/>
              </w:rPr>
              <w:t>CN00</w:t>
            </w:r>
            <w:r>
              <w:rPr>
                <w:rFonts w:hint="eastAsia" w:ascii="宋体" w:hAnsi="宋体" w:eastAsia="宋体" w:cs="宋体"/>
                <w:sz w:val="28"/>
                <w:szCs w:val="28"/>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30" w:type="dxa"/>
            <w:gridSpan w:val="3"/>
            <w:vMerge w:val="restart"/>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rPr>
            </w:pPr>
            <w:r>
              <w:rPr>
                <w:rFonts w:hint="eastAsia" w:ascii="宋体" w:hAnsi="宋体" w:eastAsia="宋体" w:cs="宋体"/>
                <w:sz w:val="28"/>
                <w:szCs w:val="28"/>
              </w:rPr>
              <w:t>噪声</w:t>
            </w:r>
          </w:p>
        </w:tc>
        <w:tc>
          <w:tcPr>
            <w:tcW w:w="1309" w:type="dxa"/>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rPr>
            </w:pPr>
            <w:r>
              <w:rPr>
                <w:rFonts w:hint="eastAsia" w:ascii="宋体" w:hAnsi="宋体" w:eastAsia="宋体" w:cs="宋体"/>
                <w:sz w:val="28"/>
                <w:szCs w:val="28"/>
              </w:rPr>
              <w:t>1</w:t>
            </w:r>
          </w:p>
        </w:tc>
        <w:tc>
          <w:tcPr>
            <w:tcW w:w="2792" w:type="dxa"/>
            <w:vAlign w:val="center"/>
          </w:tcPr>
          <w:p>
            <w:pPr>
              <w:pStyle w:val="34"/>
              <w:keepNext w:val="0"/>
              <w:keepLines w:val="0"/>
              <w:suppressLineNumbers w:val="0"/>
              <w:snapToGrid w:val="0"/>
              <w:spacing w:before="0" w:beforeAutospacing="0" w:after="0" w:afterAutospacing="0"/>
              <w:ind w:left="0" w:right="0"/>
              <w:contextualSpacing/>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厂界</w:t>
            </w:r>
            <w:r>
              <w:rPr>
                <w:rFonts w:hint="eastAsia" w:ascii="宋体" w:hAnsi="宋体" w:eastAsia="宋体" w:cs="宋体"/>
                <w:sz w:val="28"/>
                <w:szCs w:val="28"/>
                <w:lang w:val="en-US" w:eastAsia="zh-CN"/>
              </w:rPr>
              <w:t>噪声</w:t>
            </w:r>
            <w:r>
              <w:rPr>
                <w:rFonts w:hint="eastAsia" w:ascii="宋体" w:hAnsi="宋体" w:eastAsia="宋体" w:cs="宋体"/>
                <w:sz w:val="28"/>
                <w:szCs w:val="28"/>
              </w:rPr>
              <w:t>（东）</w:t>
            </w:r>
          </w:p>
        </w:tc>
        <w:tc>
          <w:tcPr>
            <w:tcW w:w="1995" w:type="dxa"/>
            <w:vAlign w:val="center"/>
          </w:tcPr>
          <w:p>
            <w:pPr>
              <w:pStyle w:val="35"/>
              <w:keepNext w:val="0"/>
              <w:keepLines w:val="0"/>
              <w:suppressLineNumbers w:val="0"/>
              <w:snapToGrid w:val="0"/>
              <w:spacing w:before="0" w:beforeAutospacing="0" w:after="0" w:afterAutospacing="0"/>
              <w:ind w:right="0"/>
              <w:contextualSpacing/>
              <w:jc w:val="both"/>
              <w:rPr>
                <w:rFonts w:hint="eastAsia" w:ascii="宋体" w:hAnsi="宋体" w:eastAsia="宋体" w:cs="宋体"/>
                <w:sz w:val="28"/>
                <w:szCs w:val="28"/>
              </w:rPr>
            </w:pPr>
            <w:r>
              <w:rPr>
                <w:rFonts w:hint="eastAsia" w:ascii="宋体" w:hAnsi="宋体" w:eastAsia="宋体" w:cs="宋体"/>
                <w:sz w:val="28"/>
                <w:szCs w:val="28"/>
              </w:rPr>
              <w:t>ZS01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30" w:type="dxa"/>
            <w:gridSpan w:val="3"/>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sz w:val="28"/>
                <w:szCs w:val="28"/>
              </w:rPr>
            </w:pPr>
          </w:p>
        </w:tc>
        <w:tc>
          <w:tcPr>
            <w:tcW w:w="1309" w:type="dxa"/>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rPr>
            </w:pPr>
            <w:r>
              <w:rPr>
                <w:rFonts w:hint="eastAsia" w:ascii="宋体" w:hAnsi="宋体" w:eastAsia="宋体" w:cs="宋体"/>
                <w:sz w:val="28"/>
                <w:szCs w:val="28"/>
              </w:rPr>
              <w:t>2</w:t>
            </w:r>
          </w:p>
        </w:tc>
        <w:tc>
          <w:tcPr>
            <w:tcW w:w="2792" w:type="dxa"/>
            <w:vAlign w:val="center"/>
          </w:tcPr>
          <w:p>
            <w:pPr>
              <w:pStyle w:val="34"/>
              <w:keepNext w:val="0"/>
              <w:keepLines w:val="0"/>
              <w:suppressLineNumbers w:val="0"/>
              <w:snapToGrid w:val="0"/>
              <w:spacing w:before="0" w:beforeAutospacing="0" w:after="0" w:afterAutospacing="0"/>
              <w:ind w:left="0" w:right="0"/>
              <w:contextualSpacing/>
              <w:rPr>
                <w:rFonts w:hint="eastAsia" w:ascii="宋体" w:hAnsi="宋体" w:eastAsia="宋体" w:cs="宋体"/>
                <w:sz w:val="28"/>
                <w:szCs w:val="28"/>
              </w:rPr>
            </w:pPr>
            <w:r>
              <w:rPr>
                <w:rFonts w:hint="eastAsia" w:ascii="宋体" w:hAnsi="宋体" w:eastAsia="宋体" w:cs="宋体"/>
                <w:sz w:val="28"/>
                <w:szCs w:val="28"/>
              </w:rPr>
              <w:t xml:space="preserve">   厂界</w:t>
            </w:r>
            <w:r>
              <w:rPr>
                <w:rFonts w:hint="eastAsia" w:ascii="宋体" w:hAnsi="宋体" w:eastAsia="宋体" w:cs="宋体"/>
                <w:sz w:val="28"/>
                <w:szCs w:val="28"/>
                <w:lang w:val="en-US" w:eastAsia="zh-CN"/>
              </w:rPr>
              <w:t>噪声</w:t>
            </w:r>
            <w:r>
              <w:rPr>
                <w:rFonts w:hint="eastAsia" w:ascii="宋体" w:hAnsi="宋体" w:eastAsia="宋体" w:cs="宋体"/>
                <w:sz w:val="28"/>
                <w:szCs w:val="28"/>
              </w:rPr>
              <w:t>（南）</w:t>
            </w:r>
          </w:p>
        </w:tc>
        <w:tc>
          <w:tcPr>
            <w:tcW w:w="1995" w:type="dxa"/>
            <w:vAlign w:val="center"/>
          </w:tcPr>
          <w:p>
            <w:pPr>
              <w:pStyle w:val="35"/>
              <w:keepNext w:val="0"/>
              <w:keepLines w:val="0"/>
              <w:suppressLineNumbers w:val="0"/>
              <w:snapToGrid w:val="0"/>
              <w:spacing w:before="0" w:beforeAutospacing="0" w:after="0" w:afterAutospacing="0"/>
              <w:ind w:right="0"/>
              <w:contextualSpacing/>
              <w:jc w:val="both"/>
              <w:rPr>
                <w:rFonts w:hint="eastAsia" w:ascii="宋体" w:hAnsi="宋体" w:eastAsia="宋体" w:cs="宋体"/>
                <w:sz w:val="28"/>
                <w:szCs w:val="28"/>
              </w:rPr>
            </w:pPr>
            <w:r>
              <w:rPr>
                <w:rFonts w:hint="eastAsia" w:ascii="宋体" w:hAnsi="宋体" w:eastAsia="宋体" w:cs="宋体"/>
                <w:sz w:val="28"/>
                <w:szCs w:val="28"/>
              </w:rPr>
              <w:t>ZS02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30" w:type="dxa"/>
            <w:gridSpan w:val="3"/>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sz w:val="28"/>
                <w:szCs w:val="28"/>
              </w:rPr>
            </w:pPr>
          </w:p>
        </w:tc>
        <w:tc>
          <w:tcPr>
            <w:tcW w:w="1309" w:type="dxa"/>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rPr>
            </w:pPr>
            <w:r>
              <w:rPr>
                <w:rFonts w:hint="eastAsia" w:ascii="宋体" w:hAnsi="宋体" w:eastAsia="宋体" w:cs="宋体"/>
                <w:sz w:val="28"/>
                <w:szCs w:val="28"/>
              </w:rPr>
              <w:t>3</w:t>
            </w:r>
          </w:p>
        </w:tc>
        <w:tc>
          <w:tcPr>
            <w:tcW w:w="2792" w:type="dxa"/>
            <w:vAlign w:val="center"/>
          </w:tcPr>
          <w:p>
            <w:pPr>
              <w:pStyle w:val="34"/>
              <w:keepNext w:val="0"/>
              <w:keepLines w:val="0"/>
              <w:suppressLineNumbers w:val="0"/>
              <w:snapToGrid w:val="0"/>
              <w:spacing w:before="0" w:beforeAutospacing="0" w:after="0" w:afterAutospacing="0"/>
              <w:ind w:left="0" w:right="0" w:firstLine="280" w:firstLineChars="100"/>
              <w:contextualSpacing/>
              <w:rPr>
                <w:rFonts w:hint="eastAsia" w:ascii="宋体" w:hAnsi="宋体" w:eastAsia="宋体" w:cs="宋体"/>
                <w:sz w:val="28"/>
                <w:szCs w:val="28"/>
              </w:rPr>
            </w:pPr>
            <w:r>
              <w:rPr>
                <w:rFonts w:hint="eastAsia" w:ascii="宋体" w:hAnsi="宋体" w:eastAsia="宋体" w:cs="宋体"/>
                <w:sz w:val="28"/>
                <w:szCs w:val="28"/>
              </w:rPr>
              <w:t xml:space="preserve"> 厂界</w:t>
            </w:r>
            <w:r>
              <w:rPr>
                <w:rFonts w:hint="eastAsia" w:ascii="宋体" w:hAnsi="宋体" w:eastAsia="宋体" w:cs="宋体"/>
                <w:sz w:val="28"/>
                <w:szCs w:val="28"/>
                <w:lang w:val="en-US" w:eastAsia="zh-CN"/>
              </w:rPr>
              <w:t>噪声</w:t>
            </w:r>
            <w:r>
              <w:rPr>
                <w:rFonts w:hint="eastAsia" w:ascii="宋体" w:hAnsi="宋体" w:eastAsia="宋体" w:cs="宋体"/>
                <w:sz w:val="28"/>
                <w:szCs w:val="28"/>
              </w:rPr>
              <w:t>（西）</w:t>
            </w:r>
          </w:p>
        </w:tc>
        <w:tc>
          <w:tcPr>
            <w:tcW w:w="1995" w:type="dxa"/>
            <w:vAlign w:val="center"/>
          </w:tcPr>
          <w:p>
            <w:pPr>
              <w:pStyle w:val="35"/>
              <w:keepNext w:val="0"/>
              <w:keepLines w:val="0"/>
              <w:suppressLineNumbers w:val="0"/>
              <w:snapToGrid w:val="0"/>
              <w:spacing w:before="0" w:beforeAutospacing="0" w:after="200" w:afterAutospacing="0" w:line="252" w:lineRule="auto"/>
              <w:ind w:right="0"/>
              <w:contextualSpacing/>
              <w:jc w:val="both"/>
              <w:rPr>
                <w:rFonts w:hint="eastAsia" w:ascii="宋体" w:hAnsi="宋体" w:eastAsia="宋体" w:cs="宋体"/>
                <w:sz w:val="28"/>
                <w:szCs w:val="28"/>
              </w:rPr>
            </w:pPr>
            <w:r>
              <w:rPr>
                <w:rFonts w:hint="eastAsia" w:ascii="宋体" w:hAnsi="宋体" w:eastAsia="宋体" w:cs="宋体"/>
                <w:sz w:val="28"/>
                <w:szCs w:val="28"/>
              </w:rPr>
              <w:t>ZS03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30" w:type="dxa"/>
            <w:gridSpan w:val="3"/>
            <w:vMerge w:val="continue"/>
            <w:vAlign w:val="center"/>
          </w:tcPr>
          <w:p>
            <w:pPr>
              <w:keepNext w:val="0"/>
              <w:keepLines w:val="0"/>
              <w:suppressLineNumbers w:val="0"/>
              <w:spacing w:before="0" w:beforeAutospacing="0" w:after="0" w:afterAutospacing="0"/>
              <w:ind w:left="0" w:right="0"/>
              <w:rPr>
                <w:rFonts w:hint="eastAsia" w:ascii="宋体" w:hAnsi="宋体" w:eastAsia="宋体" w:cs="宋体"/>
                <w:sz w:val="28"/>
                <w:szCs w:val="28"/>
              </w:rPr>
            </w:pPr>
          </w:p>
        </w:tc>
        <w:tc>
          <w:tcPr>
            <w:tcW w:w="1309" w:type="dxa"/>
            <w:vAlign w:val="center"/>
          </w:tcPr>
          <w:p>
            <w:pPr>
              <w:pStyle w:val="33"/>
              <w:keepNext w:val="0"/>
              <w:keepLines w:val="0"/>
              <w:suppressLineNumbers w:val="0"/>
              <w:snapToGrid w:val="0"/>
              <w:spacing w:before="0" w:beforeAutospacing="0" w:after="0" w:afterAutospacing="0"/>
              <w:ind w:left="0" w:right="0"/>
              <w:contextualSpacing/>
              <w:jc w:val="center"/>
              <w:rPr>
                <w:rFonts w:hint="eastAsia" w:ascii="宋体" w:hAnsi="宋体" w:eastAsia="宋体" w:cs="宋体"/>
                <w:sz w:val="28"/>
                <w:szCs w:val="28"/>
              </w:rPr>
            </w:pPr>
            <w:r>
              <w:rPr>
                <w:rFonts w:hint="eastAsia" w:ascii="宋体" w:hAnsi="宋体" w:eastAsia="宋体" w:cs="宋体"/>
                <w:sz w:val="28"/>
                <w:szCs w:val="28"/>
              </w:rPr>
              <w:t>4</w:t>
            </w:r>
          </w:p>
        </w:tc>
        <w:tc>
          <w:tcPr>
            <w:tcW w:w="2792" w:type="dxa"/>
            <w:vAlign w:val="center"/>
          </w:tcPr>
          <w:p>
            <w:pPr>
              <w:pStyle w:val="34"/>
              <w:keepNext w:val="0"/>
              <w:keepLines w:val="0"/>
              <w:suppressLineNumbers w:val="0"/>
              <w:snapToGrid w:val="0"/>
              <w:spacing w:before="0" w:beforeAutospacing="0" w:after="0" w:afterAutospacing="0"/>
              <w:ind w:left="0" w:right="0" w:firstLine="280" w:firstLineChars="100"/>
              <w:contextualSpacing/>
              <w:rPr>
                <w:rFonts w:hint="eastAsia" w:ascii="宋体" w:hAnsi="宋体" w:eastAsia="宋体" w:cs="宋体"/>
                <w:sz w:val="28"/>
                <w:szCs w:val="28"/>
              </w:rPr>
            </w:pPr>
            <w:r>
              <w:rPr>
                <w:rFonts w:hint="eastAsia" w:ascii="宋体" w:hAnsi="宋体" w:eastAsia="宋体" w:cs="宋体"/>
                <w:sz w:val="28"/>
                <w:szCs w:val="28"/>
              </w:rPr>
              <w:t xml:space="preserve"> 厂界</w:t>
            </w:r>
            <w:r>
              <w:rPr>
                <w:rFonts w:hint="eastAsia" w:ascii="宋体" w:hAnsi="宋体" w:eastAsia="宋体" w:cs="宋体"/>
                <w:sz w:val="28"/>
                <w:szCs w:val="28"/>
                <w:lang w:val="en-US" w:eastAsia="zh-CN"/>
              </w:rPr>
              <w:t>噪声</w:t>
            </w:r>
            <w:r>
              <w:rPr>
                <w:rFonts w:hint="eastAsia" w:ascii="宋体" w:hAnsi="宋体" w:eastAsia="宋体" w:cs="宋体"/>
                <w:sz w:val="28"/>
                <w:szCs w:val="28"/>
              </w:rPr>
              <w:t>（北）</w:t>
            </w:r>
          </w:p>
        </w:tc>
        <w:tc>
          <w:tcPr>
            <w:tcW w:w="1995" w:type="dxa"/>
            <w:vAlign w:val="center"/>
          </w:tcPr>
          <w:p>
            <w:pPr>
              <w:pStyle w:val="35"/>
              <w:keepNext w:val="0"/>
              <w:keepLines w:val="0"/>
              <w:suppressLineNumbers w:val="0"/>
              <w:snapToGrid w:val="0"/>
              <w:spacing w:before="0" w:beforeAutospacing="0" w:after="200" w:afterAutospacing="0" w:line="252" w:lineRule="auto"/>
              <w:ind w:right="0"/>
              <w:contextualSpacing/>
              <w:jc w:val="both"/>
              <w:rPr>
                <w:rFonts w:hint="eastAsia" w:ascii="宋体" w:hAnsi="宋体" w:eastAsia="宋体" w:cs="宋体"/>
                <w:sz w:val="28"/>
                <w:szCs w:val="28"/>
              </w:rPr>
            </w:pPr>
            <w:r>
              <w:rPr>
                <w:rFonts w:hint="eastAsia" w:ascii="宋体" w:hAnsi="宋体" w:eastAsia="宋体" w:cs="宋体"/>
                <w:sz w:val="28"/>
                <w:szCs w:val="28"/>
              </w:rPr>
              <w:t>ZS04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865" w:type="dxa"/>
            <w:vMerge w:val="restart"/>
            <w:vAlign w:val="center"/>
          </w:tcPr>
          <w:p>
            <w:pPr>
              <w:pStyle w:val="17"/>
              <w:keepNext w:val="0"/>
              <w:keepLines w:val="0"/>
              <w:suppressLineNumbers w:val="0"/>
              <w:adjustRightInd w:val="0"/>
              <w:snapToGrid w:val="0"/>
              <w:spacing w:before="0" w:beforeAutospacing="0" w:after="0" w:afterAutospacing="0"/>
              <w:ind w:left="0" w:leftChars="0" w:right="0" w:firstLine="0" w:firstLineChars="0"/>
              <w:jc w:val="both"/>
              <w:rPr>
                <w:rFonts w:hint="eastAsia" w:ascii="宋体" w:hAnsi="宋体" w:eastAsia="宋体" w:cs="宋体"/>
                <w:sz w:val="28"/>
                <w:szCs w:val="28"/>
              </w:rPr>
            </w:pPr>
            <w:r>
              <w:rPr>
                <w:rFonts w:hint="eastAsia" w:ascii="宋体" w:hAnsi="宋体" w:eastAsia="宋体" w:cs="宋体"/>
                <w:sz w:val="28"/>
                <w:szCs w:val="28"/>
              </w:rPr>
              <w:t>周边环境质量</w:t>
            </w:r>
          </w:p>
        </w:tc>
        <w:tc>
          <w:tcPr>
            <w:tcW w:w="1965" w:type="dxa"/>
            <w:gridSpan w:val="2"/>
            <w:vMerge w:val="restart"/>
            <w:vAlign w:val="center"/>
          </w:tcPr>
          <w:p>
            <w:pPr>
              <w:pStyle w:val="17"/>
              <w:keepNext w:val="0"/>
              <w:keepLines w:val="0"/>
              <w:suppressLineNumbers w:val="0"/>
              <w:adjustRightInd w:val="0"/>
              <w:snapToGrid w:val="0"/>
              <w:spacing w:before="0" w:beforeAutospacing="0" w:after="0" w:afterAutospacing="0"/>
              <w:ind w:left="0" w:leftChars="0" w:right="0" w:firstLine="560" w:firstLineChars="200"/>
              <w:jc w:val="both"/>
              <w:rPr>
                <w:rFonts w:hint="eastAsia" w:ascii="宋体" w:hAnsi="宋体" w:eastAsia="宋体" w:cs="宋体"/>
                <w:sz w:val="28"/>
                <w:szCs w:val="28"/>
              </w:rPr>
            </w:pPr>
            <w:r>
              <w:rPr>
                <w:rFonts w:hint="eastAsia" w:ascii="宋体" w:hAnsi="宋体" w:eastAsia="宋体" w:cs="宋体"/>
                <w:sz w:val="28"/>
                <w:szCs w:val="28"/>
              </w:rPr>
              <w:t>地</w:t>
            </w:r>
            <w:r>
              <w:rPr>
                <w:rFonts w:hint="eastAsia" w:ascii="宋体" w:hAnsi="宋体" w:eastAsia="宋体" w:cs="宋体"/>
                <w:sz w:val="28"/>
                <w:szCs w:val="28"/>
                <w:lang w:eastAsia="zh-CN"/>
              </w:rPr>
              <w:t>表</w:t>
            </w:r>
            <w:r>
              <w:rPr>
                <w:rFonts w:hint="eastAsia" w:ascii="宋体" w:hAnsi="宋体" w:eastAsia="宋体" w:cs="宋体"/>
                <w:sz w:val="28"/>
                <w:szCs w:val="28"/>
              </w:rPr>
              <w:t>水</w:t>
            </w:r>
          </w:p>
        </w:tc>
        <w:tc>
          <w:tcPr>
            <w:tcW w:w="1309" w:type="dxa"/>
            <w:vAlign w:val="center"/>
          </w:tcPr>
          <w:p>
            <w:pPr>
              <w:pStyle w:val="17"/>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28"/>
                <w:szCs w:val="28"/>
              </w:rPr>
            </w:pPr>
            <w:r>
              <w:rPr>
                <w:rFonts w:hint="eastAsia" w:ascii="宋体" w:hAnsi="宋体" w:eastAsia="宋体" w:cs="宋体"/>
                <w:sz w:val="28"/>
                <w:szCs w:val="28"/>
                <w:lang w:val="en-US" w:eastAsia="zh-CN"/>
              </w:rPr>
              <w:t>1</w:t>
            </w:r>
          </w:p>
        </w:tc>
        <w:tc>
          <w:tcPr>
            <w:tcW w:w="2792" w:type="dxa"/>
            <w:vAlign w:val="center"/>
          </w:tcPr>
          <w:p>
            <w:pPr>
              <w:pStyle w:val="17"/>
              <w:keepNext w:val="0"/>
              <w:keepLines w:val="0"/>
              <w:suppressLineNumbers w:val="0"/>
              <w:adjustRightInd w:val="0"/>
              <w:snapToGrid w:val="0"/>
              <w:spacing w:before="0" w:beforeAutospacing="0" w:after="0" w:afterAutospacing="0"/>
              <w:ind w:left="0" w:leftChars="0" w:right="0" w:firstLine="0" w:firstLineChars="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入河排污口（琴江上游0.5公里）</w:t>
            </w:r>
          </w:p>
        </w:tc>
        <w:tc>
          <w:tcPr>
            <w:tcW w:w="1995" w:type="dxa"/>
            <w:vAlign w:val="center"/>
          </w:tcPr>
          <w:p>
            <w:pPr>
              <w:pStyle w:val="17"/>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DBS01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5" w:type="dxa"/>
            <w:vMerge w:val="continue"/>
            <w:vAlign w:val="center"/>
          </w:tcPr>
          <w:p>
            <w:pPr>
              <w:pStyle w:val="17"/>
              <w:keepNext w:val="0"/>
              <w:keepLines w:val="0"/>
              <w:suppressLineNumbers w:val="0"/>
              <w:adjustRightInd w:val="0"/>
              <w:snapToGrid w:val="0"/>
              <w:spacing w:before="0" w:beforeAutospacing="0" w:after="0" w:afterAutospacing="0"/>
              <w:ind w:left="0" w:right="0"/>
              <w:jc w:val="center"/>
              <w:rPr>
                <w:rFonts w:hint="default"/>
              </w:rPr>
            </w:pPr>
          </w:p>
        </w:tc>
        <w:tc>
          <w:tcPr>
            <w:tcW w:w="1965" w:type="dxa"/>
            <w:gridSpan w:val="2"/>
            <w:vMerge w:val="continue"/>
            <w:vAlign w:val="center"/>
          </w:tcPr>
          <w:p>
            <w:pPr>
              <w:pStyle w:val="17"/>
              <w:keepNext w:val="0"/>
              <w:keepLines w:val="0"/>
              <w:suppressLineNumbers w:val="0"/>
              <w:adjustRightInd w:val="0"/>
              <w:snapToGrid w:val="0"/>
              <w:spacing w:before="0" w:beforeAutospacing="0" w:after="0" w:afterAutospacing="0"/>
              <w:ind w:left="0" w:right="0"/>
              <w:jc w:val="center"/>
              <w:rPr>
                <w:rFonts w:hint="default"/>
              </w:rPr>
            </w:pPr>
          </w:p>
        </w:tc>
        <w:tc>
          <w:tcPr>
            <w:tcW w:w="1309" w:type="dxa"/>
            <w:vAlign w:val="center"/>
          </w:tcPr>
          <w:p>
            <w:pPr>
              <w:pStyle w:val="17"/>
              <w:keepNext w:val="0"/>
              <w:keepLines w:val="0"/>
              <w:suppressLineNumbers w:val="0"/>
              <w:adjustRightInd w:val="0"/>
              <w:snapToGrid w:val="0"/>
              <w:spacing w:before="0" w:beforeAutospacing="0" w:after="0" w:afterAutospacing="0"/>
              <w:ind w:left="0" w:right="0"/>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w:t>
            </w:r>
          </w:p>
        </w:tc>
        <w:tc>
          <w:tcPr>
            <w:tcW w:w="2792" w:type="dxa"/>
            <w:vAlign w:val="center"/>
          </w:tcPr>
          <w:p>
            <w:pPr>
              <w:pStyle w:val="17"/>
              <w:keepNext w:val="0"/>
              <w:keepLines w:val="0"/>
              <w:suppressLineNumbers w:val="0"/>
              <w:adjustRightInd w:val="0"/>
              <w:snapToGrid w:val="0"/>
              <w:spacing w:before="0" w:beforeAutospacing="0" w:after="0" w:afterAutospacing="0"/>
              <w:ind w:left="0" w:leftChars="0" w:right="0" w:firstLine="0" w:firstLineChars="0"/>
              <w:jc w:val="both"/>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入河排污口（琴江下游1.5公里）</w:t>
            </w:r>
          </w:p>
        </w:tc>
        <w:tc>
          <w:tcPr>
            <w:tcW w:w="1995" w:type="dxa"/>
            <w:vAlign w:val="center"/>
          </w:tcPr>
          <w:p>
            <w:pPr>
              <w:pStyle w:val="17"/>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DBS02</w:t>
            </w:r>
          </w:p>
        </w:tc>
      </w:tr>
    </w:tbl>
    <w:p>
      <w:pPr>
        <w:pStyle w:val="33"/>
        <w:spacing w:after="200" w:line="252" w:lineRule="auto"/>
        <w:ind w:left="0"/>
        <w:contextualSpacing/>
        <w:jc w:val="left"/>
        <w:outlineLvl w:val="0"/>
        <w:rPr>
          <w:rFonts w:ascii="宋体"/>
          <w:sz w:val="21"/>
          <w:szCs w:val="21"/>
        </w:rPr>
      </w:pPr>
      <w:r>
        <w:rPr>
          <w:rFonts w:ascii="宋体"/>
          <w:sz w:val="21"/>
          <w:szCs w:val="21"/>
        </w:rPr>
        <w:t>注</w:t>
      </w:r>
      <w:r>
        <w:rPr>
          <w:rFonts w:hint="eastAsia" w:ascii="宋体" w:hAnsi="宋体" w:eastAsia="宋体"/>
          <w:sz w:val="21"/>
          <w:szCs w:val="21"/>
          <w:lang w:val="en-US" w:eastAsia="zh-CN"/>
        </w:rPr>
        <w:t>1</w:t>
      </w:r>
      <w:r>
        <w:rPr>
          <w:rFonts w:ascii="宋体"/>
          <w:sz w:val="21"/>
          <w:szCs w:val="21"/>
        </w:rPr>
        <w:t>：以环保部门编号为准，如环保部门未进行编号，以企业自行编号为准；</w:t>
      </w:r>
    </w:p>
    <w:p>
      <w:pPr>
        <w:pStyle w:val="18"/>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val="0"/>
          <w:bCs w:val="0"/>
          <w:sz w:val="28"/>
          <w:szCs w:val="28"/>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ascii="宋体"/>
          <w:sz w:val="21"/>
          <w:szCs w:val="21"/>
        </w:rPr>
        <w:t>注</w:t>
      </w:r>
      <w:r>
        <w:rPr>
          <w:rFonts w:hint="eastAsia" w:ascii="宋体" w:hAnsi="宋体"/>
          <w:sz w:val="21"/>
          <w:szCs w:val="21"/>
          <w:lang w:val="en-US" w:eastAsia="zh-CN"/>
        </w:rPr>
        <w:t>2</w:t>
      </w:r>
      <w:r>
        <w:rPr>
          <w:rFonts w:ascii="宋体"/>
          <w:sz w:val="21"/>
          <w:szCs w:val="21"/>
        </w:rPr>
        <w:t>：若污染物排放标准等环境管理文件对污染治理设施有特别要求的，应开展此项</w:t>
      </w:r>
    </w:p>
    <w:p>
      <w:pPr>
        <w:keepNext w:val="0"/>
        <w:keepLines w:val="0"/>
        <w:pageBreakBefore w:val="0"/>
        <w:widowControl w:val="0"/>
        <w:numPr>
          <w:ilvl w:val="0"/>
          <w:numId w:val="2"/>
        </w:numPr>
        <w:kinsoku/>
        <w:wordWrap/>
        <w:overflowPunct/>
        <w:topLinePunct w:val="0"/>
        <w:autoSpaceDE/>
        <w:autoSpaceDN/>
        <w:bidi w:val="0"/>
        <w:adjustRightInd w:val="0"/>
        <w:snapToGrid w:val="0"/>
        <w:jc w:val="left"/>
        <w:textAlignment w:val="auto"/>
        <w:outlineLvl w:val="1"/>
        <w:rPr>
          <w:rFonts w:hint="eastAsia" w:ascii="宋体" w:hAnsi="宋体" w:eastAsia="宋体" w:cs="宋体"/>
          <w:color w:val="000000"/>
          <w:sz w:val="28"/>
          <w:szCs w:val="28"/>
          <w:highlight w:val="none"/>
        </w:rPr>
      </w:pPr>
      <w:r>
        <w:rPr>
          <w:rFonts w:hint="eastAsia" w:ascii="宋体" w:hAnsi="宋体" w:eastAsia="宋体" w:cs="宋体"/>
          <w:color w:val="000000"/>
          <w:sz w:val="28"/>
          <w:szCs w:val="28"/>
        </w:rPr>
        <w:t>废气</w:t>
      </w:r>
      <w:r>
        <w:rPr>
          <w:rFonts w:hint="eastAsia" w:ascii="宋体" w:hAnsi="宋体" w:eastAsia="宋体" w:cs="宋体"/>
          <w:color w:val="000000"/>
          <w:sz w:val="28"/>
          <w:szCs w:val="28"/>
          <w:highlight w:val="none"/>
        </w:rPr>
        <w:t>无组织自行监测及记录信息表</w:t>
      </w:r>
      <w:bookmarkStart w:id="0" w:name="BIAO15"/>
    </w:p>
    <w:tbl>
      <w:tblPr>
        <w:tblStyle w:val="8"/>
        <w:tblpPr w:leftFromText="180" w:rightFromText="180" w:vertAnchor="text" w:horzAnchor="page" w:tblpX="1195" w:tblpY="843"/>
        <w:tblOverlap w:val="never"/>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108" w:type="dxa"/>
          <w:bottom w:w="0" w:type="dxa"/>
          <w:right w:w="108" w:type="dxa"/>
        </w:tblCellMar>
      </w:tblPr>
      <w:tblGrid>
        <w:gridCol w:w="716"/>
        <w:gridCol w:w="716"/>
        <w:gridCol w:w="816"/>
        <w:gridCol w:w="783"/>
        <w:gridCol w:w="692"/>
        <w:gridCol w:w="717"/>
        <w:gridCol w:w="2796"/>
        <w:gridCol w:w="1716"/>
        <w:gridCol w:w="1536"/>
        <w:gridCol w:w="1708"/>
        <w:gridCol w:w="1551"/>
        <w:gridCol w:w="2940"/>
        <w:gridCol w:w="1606"/>
        <w:gridCol w:w="28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953" w:hRule="atLeast"/>
          <w:tblHeader/>
        </w:trPr>
        <w:tc>
          <w:tcPr>
            <w:tcW w:w="182" w:type="pct"/>
            <w:tcBorders>
              <w:tl2br w:val="nil"/>
              <w:tr2bl w:val="nil"/>
            </w:tcBorders>
            <w:shd w:val="clear" w:color="auto" w:fill="auto"/>
            <w:vAlign w:val="center"/>
          </w:tcPr>
          <w:p>
            <w:pPr>
              <w:widowControl/>
              <w:jc w:val="left"/>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序号</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污染源类别/监测类别</w:t>
            </w:r>
          </w:p>
        </w:tc>
        <w:tc>
          <w:tcPr>
            <w:tcW w:w="205" w:type="pct"/>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排放口编号/监测点位</w:t>
            </w:r>
          </w:p>
        </w:tc>
        <w:tc>
          <w:tcPr>
            <w:tcW w:w="198" w:type="pct"/>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监测点位名称</w:t>
            </w:r>
          </w:p>
        </w:tc>
        <w:tc>
          <w:tcPr>
            <w:tcW w:w="176" w:type="pct"/>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监测指标</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监测设施</w:t>
            </w:r>
          </w:p>
        </w:tc>
        <w:tc>
          <w:tcPr>
            <w:tcW w:w="673" w:type="pct"/>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排放标准</w:t>
            </w:r>
          </w:p>
        </w:tc>
        <w:tc>
          <w:tcPr>
            <w:tcW w:w="286" w:type="pct"/>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排放限值</w:t>
            </w:r>
          </w:p>
        </w:tc>
        <w:tc>
          <w:tcPr>
            <w:tcW w:w="331" w:type="pct"/>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rPr>
              <w:t>方法检出限</w:t>
            </w:r>
          </w:p>
        </w:tc>
        <w:tc>
          <w:tcPr>
            <w:tcW w:w="416" w:type="pct"/>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手工监测采样方法及个数</w:t>
            </w:r>
          </w:p>
        </w:tc>
        <w:tc>
          <w:tcPr>
            <w:tcW w:w="379" w:type="pct"/>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手工监测频次</w:t>
            </w:r>
          </w:p>
        </w:tc>
        <w:tc>
          <w:tcPr>
            <w:tcW w:w="707" w:type="pct"/>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手工测定方法</w:t>
            </w:r>
          </w:p>
        </w:tc>
        <w:tc>
          <w:tcPr>
            <w:tcW w:w="392" w:type="pct"/>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手工检测设备</w:t>
            </w:r>
          </w:p>
        </w:tc>
        <w:tc>
          <w:tcPr>
            <w:tcW w:w="685" w:type="pct"/>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其他信息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205" w:type="pct"/>
            <w:tcBorders>
              <w:tl2br w:val="nil"/>
              <w:tr2bl w:val="nil"/>
            </w:tcBorders>
            <w:shd w:val="clear" w:color="auto" w:fill="auto"/>
            <w:vAlign w:val="center"/>
          </w:tcPr>
          <w:p>
            <w:pPr>
              <w:widowControl/>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SF</w:t>
            </w:r>
            <w:r>
              <w:rPr>
                <w:rFonts w:hint="eastAsia" w:ascii="宋体" w:hAnsi="宋体" w:eastAsia="宋体" w:cs="宋体"/>
                <w:color w:val="auto"/>
                <w:kern w:val="0"/>
                <w:sz w:val="24"/>
                <w:szCs w:val="24"/>
                <w:highlight w:val="none"/>
                <w:lang w:bidi="ar"/>
              </w:rPr>
              <w:t>001</w:t>
            </w:r>
          </w:p>
        </w:tc>
        <w:tc>
          <w:tcPr>
            <w:tcW w:w="198" w:type="pct"/>
            <w:tcBorders>
              <w:tl2br w:val="nil"/>
              <w:tr2bl w:val="nil"/>
            </w:tcBorders>
            <w:shd w:val="clear" w:color="auto" w:fill="auto"/>
            <w:vAlign w:val="center"/>
          </w:tcPr>
          <w:p>
            <w:pPr>
              <w:widowControl/>
              <w:jc w:val="center"/>
              <w:textAlignment w:val="center"/>
              <w:rPr>
                <w:rFonts w:hint="default"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厂界上风向1</w:t>
            </w:r>
          </w:p>
          <w:p>
            <w:pPr>
              <w:widowControl/>
              <w:jc w:val="center"/>
              <w:textAlignment w:val="center"/>
              <w:rPr>
                <w:rFonts w:ascii="宋体" w:hAnsi="宋体" w:eastAsia="宋体" w:cs="宋体"/>
                <w:color w:val="auto"/>
                <w:sz w:val="24"/>
                <w:szCs w:val="24"/>
                <w:highlight w:val="none"/>
              </w:rPr>
            </w:pPr>
          </w:p>
        </w:tc>
        <w:tc>
          <w:tcPr>
            <w:tcW w:w="176"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臭气浓度</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673"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286"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上限:20（无量纲）</w:t>
            </w:r>
          </w:p>
        </w:tc>
        <w:tc>
          <w:tcPr>
            <w:tcW w:w="331" w:type="pct"/>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rPr>
              <w:t>10（无量纲）</w:t>
            </w:r>
          </w:p>
        </w:tc>
        <w:tc>
          <w:tcPr>
            <w:tcW w:w="416"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379"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707" w:type="pct"/>
            <w:tcBorders>
              <w:tl2br w:val="nil"/>
              <w:tr2bl w:val="nil"/>
            </w:tcBorders>
            <w:shd w:val="clear" w:color="auto" w:fill="auto"/>
            <w:vAlign w:val="center"/>
          </w:tcPr>
          <w:p>
            <w:pPr>
              <w:widowControl/>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环境空气和废气 臭气的测定 三点比较式臭袋法（HJ 1262-2002）</w:t>
            </w:r>
          </w:p>
        </w:tc>
        <w:tc>
          <w:tcPr>
            <w:tcW w:w="392" w:type="pct"/>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685" w:type="pct"/>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182" w:type="pct"/>
            <w:tcBorders>
              <w:tl2br w:val="nil"/>
              <w:tr2bl w:val="nil"/>
            </w:tcBorders>
            <w:shd w:val="clear" w:color="auto" w:fill="auto"/>
            <w:vAlign w:val="center"/>
          </w:tcPr>
          <w:p>
            <w:pPr>
              <w:widowControl/>
              <w:jc w:val="center"/>
              <w:textAlignment w:val="center"/>
              <w:rPr>
                <w:color w:val="auto"/>
                <w:highlight w:val="none"/>
              </w:rPr>
            </w:pPr>
            <w:r>
              <w:rPr>
                <w:rFonts w:hint="eastAsia"/>
                <w:color w:val="auto"/>
                <w:highlight w:val="none"/>
              </w:rPr>
              <w:t>2</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205" w:type="pct"/>
            <w:tcBorders>
              <w:tl2br w:val="nil"/>
              <w:tr2bl w:val="nil"/>
            </w:tcBorders>
            <w:shd w:val="clear" w:color="auto" w:fill="auto"/>
            <w:vAlign w:val="center"/>
          </w:tcPr>
          <w:p>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XF</w:t>
            </w:r>
            <w:r>
              <w:rPr>
                <w:rFonts w:hint="eastAsia" w:ascii="宋体" w:hAnsi="宋体" w:eastAsia="宋体" w:cs="宋体"/>
                <w:color w:val="auto"/>
                <w:kern w:val="0"/>
                <w:sz w:val="24"/>
                <w:szCs w:val="24"/>
                <w:highlight w:val="none"/>
                <w:lang w:bidi="ar"/>
              </w:rPr>
              <w:t>00</w:t>
            </w:r>
            <w:r>
              <w:rPr>
                <w:rFonts w:hint="eastAsia" w:ascii="宋体" w:hAnsi="宋体" w:eastAsia="宋体" w:cs="宋体"/>
                <w:color w:val="auto"/>
                <w:kern w:val="0"/>
                <w:sz w:val="24"/>
                <w:szCs w:val="24"/>
                <w:highlight w:val="none"/>
                <w:lang w:val="en-US" w:eastAsia="zh-CN" w:bidi="ar"/>
              </w:rPr>
              <w:t>2</w:t>
            </w:r>
          </w:p>
        </w:tc>
        <w:tc>
          <w:tcPr>
            <w:tcW w:w="198" w:type="pct"/>
            <w:tcBorders>
              <w:tl2br w:val="nil"/>
              <w:tr2bl w:val="nil"/>
            </w:tcBorders>
            <w:shd w:val="clear" w:color="auto" w:fill="auto"/>
            <w:vAlign w:val="center"/>
          </w:tcPr>
          <w:p>
            <w:pPr>
              <w:widowControl/>
              <w:jc w:val="center"/>
              <w:textAlignment w:val="center"/>
              <w:rPr>
                <w:rFonts w:hint="default"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厂界下风向2</w:t>
            </w:r>
          </w:p>
        </w:tc>
        <w:tc>
          <w:tcPr>
            <w:tcW w:w="176"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臭气浓度</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673"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286"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上限:20（无量纲）</w:t>
            </w:r>
          </w:p>
        </w:tc>
        <w:tc>
          <w:tcPr>
            <w:tcW w:w="331" w:type="pct"/>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rPr>
              <w:t>10（无量纲）</w:t>
            </w:r>
          </w:p>
        </w:tc>
        <w:tc>
          <w:tcPr>
            <w:tcW w:w="416"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379"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707"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环境空气和废气 臭气的测定 三点比较式臭袋法（HJ 1262-2002）</w:t>
            </w:r>
          </w:p>
        </w:tc>
        <w:tc>
          <w:tcPr>
            <w:tcW w:w="392" w:type="pct"/>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685" w:type="pct"/>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205" w:type="pct"/>
            <w:tcBorders>
              <w:tl2br w:val="nil"/>
              <w:tr2bl w:val="nil"/>
            </w:tcBorders>
            <w:shd w:val="clear" w:color="auto" w:fill="auto"/>
            <w:vAlign w:val="center"/>
          </w:tcPr>
          <w:p>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XF</w:t>
            </w:r>
            <w:r>
              <w:rPr>
                <w:rFonts w:hint="eastAsia" w:ascii="宋体" w:hAnsi="宋体" w:eastAsia="宋体" w:cs="宋体"/>
                <w:color w:val="auto"/>
                <w:kern w:val="0"/>
                <w:sz w:val="24"/>
                <w:szCs w:val="24"/>
                <w:highlight w:val="none"/>
                <w:lang w:bidi="ar"/>
              </w:rPr>
              <w:t>00</w:t>
            </w:r>
            <w:r>
              <w:rPr>
                <w:rFonts w:hint="eastAsia" w:ascii="宋体" w:hAnsi="宋体" w:eastAsia="宋体" w:cs="宋体"/>
                <w:color w:val="auto"/>
                <w:kern w:val="0"/>
                <w:sz w:val="24"/>
                <w:szCs w:val="24"/>
                <w:highlight w:val="none"/>
                <w:lang w:val="en-US" w:eastAsia="zh-CN" w:bidi="ar"/>
              </w:rPr>
              <w:t>3</w:t>
            </w:r>
          </w:p>
        </w:tc>
        <w:tc>
          <w:tcPr>
            <w:tcW w:w="198" w:type="pct"/>
            <w:tcBorders>
              <w:tl2br w:val="nil"/>
              <w:tr2bl w:val="nil"/>
            </w:tcBorders>
            <w:shd w:val="clear" w:color="auto" w:fill="auto"/>
            <w:vAlign w:val="center"/>
          </w:tcPr>
          <w:p>
            <w:pPr>
              <w:widowControl/>
              <w:jc w:val="center"/>
              <w:textAlignment w:val="center"/>
              <w:rPr>
                <w:rFonts w:hint="default"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厂界下风向3</w:t>
            </w:r>
          </w:p>
        </w:tc>
        <w:tc>
          <w:tcPr>
            <w:tcW w:w="176"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臭气浓度</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673"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286"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上限:20（无量纲）</w:t>
            </w:r>
          </w:p>
        </w:tc>
        <w:tc>
          <w:tcPr>
            <w:tcW w:w="331" w:type="pct"/>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rPr>
              <w:t>10（无量纲）</w:t>
            </w:r>
          </w:p>
        </w:tc>
        <w:tc>
          <w:tcPr>
            <w:tcW w:w="416"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379"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707"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环境空气和废气 臭气的测定 三点比较式臭袋法（HJ 1262-2002）</w:t>
            </w:r>
          </w:p>
        </w:tc>
        <w:tc>
          <w:tcPr>
            <w:tcW w:w="392" w:type="pct"/>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685" w:type="pct"/>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205" w:type="pct"/>
            <w:tcBorders>
              <w:tl2br w:val="nil"/>
              <w:tr2bl w:val="nil"/>
            </w:tcBorders>
            <w:shd w:val="clear" w:color="auto" w:fill="auto"/>
            <w:vAlign w:val="center"/>
          </w:tcPr>
          <w:p>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XF</w:t>
            </w:r>
            <w:r>
              <w:rPr>
                <w:rFonts w:hint="eastAsia" w:ascii="宋体" w:hAnsi="宋体" w:eastAsia="宋体" w:cs="宋体"/>
                <w:color w:val="auto"/>
                <w:kern w:val="0"/>
                <w:sz w:val="24"/>
                <w:szCs w:val="24"/>
                <w:highlight w:val="none"/>
                <w:lang w:bidi="ar"/>
              </w:rPr>
              <w:t>00</w:t>
            </w:r>
            <w:r>
              <w:rPr>
                <w:rFonts w:hint="eastAsia" w:ascii="宋体" w:hAnsi="宋体" w:eastAsia="宋体" w:cs="宋体"/>
                <w:color w:val="auto"/>
                <w:kern w:val="0"/>
                <w:sz w:val="24"/>
                <w:szCs w:val="24"/>
                <w:highlight w:val="none"/>
                <w:lang w:val="en-US" w:eastAsia="zh-CN" w:bidi="ar"/>
              </w:rPr>
              <w:t>4</w:t>
            </w:r>
          </w:p>
        </w:tc>
        <w:tc>
          <w:tcPr>
            <w:tcW w:w="198" w:type="pct"/>
            <w:tcBorders>
              <w:tl2br w:val="nil"/>
              <w:tr2bl w:val="nil"/>
            </w:tcBorders>
            <w:shd w:val="clear" w:color="auto" w:fill="auto"/>
            <w:vAlign w:val="center"/>
          </w:tcPr>
          <w:p>
            <w:pPr>
              <w:widowControl/>
              <w:jc w:val="center"/>
              <w:textAlignment w:val="center"/>
              <w:rPr>
                <w:rFonts w:hint="default"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厂界下风向4</w:t>
            </w:r>
          </w:p>
        </w:tc>
        <w:tc>
          <w:tcPr>
            <w:tcW w:w="176"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臭气浓度</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673"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286"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上限:20（无量纲）</w:t>
            </w:r>
          </w:p>
        </w:tc>
        <w:tc>
          <w:tcPr>
            <w:tcW w:w="331" w:type="pct"/>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rPr>
              <w:t>10（无量纲）</w:t>
            </w:r>
          </w:p>
        </w:tc>
        <w:tc>
          <w:tcPr>
            <w:tcW w:w="416"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379"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707"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环境空气和废气 臭气的测定 三点比较式臭袋法（HJ 1262-2002）</w:t>
            </w:r>
          </w:p>
        </w:tc>
        <w:tc>
          <w:tcPr>
            <w:tcW w:w="392" w:type="pct"/>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685" w:type="pct"/>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93" w:hRule="atLeast"/>
        </w:trPr>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205"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SF</w:t>
            </w:r>
            <w:r>
              <w:rPr>
                <w:rFonts w:hint="eastAsia" w:ascii="宋体" w:hAnsi="宋体" w:eastAsia="宋体" w:cs="宋体"/>
                <w:color w:val="auto"/>
                <w:kern w:val="0"/>
                <w:sz w:val="24"/>
                <w:szCs w:val="24"/>
                <w:highlight w:val="none"/>
                <w:lang w:bidi="ar"/>
              </w:rPr>
              <w:t>001</w:t>
            </w:r>
          </w:p>
        </w:tc>
        <w:tc>
          <w:tcPr>
            <w:tcW w:w="198" w:type="pct"/>
            <w:tcBorders>
              <w:tl2br w:val="nil"/>
              <w:tr2bl w:val="nil"/>
            </w:tcBorders>
            <w:shd w:val="clear" w:color="auto" w:fill="auto"/>
            <w:vAlign w:val="center"/>
          </w:tcPr>
          <w:p>
            <w:pPr>
              <w:widowControl/>
              <w:jc w:val="center"/>
              <w:textAlignment w:val="center"/>
              <w:rPr>
                <w:rFonts w:hint="default"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厂界上风向1</w:t>
            </w:r>
          </w:p>
          <w:p>
            <w:pPr>
              <w:widowControl/>
              <w:jc w:val="center"/>
              <w:textAlignment w:val="center"/>
              <w:rPr>
                <w:rFonts w:ascii="宋体" w:hAnsi="宋体" w:eastAsia="宋体" w:cs="宋体"/>
                <w:color w:val="auto"/>
                <w:sz w:val="24"/>
                <w:szCs w:val="24"/>
                <w:highlight w:val="none"/>
              </w:rPr>
            </w:pPr>
          </w:p>
        </w:tc>
        <w:tc>
          <w:tcPr>
            <w:tcW w:w="176" w:type="pct"/>
            <w:tcBorders>
              <w:tl2br w:val="nil"/>
              <w:tr2bl w:val="nil"/>
            </w:tcBorders>
            <w:shd w:val="clear" w:color="auto" w:fill="auto"/>
            <w:vAlign w:val="center"/>
          </w:tcPr>
          <w:p>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bidi="ar"/>
              </w:rPr>
              <w:t>氨</w:t>
            </w:r>
            <w:r>
              <w:rPr>
                <w:rFonts w:hint="eastAsia" w:ascii="宋体" w:hAnsi="宋体" w:eastAsia="宋体" w:cs="宋体"/>
                <w:color w:val="auto"/>
                <w:kern w:val="0"/>
                <w:sz w:val="24"/>
                <w:szCs w:val="24"/>
                <w:highlight w:val="none"/>
                <w:lang w:val="en-US" w:eastAsia="zh-CN" w:bidi="ar"/>
              </w:rPr>
              <w:t>气</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673"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286" w:type="pct"/>
            <w:tcBorders>
              <w:tl2br w:val="nil"/>
              <w:tr2bl w:val="nil"/>
            </w:tcBorders>
            <w:shd w:val="clear" w:color="auto" w:fill="auto"/>
            <w:vAlign w:val="center"/>
          </w:tcPr>
          <w:p>
            <w:pPr>
              <w:widowControl/>
              <w:jc w:val="center"/>
              <w:textAlignment w:val="center"/>
              <w:rPr>
                <w:rFonts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上限:1.5mg/</w:t>
            </w:r>
            <w:r>
              <w:rPr>
                <w:rFonts w:hint="eastAsia" w:ascii="宋体" w:hAnsi="宋体" w:eastAsia="宋体" w:cs="宋体"/>
                <w:color w:val="000000" w:themeColor="text1"/>
                <w:kern w:val="0"/>
                <w:sz w:val="24"/>
                <w:szCs w:val="24"/>
                <w:highlight w:val="none"/>
                <w14:textFill>
                  <w14:solidFill>
                    <w14:schemeClr w14:val="tx1"/>
                  </w14:solidFill>
                </w14:textFill>
              </w:rPr>
              <w:t>Nm</w:t>
            </w:r>
            <w:r>
              <w:rPr>
                <w:rFonts w:hint="eastAsia" w:ascii="宋体" w:hAnsi="宋体" w:eastAsia="宋体" w:cs="宋体"/>
                <w:color w:val="000000" w:themeColor="text1"/>
                <w:kern w:val="0"/>
                <w:sz w:val="24"/>
                <w:szCs w:val="24"/>
                <w:highlight w:val="none"/>
                <w:vertAlign w:val="superscript"/>
                <w14:textFill>
                  <w14:solidFill>
                    <w14:schemeClr w14:val="tx1"/>
                  </w14:solidFill>
                </w14:textFill>
              </w:rPr>
              <w:t>3</w:t>
            </w:r>
          </w:p>
        </w:tc>
        <w:tc>
          <w:tcPr>
            <w:tcW w:w="331" w:type="pct"/>
            <w:tcBorders>
              <w:tl2br w:val="nil"/>
              <w:tr2bl w:val="nil"/>
            </w:tcBorders>
            <w:shd w:val="clear" w:color="auto" w:fill="auto"/>
            <w:vAlign w:val="center"/>
          </w:tcPr>
          <w:p>
            <w:pPr>
              <w:widowControl/>
              <w:jc w:val="center"/>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0.01</w:t>
            </w:r>
            <w:r>
              <w:rPr>
                <w:rFonts w:hint="eastAsia" w:ascii="宋体" w:hAnsi="宋体" w:eastAsia="宋体" w:cs="宋体"/>
                <w:color w:val="000000" w:themeColor="text1"/>
                <w:kern w:val="0"/>
                <w:sz w:val="24"/>
                <w:szCs w:val="24"/>
                <w14:textFill>
                  <w14:solidFill>
                    <w14:schemeClr w14:val="tx1"/>
                  </w14:solidFill>
                </w14:textFill>
              </w:rPr>
              <w:t>mg/</w:t>
            </w:r>
            <w:r>
              <w:rPr>
                <w:rFonts w:hint="eastAsia" w:ascii="宋体" w:hAnsi="宋体" w:eastAsia="宋体" w:cs="宋体"/>
                <w:color w:val="000000" w:themeColor="text1"/>
                <w:kern w:val="0"/>
                <w:sz w:val="24"/>
                <w:szCs w:val="24"/>
                <w:highlight w:val="none"/>
                <w14:textFill>
                  <w14:solidFill>
                    <w14:schemeClr w14:val="tx1"/>
                  </w14:solidFill>
                </w14:textFill>
              </w:rPr>
              <w:t>Nm</w:t>
            </w:r>
            <w:r>
              <w:rPr>
                <w:rFonts w:hint="eastAsia" w:ascii="宋体" w:hAnsi="宋体" w:eastAsia="宋体" w:cs="宋体"/>
                <w:color w:val="000000" w:themeColor="text1"/>
                <w:kern w:val="0"/>
                <w:sz w:val="24"/>
                <w:szCs w:val="24"/>
                <w:highlight w:val="none"/>
                <w:vertAlign w:val="superscript"/>
                <w14:textFill>
                  <w14:solidFill>
                    <w14:schemeClr w14:val="tx1"/>
                  </w14:solidFill>
                </w14:textFill>
              </w:rPr>
              <w:t>3</w:t>
            </w:r>
          </w:p>
        </w:tc>
        <w:tc>
          <w:tcPr>
            <w:tcW w:w="416"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379"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707"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环境空气和废气 氨的测定 纳氏试剂分光光度法 HJ 533-2009</w:t>
            </w:r>
          </w:p>
        </w:tc>
        <w:tc>
          <w:tcPr>
            <w:tcW w:w="392" w:type="pct"/>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685" w:type="pct"/>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81" w:hRule="atLeast"/>
        </w:trPr>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205" w:type="pct"/>
            <w:tcBorders>
              <w:tl2br w:val="nil"/>
              <w:tr2bl w:val="nil"/>
            </w:tcBorders>
            <w:shd w:val="clear" w:color="auto" w:fill="auto"/>
            <w:vAlign w:val="center"/>
          </w:tcPr>
          <w:p>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XF</w:t>
            </w:r>
            <w:r>
              <w:rPr>
                <w:rFonts w:hint="eastAsia" w:ascii="宋体" w:hAnsi="宋体" w:eastAsia="宋体" w:cs="宋体"/>
                <w:color w:val="auto"/>
                <w:kern w:val="0"/>
                <w:sz w:val="24"/>
                <w:szCs w:val="24"/>
                <w:highlight w:val="none"/>
                <w:lang w:bidi="ar"/>
              </w:rPr>
              <w:t>00</w:t>
            </w:r>
            <w:r>
              <w:rPr>
                <w:rFonts w:hint="eastAsia" w:ascii="宋体" w:hAnsi="宋体" w:eastAsia="宋体" w:cs="宋体"/>
                <w:color w:val="auto"/>
                <w:kern w:val="0"/>
                <w:sz w:val="24"/>
                <w:szCs w:val="24"/>
                <w:highlight w:val="none"/>
                <w:lang w:val="en-US" w:eastAsia="zh-CN" w:bidi="ar"/>
              </w:rPr>
              <w:t>2</w:t>
            </w:r>
          </w:p>
        </w:tc>
        <w:tc>
          <w:tcPr>
            <w:tcW w:w="198" w:type="pct"/>
            <w:tcBorders>
              <w:tl2br w:val="nil"/>
              <w:tr2bl w:val="nil"/>
            </w:tcBorders>
            <w:shd w:val="clear" w:color="auto" w:fill="auto"/>
            <w:vAlign w:val="center"/>
          </w:tcPr>
          <w:p>
            <w:pPr>
              <w:widowControl/>
              <w:jc w:val="center"/>
              <w:textAlignment w:val="center"/>
              <w:rPr>
                <w:rFonts w:hint="default"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厂界下风向2</w:t>
            </w:r>
          </w:p>
        </w:tc>
        <w:tc>
          <w:tcPr>
            <w:tcW w:w="176"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氨</w:t>
            </w:r>
            <w:r>
              <w:rPr>
                <w:rFonts w:hint="eastAsia" w:ascii="宋体" w:hAnsi="宋体" w:eastAsia="宋体" w:cs="宋体"/>
                <w:color w:val="auto"/>
                <w:kern w:val="0"/>
                <w:sz w:val="24"/>
                <w:szCs w:val="24"/>
                <w:highlight w:val="none"/>
                <w:lang w:val="en-US" w:eastAsia="zh-CN" w:bidi="ar"/>
              </w:rPr>
              <w:t>气</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673"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286" w:type="pct"/>
            <w:tcBorders>
              <w:tl2br w:val="nil"/>
              <w:tr2bl w:val="nil"/>
            </w:tcBorders>
            <w:shd w:val="clear" w:color="auto" w:fill="auto"/>
            <w:vAlign w:val="center"/>
          </w:tcPr>
          <w:p>
            <w:pPr>
              <w:widowControl/>
              <w:jc w:val="center"/>
              <w:textAlignment w:val="center"/>
              <w:rPr>
                <w:rFonts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上限:1.5mg/</w:t>
            </w:r>
            <w:r>
              <w:rPr>
                <w:rFonts w:hint="eastAsia" w:ascii="宋体" w:hAnsi="宋体" w:eastAsia="宋体" w:cs="宋体"/>
                <w:color w:val="000000" w:themeColor="text1"/>
                <w:kern w:val="0"/>
                <w:sz w:val="24"/>
                <w:szCs w:val="24"/>
                <w:highlight w:val="none"/>
                <w14:textFill>
                  <w14:solidFill>
                    <w14:schemeClr w14:val="tx1"/>
                  </w14:solidFill>
                </w14:textFill>
              </w:rPr>
              <w:t>Nm</w:t>
            </w:r>
            <w:r>
              <w:rPr>
                <w:rFonts w:hint="eastAsia" w:ascii="宋体" w:hAnsi="宋体" w:eastAsia="宋体" w:cs="宋体"/>
                <w:color w:val="000000" w:themeColor="text1"/>
                <w:kern w:val="0"/>
                <w:sz w:val="24"/>
                <w:szCs w:val="24"/>
                <w:highlight w:val="none"/>
                <w:vertAlign w:val="superscript"/>
                <w14:textFill>
                  <w14:solidFill>
                    <w14:schemeClr w14:val="tx1"/>
                  </w14:solidFill>
                </w14:textFill>
              </w:rPr>
              <w:t>3</w:t>
            </w:r>
          </w:p>
        </w:tc>
        <w:tc>
          <w:tcPr>
            <w:tcW w:w="331" w:type="pct"/>
            <w:tcBorders>
              <w:tl2br w:val="nil"/>
              <w:tr2bl w:val="nil"/>
            </w:tcBorders>
            <w:shd w:val="clear" w:color="auto" w:fill="auto"/>
            <w:vAlign w:val="center"/>
          </w:tcPr>
          <w:p>
            <w:pPr>
              <w:widowControl/>
              <w:jc w:val="center"/>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0.01</w:t>
            </w:r>
            <w:r>
              <w:rPr>
                <w:rFonts w:hint="eastAsia" w:ascii="宋体" w:hAnsi="宋体" w:eastAsia="宋体" w:cs="宋体"/>
                <w:color w:val="000000" w:themeColor="text1"/>
                <w:kern w:val="0"/>
                <w:sz w:val="24"/>
                <w:szCs w:val="24"/>
                <w14:textFill>
                  <w14:solidFill>
                    <w14:schemeClr w14:val="tx1"/>
                  </w14:solidFill>
                </w14:textFill>
              </w:rPr>
              <w:t>mg/</w:t>
            </w:r>
            <w:r>
              <w:rPr>
                <w:rFonts w:hint="eastAsia" w:ascii="宋体" w:hAnsi="宋体" w:eastAsia="宋体" w:cs="宋体"/>
                <w:color w:val="000000" w:themeColor="text1"/>
                <w:kern w:val="0"/>
                <w:sz w:val="24"/>
                <w:szCs w:val="24"/>
                <w:highlight w:val="none"/>
                <w14:textFill>
                  <w14:solidFill>
                    <w14:schemeClr w14:val="tx1"/>
                  </w14:solidFill>
                </w14:textFill>
              </w:rPr>
              <w:t>Nm</w:t>
            </w:r>
            <w:r>
              <w:rPr>
                <w:rFonts w:hint="eastAsia" w:ascii="宋体" w:hAnsi="宋体" w:eastAsia="宋体" w:cs="宋体"/>
                <w:color w:val="000000" w:themeColor="text1"/>
                <w:kern w:val="0"/>
                <w:sz w:val="24"/>
                <w:szCs w:val="24"/>
                <w:highlight w:val="none"/>
                <w:vertAlign w:val="superscript"/>
                <w14:textFill>
                  <w14:solidFill>
                    <w14:schemeClr w14:val="tx1"/>
                  </w14:solidFill>
                </w14:textFill>
              </w:rPr>
              <w:t>3</w:t>
            </w:r>
          </w:p>
        </w:tc>
        <w:tc>
          <w:tcPr>
            <w:tcW w:w="416"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379"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707"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环境空气和废气 氨的测定 纳氏试剂分光光度法 HJ 533-2009</w:t>
            </w:r>
          </w:p>
        </w:tc>
        <w:tc>
          <w:tcPr>
            <w:tcW w:w="392" w:type="pct"/>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685" w:type="pct"/>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95" w:hRule="atLeast"/>
        </w:trPr>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205" w:type="pct"/>
            <w:tcBorders>
              <w:tl2br w:val="nil"/>
              <w:tr2bl w:val="nil"/>
            </w:tcBorders>
            <w:shd w:val="clear" w:color="auto" w:fill="auto"/>
            <w:vAlign w:val="center"/>
          </w:tcPr>
          <w:p>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XF</w:t>
            </w:r>
            <w:r>
              <w:rPr>
                <w:rFonts w:hint="eastAsia" w:ascii="宋体" w:hAnsi="宋体" w:eastAsia="宋体" w:cs="宋体"/>
                <w:color w:val="auto"/>
                <w:kern w:val="0"/>
                <w:sz w:val="24"/>
                <w:szCs w:val="24"/>
                <w:highlight w:val="none"/>
                <w:lang w:bidi="ar"/>
              </w:rPr>
              <w:t>00</w:t>
            </w:r>
            <w:r>
              <w:rPr>
                <w:rFonts w:hint="eastAsia" w:ascii="宋体" w:hAnsi="宋体" w:eastAsia="宋体" w:cs="宋体"/>
                <w:color w:val="auto"/>
                <w:kern w:val="0"/>
                <w:sz w:val="24"/>
                <w:szCs w:val="24"/>
                <w:highlight w:val="none"/>
                <w:lang w:val="en-US" w:eastAsia="zh-CN" w:bidi="ar"/>
              </w:rPr>
              <w:t>3</w:t>
            </w:r>
          </w:p>
        </w:tc>
        <w:tc>
          <w:tcPr>
            <w:tcW w:w="198" w:type="pct"/>
            <w:tcBorders>
              <w:tl2br w:val="nil"/>
              <w:tr2bl w:val="nil"/>
            </w:tcBorders>
            <w:shd w:val="clear" w:color="auto" w:fill="auto"/>
            <w:vAlign w:val="center"/>
          </w:tcPr>
          <w:p>
            <w:pPr>
              <w:widowControl/>
              <w:jc w:val="center"/>
              <w:textAlignment w:val="center"/>
              <w:rPr>
                <w:rFonts w:hint="default"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厂界下风向3</w:t>
            </w:r>
          </w:p>
        </w:tc>
        <w:tc>
          <w:tcPr>
            <w:tcW w:w="176"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氨</w:t>
            </w:r>
            <w:r>
              <w:rPr>
                <w:rFonts w:hint="eastAsia" w:ascii="宋体" w:hAnsi="宋体" w:eastAsia="宋体" w:cs="宋体"/>
                <w:color w:val="auto"/>
                <w:kern w:val="0"/>
                <w:sz w:val="24"/>
                <w:szCs w:val="24"/>
                <w:highlight w:val="none"/>
                <w:lang w:val="en-US" w:eastAsia="zh-CN" w:bidi="ar"/>
              </w:rPr>
              <w:t>气</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673"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286" w:type="pct"/>
            <w:tcBorders>
              <w:tl2br w:val="nil"/>
              <w:tr2bl w:val="nil"/>
            </w:tcBorders>
            <w:shd w:val="clear" w:color="auto" w:fill="auto"/>
            <w:vAlign w:val="center"/>
          </w:tcPr>
          <w:p>
            <w:pPr>
              <w:widowControl/>
              <w:jc w:val="center"/>
              <w:textAlignment w:val="center"/>
              <w:rPr>
                <w:rFonts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上限:1.5mg/</w:t>
            </w:r>
            <w:r>
              <w:rPr>
                <w:rFonts w:hint="eastAsia" w:ascii="宋体" w:hAnsi="宋体" w:eastAsia="宋体" w:cs="宋体"/>
                <w:color w:val="000000" w:themeColor="text1"/>
                <w:kern w:val="0"/>
                <w:sz w:val="24"/>
                <w:szCs w:val="24"/>
                <w:highlight w:val="none"/>
                <w14:textFill>
                  <w14:solidFill>
                    <w14:schemeClr w14:val="tx1"/>
                  </w14:solidFill>
                </w14:textFill>
              </w:rPr>
              <w:t>Nm</w:t>
            </w:r>
            <w:r>
              <w:rPr>
                <w:rFonts w:hint="eastAsia" w:ascii="宋体" w:hAnsi="宋体" w:eastAsia="宋体" w:cs="宋体"/>
                <w:color w:val="000000" w:themeColor="text1"/>
                <w:kern w:val="0"/>
                <w:sz w:val="24"/>
                <w:szCs w:val="24"/>
                <w:highlight w:val="none"/>
                <w:vertAlign w:val="superscript"/>
                <w14:textFill>
                  <w14:solidFill>
                    <w14:schemeClr w14:val="tx1"/>
                  </w14:solidFill>
                </w14:textFill>
              </w:rPr>
              <w:t>3</w:t>
            </w:r>
          </w:p>
        </w:tc>
        <w:tc>
          <w:tcPr>
            <w:tcW w:w="331" w:type="pct"/>
            <w:tcBorders>
              <w:tl2br w:val="nil"/>
              <w:tr2bl w:val="nil"/>
            </w:tcBorders>
            <w:shd w:val="clear" w:color="auto" w:fill="auto"/>
            <w:vAlign w:val="center"/>
          </w:tcPr>
          <w:p>
            <w:pPr>
              <w:widowControl/>
              <w:jc w:val="center"/>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0.01</w:t>
            </w:r>
            <w:r>
              <w:rPr>
                <w:rFonts w:hint="eastAsia" w:ascii="宋体" w:hAnsi="宋体" w:eastAsia="宋体" w:cs="宋体"/>
                <w:color w:val="000000" w:themeColor="text1"/>
                <w:kern w:val="0"/>
                <w:sz w:val="24"/>
                <w:szCs w:val="24"/>
                <w14:textFill>
                  <w14:solidFill>
                    <w14:schemeClr w14:val="tx1"/>
                  </w14:solidFill>
                </w14:textFill>
              </w:rPr>
              <w:t>mg/</w:t>
            </w:r>
            <w:r>
              <w:rPr>
                <w:rFonts w:hint="eastAsia" w:ascii="宋体" w:hAnsi="宋体" w:eastAsia="宋体" w:cs="宋体"/>
                <w:color w:val="000000" w:themeColor="text1"/>
                <w:kern w:val="0"/>
                <w:sz w:val="24"/>
                <w:szCs w:val="24"/>
                <w:highlight w:val="none"/>
                <w14:textFill>
                  <w14:solidFill>
                    <w14:schemeClr w14:val="tx1"/>
                  </w14:solidFill>
                </w14:textFill>
              </w:rPr>
              <w:t>Nm</w:t>
            </w:r>
            <w:r>
              <w:rPr>
                <w:rFonts w:hint="eastAsia" w:ascii="宋体" w:hAnsi="宋体" w:eastAsia="宋体" w:cs="宋体"/>
                <w:color w:val="000000" w:themeColor="text1"/>
                <w:kern w:val="0"/>
                <w:sz w:val="24"/>
                <w:szCs w:val="24"/>
                <w:highlight w:val="none"/>
                <w:vertAlign w:val="superscript"/>
                <w14:textFill>
                  <w14:solidFill>
                    <w14:schemeClr w14:val="tx1"/>
                  </w14:solidFill>
                </w14:textFill>
              </w:rPr>
              <w:t>3</w:t>
            </w:r>
          </w:p>
        </w:tc>
        <w:tc>
          <w:tcPr>
            <w:tcW w:w="416"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379"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707"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环境空气和废气 氨的测定 纳氏试剂分光光度法 HJ 533-2009</w:t>
            </w:r>
          </w:p>
        </w:tc>
        <w:tc>
          <w:tcPr>
            <w:tcW w:w="392" w:type="pct"/>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685" w:type="pct"/>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81" w:hRule="atLeast"/>
        </w:trPr>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205" w:type="pct"/>
            <w:tcBorders>
              <w:tl2br w:val="nil"/>
              <w:tr2bl w:val="nil"/>
            </w:tcBorders>
            <w:shd w:val="clear" w:color="auto" w:fill="auto"/>
            <w:vAlign w:val="center"/>
          </w:tcPr>
          <w:p>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XF</w:t>
            </w:r>
            <w:r>
              <w:rPr>
                <w:rFonts w:hint="eastAsia" w:ascii="宋体" w:hAnsi="宋体" w:eastAsia="宋体" w:cs="宋体"/>
                <w:color w:val="auto"/>
                <w:kern w:val="0"/>
                <w:sz w:val="24"/>
                <w:szCs w:val="24"/>
                <w:highlight w:val="none"/>
                <w:lang w:bidi="ar"/>
              </w:rPr>
              <w:t>00</w:t>
            </w:r>
            <w:r>
              <w:rPr>
                <w:rFonts w:hint="eastAsia" w:ascii="宋体" w:hAnsi="宋体" w:eastAsia="宋体" w:cs="宋体"/>
                <w:color w:val="auto"/>
                <w:kern w:val="0"/>
                <w:sz w:val="24"/>
                <w:szCs w:val="24"/>
                <w:highlight w:val="none"/>
                <w:lang w:val="en-US" w:eastAsia="zh-CN" w:bidi="ar"/>
              </w:rPr>
              <w:t>4</w:t>
            </w:r>
          </w:p>
        </w:tc>
        <w:tc>
          <w:tcPr>
            <w:tcW w:w="198" w:type="pct"/>
            <w:tcBorders>
              <w:tl2br w:val="nil"/>
              <w:tr2bl w:val="nil"/>
            </w:tcBorders>
            <w:shd w:val="clear" w:color="auto" w:fill="auto"/>
            <w:vAlign w:val="center"/>
          </w:tcPr>
          <w:p>
            <w:pPr>
              <w:widowControl/>
              <w:jc w:val="center"/>
              <w:textAlignment w:val="center"/>
              <w:rPr>
                <w:rFonts w:hint="default"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厂界下风向4</w:t>
            </w:r>
          </w:p>
        </w:tc>
        <w:tc>
          <w:tcPr>
            <w:tcW w:w="176"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氨</w:t>
            </w:r>
            <w:r>
              <w:rPr>
                <w:rFonts w:hint="eastAsia" w:ascii="宋体" w:hAnsi="宋体" w:eastAsia="宋体" w:cs="宋体"/>
                <w:color w:val="auto"/>
                <w:kern w:val="0"/>
                <w:sz w:val="24"/>
                <w:szCs w:val="24"/>
                <w:highlight w:val="none"/>
                <w:lang w:val="en-US" w:eastAsia="zh-CN" w:bidi="ar"/>
              </w:rPr>
              <w:t>气</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673"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286" w:type="pct"/>
            <w:tcBorders>
              <w:tl2br w:val="nil"/>
              <w:tr2bl w:val="nil"/>
            </w:tcBorders>
            <w:shd w:val="clear" w:color="auto" w:fill="auto"/>
            <w:vAlign w:val="center"/>
          </w:tcPr>
          <w:p>
            <w:pPr>
              <w:widowControl/>
              <w:jc w:val="center"/>
              <w:textAlignment w:val="center"/>
              <w:rPr>
                <w:rFonts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上限:1.5mg/</w:t>
            </w:r>
            <w:r>
              <w:rPr>
                <w:rFonts w:hint="eastAsia" w:ascii="宋体" w:hAnsi="宋体" w:eastAsia="宋体" w:cs="宋体"/>
                <w:color w:val="000000" w:themeColor="text1"/>
                <w:kern w:val="0"/>
                <w:sz w:val="24"/>
                <w:szCs w:val="24"/>
                <w:highlight w:val="none"/>
                <w14:textFill>
                  <w14:solidFill>
                    <w14:schemeClr w14:val="tx1"/>
                  </w14:solidFill>
                </w14:textFill>
              </w:rPr>
              <w:t>Nm</w:t>
            </w:r>
            <w:r>
              <w:rPr>
                <w:rFonts w:hint="eastAsia" w:ascii="宋体" w:hAnsi="宋体" w:eastAsia="宋体" w:cs="宋体"/>
                <w:color w:val="000000" w:themeColor="text1"/>
                <w:kern w:val="0"/>
                <w:sz w:val="24"/>
                <w:szCs w:val="24"/>
                <w:highlight w:val="none"/>
                <w:vertAlign w:val="superscript"/>
                <w14:textFill>
                  <w14:solidFill>
                    <w14:schemeClr w14:val="tx1"/>
                  </w14:solidFill>
                </w14:textFill>
              </w:rPr>
              <w:t>3</w:t>
            </w:r>
          </w:p>
        </w:tc>
        <w:tc>
          <w:tcPr>
            <w:tcW w:w="331" w:type="pct"/>
            <w:tcBorders>
              <w:tl2br w:val="nil"/>
              <w:tr2bl w:val="nil"/>
            </w:tcBorders>
            <w:shd w:val="clear" w:color="auto" w:fill="auto"/>
            <w:vAlign w:val="center"/>
          </w:tcPr>
          <w:p>
            <w:pPr>
              <w:widowControl/>
              <w:jc w:val="center"/>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0.01</w:t>
            </w:r>
            <w:r>
              <w:rPr>
                <w:rFonts w:hint="eastAsia" w:ascii="宋体" w:hAnsi="宋体" w:eastAsia="宋体" w:cs="宋体"/>
                <w:color w:val="000000" w:themeColor="text1"/>
                <w:kern w:val="0"/>
                <w:sz w:val="24"/>
                <w:szCs w:val="24"/>
                <w14:textFill>
                  <w14:solidFill>
                    <w14:schemeClr w14:val="tx1"/>
                  </w14:solidFill>
                </w14:textFill>
              </w:rPr>
              <w:t>mg/</w:t>
            </w:r>
            <w:r>
              <w:rPr>
                <w:rFonts w:hint="eastAsia" w:ascii="宋体" w:hAnsi="宋体" w:eastAsia="宋体" w:cs="宋体"/>
                <w:color w:val="000000" w:themeColor="text1"/>
                <w:kern w:val="0"/>
                <w:sz w:val="24"/>
                <w:szCs w:val="24"/>
                <w:highlight w:val="none"/>
                <w14:textFill>
                  <w14:solidFill>
                    <w14:schemeClr w14:val="tx1"/>
                  </w14:solidFill>
                </w14:textFill>
              </w:rPr>
              <w:t>Nm</w:t>
            </w:r>
            <w:r>
              <w:rPr>
                <w:rFonts w:hint="eastAsia" w:ascii="宋体" w:hAnsi="宋体" w:eastAsia="宋体" w:cs="宋体"/>
                <w:color w:val="000000" w:themeColor="text1"/>
                <w:kern w:val="0"/>
                <w:sz w:val="24"/>
                <w:szCs w:val="24"/>
                <w:highlight w:val="none"/>
                <w:vertAlign w:val="superscript"/>
                <w14:textFill>
                  <w14:solidFill>
                    <w14:schemeClr w14:val="tx1"/>
                  </w14:solidFill>
                </w14:textFill>
              </w:rPr>
              <w:t>3</w:t>
            </w:r>
          </w:p>
        </w:tc>
        <w:tc>
          <w:tcPr>
            <w:tcW w:w="416"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379"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707"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环境空气和废气 氨的测定 纳氏试剂分光光度法 HJ 533-2009</w:t>
            </w:r>
          </w:p>
        </w:tc>
        <w:tc>
          <w:tcPr>
            <w:tcW w:w="392" w:type="pct"/>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685" w:type="pct"/>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37" w:hRule="atLeast"/>
        </w:trPr>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205"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SF</w:t>
            </w:r>
            <w:r>
              <w:rPr>
                <w:rFonts w:hint="eastAsia" w:ascii="宋体" w:hAnsi="宋体" w:eastAsia="宋体" w:cs="宋体"/>
                <w:color w:val="auto"/>
                <w:kern w:val="0"/>
                <w:sz w:val="24"/>
                <w:szCs w:val="24"/>
                <w:highlight w:val="none"/>
                <w:lang w:bidi="ar"/>
              </w:rPr>
              <w:t>001</w:t>
            </w:r>
          </w:p>
        </w:tc>
        <w:tc>
          <w:tcPr>
            <w:tcW w:w="198" w:type="pct"/>
            <w:tcBorders>
              <w:tl2br w:val="nil"/>
              <w:tr2bl w:val="nil"/>
            </w:tcBorders>
            <w:shd w:val="clear" w:color="auto" w:fill="auto"/>
            <w:vAlign w:val="center"/>
          </w:tcPr>
          <w:p>
            <w:pPr>
              <w:widowControl/>
              <w:jc w:val="center"/>
              <w:textAlignment w:val="center"/>
              <w:rPr>
                <w:rFonts w:hint="default"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厂界上风向1</w:t>
            </w:r>
          </w:p>
          <w:p>
            <w:pPr>
              <w:widowControl/>
              <w:jc w:val="center"/>
              <w:textAlignment w:val="center"/>
              <w:rPr>
                <w:rFonts w:ascii="宋体" w:hAnsi="宋体" w:eastAsia="宋体" w:cs="宋体"/>
                <w:color w:val="auto"/>
                <w:kern w:val="0"/>
                <w:sz w:val="24"/>
                <w:szCs w:val="24"/>
                <w:highlight w:val="none"/>
                <w:lang w:bidi="ar"/>
              </w:rPr>
            </w:pPr>
          </w:p>
        </w:tc>
        <w:tc>
          <w:tcPr>
            <w:tcW w:w="176"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硫化氢</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673"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286" w:type="pct"/>
            <w:tcBorders>
              <w:tl2br w:val="nil"/>
              <w:tr2bl w:val="nil"/>
            </w:tcBorders>
            <w:shd w:val="clear" w:color="auto" w:fill="auto"/>
            <w:vAlign w:val="center"/>
          </w:tcPr>
          <w:p>
            <w:pPr>
              <w:widowControl/>
              <w:jc w:val="center"/>
              <w:textAlignment w:val="center"/>
              <w:rPr>
                <w:rFonts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上限:0.06mg/</w:t>
            </w:r>
            <w:r>
              <w:rPr>
                <w:rFonts w:hint="eastAsia" w:ascii="宋体" w:hAnsi="宋体" w:eastAsia="宋体" w:cs="宋体"/>
                <w:color w:val="000000" w:themeColor="text1"/>
                <w:kern w:val="0"/>
                <w:sz w:val="24"/>
                <w:szCs w:val="24"/>
                <w:highlight w:val="none"/>
                <w14:textFill>
                  <w14:solidFill>
                    <w14:schemeClr w14:val="tx1"/>
                  </w14:solidFill>
                </w14:textFill>
              </w:rPr>
              <w:t>Nm</w:t>
            </w:r>
            <w:r>
              <w:rPr>
                <w:rFonts w:hint="eastAsia" w:ascii="宋体" w:hAnsi="宋体" w:eastAsia="宋体" w:cs="宋体"/>
                <w:color w:val="000000" w:themeColor="text1"/>
                <w:kern w:val="0"/>
                <w:sz w:val="24"/>
                <w:szCs w:val="24"/>
                <w:highlight w:val="none"/>
                <w:vertAlign w:val="superscript"/>
                <w14:textFill>
                  <w14:solidFill>
                    <w14:schemeClr w14:val="tx1"/>
                  </w14:solidFill>
                </w14:textFill>
              </w:rPr>
              <w:t>3</w:t>
            </w:r>
          </w:p>
        </w:tc>
        <w:tc>
          <w:tcPr>
            <w:tcW w:w="331" w:type="pct"/>
            <w:tcBorders>
              <w:tl2br w:val="nil"/>
              <w:tr2bl w:val="nil"/>
            </w:tcBorders>
            <w:shd w:val="clear" w:color="auto" w:fill="auto"/>
            <w:vAlign w:val="center"/>
          </w:tcPr>
          <w:p>
            <w:pPr>
              <w:widowControl/>
              <w:jc w:val="center"/>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0.00</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color w:val="000000" w:themeColor="text1"/>
                <w:kern w:val="0"/>
                <w:sz w:val="24"/>
                <w:szCs w:val="24"/>
                <w:highlight w:val="none"/>
                <w14:textFill>
                  <w14:solidFill>
                    <w14:schemeClr w14:val="tx1"/>
                  </w14:solidFill>
                </w14:textFill>
              </w:rPr>
              <w:t>mg/Nm</w:t>
            </w:r>
            <w:r>
              <w:rPr>
                <w:rFonts w:hint="eastAsia" w:ascii="宋体" w:hAnsi="宋体" w:eastAsia="宋体" w:cs="宋体"/>
                <w:color w:val="000000" w:themeColor="text1"/>
                <w:kern w:val="0"/>
                <w:sz w:val="24"/>
                <w:szCs w:val="24"/>
                <w:highlight w:val="none"/>
                <w:vertAlign w:val="superscript"/>
                <w14:textFill>
                  <w14:solidFill>
                    <w14:schemeClr w14:val="tx1"/>
                  </w14:solidFill>
                </w14:textFill>
              </w:rPr>
              <w:t>3</w:t>
            </w:r>
          </w:p>
        </w:tc>
        <w:tc>
          <w:tcPr>
            <w:tcW w:w="416"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379"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707"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《空气和废气监测分析方法》（第四版）国家环境保护总局（2003年）</w:t>
            </w:r>
            <w:r>
              <w:rPr>
                <w:rFonts w:hint="eastAsia" w:ascii="宋体" w:hAnsi="宋体" w:eastAsia="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bidi="ar"/>
              </w:rPr>
              <w:t>.</w:t>
            </w:r>
            <w:r>
              <w:rPr>
                <w:rFonts w:hint="eastAsia" w:ascii="宋体" w:hAnsi="宋体" w:eastAsia="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bidi="ar"/>
              </w:rPr>
              <w:t>.1</w:t>
            </w:r>
            <w:r>
              <w:rPr>
                <w:rFonts w:hint="eastAsia" w:ascii="宋体" w:hAnsi="宋体" w:eastAsia="宋体" w:cs="宋体"/>
                <w:color w:val="auto"/>
                <w:kern w:val="0"/>
                <w:sz w:val="24"/>
                <w:szCs w:val="24"/>
                <w:highlight w:val="none"/>
                <w:lang w:val="en-US" w:eastAsia="zh-CN" w:bidi="ar"/>
              </w:rPr>
              <w:t>1.2</w:t>
            </w:r>
            <w:r>
              <w:rPr>
                <w:rFonts w:hint="eastAsia" w:ascii="宋体" w:hAnsi="宋体" w:eastAsia="宋体" w:cs="宋体"/>
                <w:color w:val="auto"/>
                <w:kern w:val="0"/>
                <w:sz w:val="24"/>
                <w:szCs w:val="24"/>
                <w:highlight w:val="none"/>
                <w:lang w:bidi="ar"/>
              </w:rPr>
              <w:t>）</w:t>
            </w:r>
            <w:r>
              <w:rPr>
                <w:rFonts w:hint="eastAsia" w:ascii="宋体" w:hAnsi="宋体" w:eastAsia="宋体" w:cs="宋体"/>
                <w:color w:val="auto"/>
                <w:kern w:val="0"/>
                <w:sz w:val="24"/>
                <w:szCs w:val="24"/>
                <w:highlight w:val="none"/>
                <w:lang w:val="en-US" w:eastAsia="zh-CN" w:bidi="ar"/>
              </w:rPr>
              <w:t>空气质量监测</w:t>
            </w:r>
            <w:r>
              <w:rPr>
                <w:rFonts w:hint="eastAsia" w:ascii="宋体" w:hAnsi="宋体" w:eastAsia="宋体" w:cs="宋体"/>
                <w:color w:val="auto"/>
                <w:kern w:val="0"/>
                <w:sz w:val="24"/>
                <w:szCs w:val="24"/>
                <w:highlight w:val="none"/>
                <w:lang w:bidi="ar"/>
              </w:rPr>
              <w:t>硫化氢亚甲蓝分光光度法</w:t>
            </w:r>
          </w:p>
        </w:tc>
        <w:tc>
          <w:tcPr>
            <w:tcW w:w="392" w:type="pct"/>
            <w:tcBorders>
              <w:tl2br w:val="nil"/>
              <w:tr2bl w:val="nil"/>
            </w:tcBorders>
            <w:shd w:val="clear" w:color="auto" w:fill="auto"/>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可见</w:t>
            </w:r>
            <w:r>
              <w:rPr>
                <w:rFonts w:hint="eastAsia" w:ascii="宋体" w:hAnsi="宋体" w:eastAsia="宋体" w:cs="宋体"/>
                <w:color w:val="000000" w:themeColor="text1"/>
                <w:sz w:val="24"/>
                <w:szCs w:val="24"/>
                <w:highlight w:val="none"/>
                <w14:textFill>
                  <w14:solidFill>
                    <w14:schemeClr w14:val="tx1"/>
                  </w14:solidFill>
                </w14:textFill>
              </w:rPr>
              <w:t>分光光度计</w:t>
            </w:r>
          </w:p>
        </w:tc>
        <w:tc>
          <w:tcPr>
            <w:tcW w:w="685" w:type="pct"/>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4" w:hRule="atLeast"/>
        </w:trPr>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205" w:type="pct"/>
            <w:tcBorders>
              <w:tl2br w:val="nil"/>
              <w:tr2bl w:val="nil"/>
            </w:tcBorders>
            <w:shd w:val="clear" w:color="auto" w:fill="auto"/>
            <w:vAlign w:val="center"/>
          </w:tcPr>
          <w:p>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XF</w:t>
            </w:r>
            <w:r>
              <w:rPr>
                <w:rFonts w:hint="eastAsia" w:ascii="宋体" w:hAnsi="宋体" w:eastAsia="宋体" w:cs="宋体"/>
                <w:color w:val="auto"/>
                <w:kern w:val="0"/>
                <w:sz w:val="24"/>
                <w:szCs w:val="24"/>
                <w:highlight w:val="none"/>
                <w:lang w:bidi="ar"/>
              </w:rPr>
              <w:t>00</w:t>
            </w:r>
            <w:r>
              <w:rPr>
                <w:rFonts w:hint="eastAsia" w:ascii="宋体" w:hAnsi="宋体" w:eastAsia="宋体" w:cs="宋体"/>
                <w:color w:val="auto"/>
                <w:kern w:val="0"/>
                <w:sz w:val="24"/>
                <w:szCs w:val="24"/>
                <w:highlight w:val="none"/>
                <w:lang w:val="en-US" w:eastAsia="zh-CN" w:bidi="ar"/>
              </w:rPr>
              <w:t>2</w:t>
            </w:r>
          </w:p>
        </w:tc>
        <w:tc>
          <w:tcPr>
            <w:tcW w:w="198" w:type="pct"/>
            <w:tcBorders>
              <w:tl2br w:val="nil"/>
              <w:tr2bl w:val="nil"/>
            </w:tcBorders>
            <w:shd w:val="clear" w:color="auto" w:fill="auto"/>
            <w:vAlign w:val="center"/>
          </w:tcPr>
          <w:p>
            <w:pPr>
              <w:widowControl/>
              <w:jc w:val="center"/>
              <w:textAlignment w:val="center"/>
              <w:rPr>
                <w:rFonts w:hint="default"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厂界下风向2</w:t>
            </w:r>
          </w:p>
          <w:p>
            <w:pPr>
              <w:widowControl/>
              <w:jc w:val="center"/>
              <w:textAlignment w:val="center"/>
              <w:rPr>
                <w:rFonts w:ascii="宋体" w:hAnsi="宋体" w:eastAsia="宋体" w:cs="宋体"/>
                <w:color w:val="auto"/>
                <w:sz w:val="24"/>
                <w:szCs w:val="24"/>
                <w:highlight w:val="none"/>
              </w:rPr>
            </w:pPr>
          </w:p>
        </w:tc>
        <w:tc>
          <w:tcPr>
            <w:tcW w:w="176"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硫化氢</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673"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286" w:type="pct"/>
            <w:tcBorders>
              <w:tl2br w:val="nil"/>
              <w:tr2bl w:val="nil"/>
            </w:tcBorders>
            <w:shd w:val="clear" w:color="auto" w:fill="auto"/>
            <w:vAlign w:val="center"/>
          </w:tcPr>
          <w:p>
            <w:pPr>
              <w:widowControl/>
              <w:jc w:val="center"/>
              <w:textAlignment w:val="center"/>
              <w:rPr>
                <w:rFonts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上限:0.06mg/</w:t>
            </w:r>
            <w:r>
              <w:rPr>
                <w:rFonts w:hint="eastAsia" w:ascii="宋体" w:hAnsi="宋体" w:eastAsia="宋体" w:cs="宋体"/>
                <w:color w:val="000000" w:themeColor="text1"/>
                <w:kern w:val="0"/>
                <w:sz w:val="24"/>
                <w:szCs w:val="24"/>
                <w:highlight w:val="none"/>
                <w14:textFill>
                  <w14:solidFill>
                    <w14:schemeClr w14:val="tx1"/>
                  </w14:solidFill>
                </w14:textFill>
              </w:rPr>
              <w:t>Nm</w:t>
            </w:r>
            <w:r>
              <w:rPr>
                <w:rFonts w:hint="eastAsia" w:ascii="宋体" w:hAnsi="宋体" w:eastAsia="宋体" w:cs="宋体"/>
                <w:color w:val="000000" w:themeColor="text1"/>
                <w:kern w:val="0"/>
                <w:sz w:val="24"/>
                <w:szCs w:val="24"/>
                <w:highlight w:val="none"/>
                <w:vertAlign w:val="superscript"/>
                <w14:textFill>
                  <w14:solidFill>
                    <w14:schemeClr w14:val="tx1"/>
                  </w14:solidFill>
                </w14:textFill>
              </w:rPr>
              <w:t>3</w:t>
            </w:r>
          </w:p>
        </w:tc>
        <w:tc>
          <w:tcPr>
            <w:tcW w:w="331" w:type="pct"/>
            <w:tcBorders>
              <w:tl2br w:val="nil"/>
              <w:tr2bl w:val="nil"/>
            </w:tcBorders>
            <w:shd w:val="clear" w:color="auto" w:fill="auto"/>
            <w:vAlign w:val="center"/>
          </w:tcPr>
          <w:p>
            <w:pPr>
              <w:widowControl/>
              <w:jc w:val="center"/>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0.00</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color w:val="000000" w:themeColor="text1"/>
                <w:kern w:val="0"/>
                <w:sz w:val="24"/>
                <w:szCs w:val="24"/>
                <w:highlight w:val="none"/>
                <w14:textFill>
                  <w14:solidFill>
                    <w14:schemeClr w14:val="tx1"/>
                  </w14:solidFill>
                </w14:textFill>
              </w:rPr>
              <w:t>mg/Nm</w:t>
            </w:r>
            <w:r>
              <w:rPr>
                <w:rFonts w:hint="eastAsia" w:ascii="宋体" w:hAnsi="宋体" w:eastAsia="宋体" w:cs="宋体"/>
                <w:color w:val="000000" w:themeColor="text1"/>
                <w:kern w:val="0"/>
                <w:sz w:val="24"/>
                <w:szCs w:val="24"/>
                <w:highlight w:val="none"/>
                <w:vertAlign w:val="superscript"/>
                <w14:textFill>
                  <w14:solidFill>
                    <w14:schemeClr w14:val="tx1"/>
                  </w14:solidFill>
                </w14:textFill>
              </w:rPr>
              <w:t>3</w:t>
            </w:r>
          </w:p>
        </w:tc>
        <w:tc>
          <w:tcPr>
            <w:tcW w:w="416"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379"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707"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《空气和废气监测分析方法》（第四版）国家环境保护总局（2003年）</w:t>
            </w:r>
            <w:r>
              <w:rPr>
                <w:rFonts w:hint="eastAsia" w:ascii="宋体" w:hAnsi="宋体" w:eastAsia="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bidi="ar"/>
              </w:rPr>
              <w:t>.</w:t>
            </w:r>
            <w:r>
              <w:rPr>
                <w:rFonts w:hint="eastAsia" w:ascii="宋体" w:hAnsi="宋体" w:eastAsia="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bidi="ar"/>
              </w:rPr>
              <w:t>.1</w:t>
            </w:r>
            <w:r>
              <w:rPr>
                <w:rFonts w:hint="eastAsia" w:ascii="宋体" w:hAnsi="宋体" w:eastAsia="宋体" w:cs="宋体"/>
                <w:color w:val="auto"/>
                <w:kern w:val="0"/>
                <w:sz w:val="24"/>
                <w:szCs w:val="24"/>
                <w:highlight w:val="none"/>
                <w:lang w:val="en-US" w:eastAsia="zh-CN" w:bidi="ar"/>
              </w:rPr>
              <w:t>1.2</w:t>
            </w:r>
            <w:r>
              <w:rPr>
                <w:rFonts w:hint="eastAsia" w:ascii="宋体" w:hAnsi="宋体" w:eastAsia="宋体" w:cs="宋体"/>
                <w:color w:val="auto"/>
                <w:kern w:val="0"/>
                <w:sz w:val="24"/>
                <w:szCs w:val="24"/>
                <w:highlight w:val="none"/>
                <w:lang w:bidi="ar"/>
              </w:rPr>
              <w:t>）</w:t>
            </w:r>
            <w:r>
              <w:rPr>
                <w:rFonts w:hint="eastAsia" w:ascii="宋体" w:hAnsi="宋体" w:eastAsia="宋体" w:cs="宋体"/>
                <w:color w:val="auto"/>
                <w:kern w:val="0"/>
                <w:sz w:val="24"/>
                <w:szCs w:val="24"/>
                <w:highlight w:val="none"/>
                <w:lang w:val="en-US" w:eastAsia="zh-CN" w:bidi="ar"/>
              </w:rPr>
              <w:t>空气质量监测</w:t>
            </w:r>
            <w:r>
              <w:rPr>
                <w:rFonts w:hint="eastAsia" w:ascii="宋体" w:hAnsi="宋体" w:eastAsia="宋体" w:cs="宋体"/>
                <w:color w:val="auto"/>
                <w:kern w:val="0"/>
                <w:sz w:val="24"/>
                <w:szCs w:val="24"/>
                <w:highlight w:val="none"/>
                <w:lang w:bidi="ar"/>
              </w:rPr>
              <w:t>硫化氢亚甲蓝分光光度法）</w:t>
            </w:r>
          </w:p>
        </w:tc>
        <w:tc>
          <w:tcPr>
            <w:tcW w:w="392" w:type="pct"/>
            <w:tcBorders>
              <w:tl2br w:val="nil"/>
              <w:tr2bl w:val="nil"/>
            </w:tcBorders>
            <w:shd w:val="clear" w:color="auto" w:fill="auto"/>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可见</w:t>
            </w:r>
            <w:r>
              <w:rPr>
                <w:rFonts w:hint="eastAsia" w:ascii="宋体" w:hAnsi="宋体" w:eastAsia="宋体" w:cs="宋体"/>
                <w:color w:val="000000" w:themeColor="text1"/>
                <w:sz w:val="24"/>
                <w:szCs w:val="24"/>
                <w:highlight w:val="none"/>
                <w14:textFill>
                  <w14:solidFill>
                    <w14:schemeClr w14:val="tx1"/>
                  </w14:solidFill>
                </w14:textFill>
              </w:rPr>
              <w:t>分光光度计</w:t>
            </w:r>
          </w:p>
        </w:tc>
        <w:tc>
          <w:tcPr>
            <w:tcW w:w="685" w:type="pct"/>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4" w:hRule="atLeast"/>
        </w:trPr>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205" w:type="pct"/>
            <w:tcBorders>
              <w:tl2br w:val="nil"/>
              <w:tr2bl w:val="nil"/>
            </w:tcBorders>
            <w:shd w:val="clear" w:color="auto" w:fill="auto"/>
            <w:vAlign w:val="center"/>
          </w:tcPr>
          <w:p>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XF</w:t>
            </w:r>
            <w:r>
              <w:rPr>
                <w:rFonts w:hint="eastAsia" w:ascii="宋体" w:hAnsi="宋体" w:eastAsia="宋体" w:cs="宋体"/>
                <w:color w:val="auto"/>
                <w:kern w:val="0"/>
                <w:sz w:val="24"/>
                <w:szCs w:val="24"/>
                <w:highlight w:val="none"/>
                <w:lang w:bidi="ar"/>
              </w:rPr>
              <w:t>00</w:t>
            </w:r>
            <w:r>
              <w:rPr>
                <w:rFonts w:hint="eastAsia" w:ascii="宋体" w:hAnsi="宋体" w:eastAsia="宋体" w:cs="宋体"/>
                <w:color w:val="auto"/>
                <w:kern w:val="0"/>
                <w:sz w:val="24"/>
                <w:szCs w:val="24"/>
                <w:highlight w:val="none"/>
                <w:lang w:val="en-US" w:eastAsia="zh-CN" w:bidi="ar"/>
              </w:rPr>
              <w:t>3</w:t>
            </w:r>
          </w:p>
        </w:tc>
        <w:tc>
          <w:tcPr>
            <w:tcW w:w="198" w:type="pct"/>
            <w:tcBorders>
              <w:tl2br w:val="nil"/>
              <w:tr2bl w:val="nil"/>
            </w:tcBorders>
            <w:shd w:val="clear" w:color="auto" w:fill="auto"/>
            <w:vAlign w:val="center"/>
          </w:tcPr>
          <w:p>
            <w:pPr>
              <w:widowControl/>
              <w:jc w:val="center"/>
              <w:textAlignment w:val="center"/>
              <w:rPr>
                <w:rFonts w:hint="default"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厂界下风向3</w:t>
            </w:r>
          </w:p>
        </w:tc>
        <w:tc>
          <w:tcPr>
            <w:tcW w:w="176"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硫化氢</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673"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286" w:type="pct"/>
            <w:tcBorders>
              <w:tl2br w:val="nil"/>
              <w:tr2bl w:val="nil"/>
            </w:tcBorders>
            <w:shd w:val="clear" w:color="auto" w:fill="auto"/>
            <w:vAlign w:val="center"/>
          </w:tcPr>
          <w:p>
            <w:pPr>
              <w:widowControl/>
              <w:jc w:val="center"/>
              <w:textAlignment w:val="center"/>
              <w:rPr>
                <w:rFonts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上限:0.06mg/</w:t>
            </w:r>
            <w:r>
              <w:rPr>
                <w:rFonts w:hint="eastAsia" w:ascii="宋体" w:hAnsi="宋体" w:eastAsia="宋体" w:cs="宋体"/>
                <w:color w:val="000000" w:themeColor="text1"/>
                <w:kern w:val="0"/>
                <w:sz w:val="24"/>
                <w:szCs w:val="24"/>
                <w:highlight w:val="none"/>
                <w14:textFill>
                  <w14:solidFill>
                    <w14:schemeClr w14:val="tx1"/>
                  </w14:solidFill>
                </w14:textFill>
              </w:rPr>
              <w:t>Nm</w:t>
            </w:r>
            <w:r>
              <w:rPr>
                <w:rFonts w:hint="eastAsia" w:ascii="宋体" w:hAnsi="宋体" w:eastAsia="宋体" w:cs="宋体"/>
                <w:color w:val="000000" w:themeColor="text1"/>
                <w:kern w:val="0"/>
                <w:sz w:val="24"/>
                <w:szCs w:val="24"/>
                <w:highlight w:val="none"/>
                <w:vertAlign w:val="superscript"/>
                <w14:textFill>
                  <w14:solidFill>
                    <w14:schemeClr w14:val="tx1"/>
                  </w14:solidFill>
                </w14:textFill>
              </w:rPr>
              <w:t>3</w:t>
            </w:r>
          </w:p>
        </w:tc>
        <w:tc>
          <w:tcPr>
            <w:tcW w:w="331" w:type="pct"/>
            <w:tcBorders>
              <w:tl2br w:val="nil"/>
              <w:tr2bl w:val="nil"/>
            </w:tcBorders>
            <w:shd w:val="clear" w:color="auto" w:fill="auto"/>
            <w:vAlign w:val="center"/>
          </w:tcPr>
          <w:p>
            <w:pPr>
              <w:widowControl/>
              <w:jc w:val="center"/>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0.00</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color w:val="000000" w:themeColor="text1"/>
                <w:kern w:val="0"/>
                <w:sz w:val="24"/>
                <w:szCs w:val="24"/>
                <w:highlight w:val="none"/>
                <w14:textFill>
                  <w14:solidFill>
                    <w14:schemeClr w14:val="tx1"/>
                  </w14:solidFill>
                </w14:textFill>
              </w:rPr>
              <w:t>mg/Nm</w:t>
            </w:r>
            <w:r>
              <w:rPr>
                <w:rFonts w:hint="eastAsia" w:ascii="宋体" w:hAnsi="宋体" w:eastAsia="宋体" w:cs="宋体"/>
                <w:color w:val="000000" w:themeColor="text1"/>
                <w:kern w:val="0"/>
                <w:sz w:val="24"/>
                <w:szCs w:val="24"/>
                <w:highlight w:val="none"/>
                <w:vertAlign w:val="superscript"/>
                <w14:textFill>
                  <w14:solidFill>
                    <w14:schemeClr w14:val="tx1"/>
                  </w14:solidFill>
                </w14:textFill>
              </w:rPr>
              <w:t>3</w:t>
            </w:r>
          </w:p>
        </w:tc>
        <w:tc>
          <w:tcPr>
            <w:tcW w:w="416"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379"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707"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《空气和废气监测分析方法》（第四版）国家环境保护总局（2003年）</w:t>
            </w:r>
            <w:r>
              <w:rPr>
                <w:rFonts w:hint="eastAsia" w:ascii="宋体" w:hAnsi="宋体" w:eastAsia="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bidi="ar"/>
              </w:rPr>
              <w:t>.</w:t>
            </w:r>
            <w:r>
              <w:rPr>
                <w:rFonts w:hint="eastAsia" w:ascii="宋体" w:hAnsi="宋体" w:eastAsia="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bidi="ar"/>
              </w:rPr>
              <w:t>.1</w:t>
            </w:r>
            <w:r>
              <w:rPr>
                <w:rFonts w:hint="eastAsia" w:ascii="宋体" w:hAnsi="宋体" w:eastAsia="宋体" w:cs="宋体"/>
                <w:color w:val="auto"/>
                <w:kern w:val="0"/>
                <w:sz w:val="24"/>
                <w:szCs w:val="24"/>
                <w:highlight w:val="none"/>
                <w:lang w:val="en-US" w:eastAsia="zh-CN" w:bidi="ar"/>
              </w:rPr>
              <w:t>1.2</w:t>
            </w:r>
            <w:r>
              <w:rPr>
                <w:rFonts w:hint="eastAsia" w:ascii="宋体" w:hAnsi="宋体" w:eastAsia="宋体" w:cs="宋体"/>
                <w:color w:val="auto"/>
                <w:kern w:val="0"/>
                <w:sz w:val="24"/>
                <w:szCs w:val="24"/>
                <w:highlight w:val="none"/>
                <w:lang w:bidi="ar"/>
              </w:rPr>
              <w:t>）</w:t>
            </w:r>
            <w:r>
              <w:rPr>
                <w:rFonts w:hint="eastAsia" w:ascii="宋体" w:hAnsi="宋体" w:eastAsia="宋体" w:cs="宋体"/>
                <w:color w:val="auto"/>
                <w:kern w:val="0"/>
                <w:sz w:val="24"/>
                <w:szCs w:val="24"/>
                <w:highlight w:val="none"/>
                <w:lang w:val="en-US" w:eastAsia="zh-CN" w:bidi="ar"/>
              </w:rPr>
              <w:t>空气质量监测</w:t>
            </w:r>
            <w:r>
              <w:rPr>
                <w:rFonts w:hint="eastAsia" w:ascii="宋体" w:hAnsi="宋体" w:eastAsia="宋体" w:cs="宋体"/>
                <w:color w:val="auto"/>
                <w:kern w:val="0"/>
                <w:sz w:val="24"/>
                <w:szCs w:val="24"/>
                <w:highlight w:val="none"/>
                <w:lang w:bidi="ar"/>
              </w:rPr>
              <w:t>硫化氢亚甲蓝分光光度法</w:t>
            </w:r>
          </w:p>
        </w:tc>
        <w:tc>
          <w:tcPr>
            <w:tcW w:w="392" w:type="pct"/>
            <w:tcBorders>
              <w:tl2br w:val="nil"/>
              <w:tr2bl w:val="nil"/>
            </w:tcBorders>
            <w:shd w:val="clear" w:color="auto" w:fill="auto"/>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可见</w:t>
            </w:r>
            <w:r>
              <w:rPr>
                <w:rFonts w:hint="eastAsia" w:ascii="宋体" w:hAnsi="宋体" w:eastAsia="宋体" w:cs="宋体"/>
                <w:color w:val="000000" w:themeColor="text1"/>
                <w:sz w:val="24"/>
                <w:szCs w:val="24"/>
                <w:highlight w:val="none"/>
                <w14:textFill>
                  <w14:solidFill>
                    <w14:schemeClr w14:val="tx1"/>
                  </w14:solidFill>
                </w14:textFill>
              </w:rPr>
              <w:t>分光光度计</w:t>
            </w:r>
          </w:p>
        </w:tc>
        <w:tc>
          <w:tcPr>
            <w:tcW w:w="685" w:type="pct"/>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4" w:hRule="atLeast"/>
        </w:trPr>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205" w:type="pct"/>
            <w:tcBorders>
              <w:tl2br w:val="nil"/>
              <w:tr2bl w:val="nil"/>
            </w:tcBorders>
            <w:shd w:val="clear" w:color="auto" w:fill="auto"/>
            <w:vAlign w:val="center"/>
          </w:tcPr>
          <w:p>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XF</w:t>
            </w:r>
            <w:r>
              <w:rPr>
                <w:rFonts w:hint="eastAsia" w:ascii="宋体" w:hAnsi="宋体" w:eastAsia="宋体" w:cs="宋体"/>
                <w:color w:val="auto"/>
                <w:kern w:val="0"/>
                <w:sz w:val="24"/>
                <w:szCs w:val="24"/>
                <w:highlight w:val="none"/>
                <w:lang w:bidi="ar"/>
              </w:rPr>
              <w:t>00</w:t>
            </w:r>
            <w:r>
              <w:rPr>
                <w:rFonts w:hint="eastAsia" w:ascii="宋体" w:hAnsi="宋体" w:eastAsia="宋体" w:cs="宋体"/>
                <w:color w:val="auto"/>
                <w:kern w:val="0"/>
                <w:sz w:val="24"/>
                <w:szCs w:val="24"/>
                <w:highlight w:val="none"/>
                <w:lang w:val="en-US" w:eastAsia="zh-CN" w:bidi="ar"/>
              </w:rPr>
              <w:t>4</w:t>
            </w:r>
          </w:p>
        </w:tc>
        <w:tc>
          <w:tcPr>
            <w:tcW w:w="198" w:type="pct"/>
            <w:tcBorders>
              <w:tl2br w:val="nil"/>
              <w:tr2bl w:val="nil"/>
            </w:tcBorders>
            <w:shd w:val="clear" w:color="auto" w:fill="auto"/>
            <w:vAlign w:val="center"/>
          </w:tcPr>
          <w:p>
            <w:pPr>
              <w:widowControl/>
              <w:jc w:val="center"/>
              <w:textAlignment w:val="center"/>
              <w:rPr>
                <w:rFonts w:hint="default"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厂界下风向4</w:t>
            </w:r>
          </w:p>
        </w:tc>
        <w:tc>
          <w:tcPr>
            <w:tcW w:w="176"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硫化氢</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673"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286" w:type="pct"/>
            <w:tcBorders>
              <w:tl2br w:val="nil"/>
              <w:tr2bl w:val="nil"/>
            </w:tcBorders>
            <w:shd w:val="clear" w:color="auto" w:fill="auto"/>
            <w:vAlign w:val="center"/>
          </w:tcPr>
          <w:p>
            <w:pPr>
              <w:widowControl/>
              <w:jc w:val="center"/>
              <w:textAlignment w:val="center"/>
              <w:rPr>
                <w:rFonts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上限:0.06mg/</w:t>
            </w:r>
            <w:r>
              <w:rPr>
                <w:rFonts w:hint="eastAsia" w:ascii="宋体" w:hAnsi="宋体" w:eastAsia="宋体" w:cs="宋体"/>
                <w:color w:val="000000" w:themeColor="text1"/>
                <w:kern w:val="0"/>
                <w:sz w:val="24"/>
                <w:szCs w:val="24"/>
                <w:highlight w:val="none"/>
                <w14:textFill>
                  <w14:solidFill>
                    <w14:schemeClr w14:val="tx1"/>
                  </w14:solidFill>
                </w14:textFill>
              </w:rPr>
              <w:t>Nm</w:t>
            </w:r>
            <w:r>
              <w:rPr>
                <w:rFonts w:hint="eastAsia" w:ascii="宋体" w:hAnsi="宋体" w:eastAsia="宋体" w:cs="宋体"/>
                <w:color w:val="000000" w:themeColor="text1"/>
                <w:kern w:val="0"/>
                <w:sz w:val="24"/>
                <w:szCs w:val="24"/>
                <w:highlight w:val="none"/>
                <w:vertAlign w:val="superscript"/>
                <w14:textFill>
                  <w14:solidFill>
                    <w14:schemeClr w14:val="tx1"/>
                  </w14:solidFill>
                </w14:textFill>
              </w:rPr>
              <w:t>3</w:t>
            </w:r>
          </w:p>
        </w:tc>
        <w:tc>
          <w:tcPr>
            <w:tcW w:w="331" w:type="pct"/>
            <w:tcBorders>
              <w:tl2br w:val="nil"/>
              <w:tr2bl w:val="nil"/>
            </w:tcBorders>
            <w:shd w:val="clear" w:color="auto" w:fill="auto"/>
            <w:vAlign w:val="center"/>
          </w:tcPr>
          <w:p>
            <w:pPr>
              <w:widowControl/>
              <w:jc w:val="center"/>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0.00</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color w:val="000000" w:themeColor="text1"/>
                <w:kern w:val="0"/>
                <w:sz w:val="24"/>
                <w:szCs w:val="24"/>
                <w:highlight w:val="none"/>
                <w14:textFill>
                  <w14:solidFill>
                    <w14:schemeClr w14:val="tx1"/>
                  </w14:solidFill>
                </w14:textFill>
              </w:rPr>
              <w:t>mg/Nm</w:t>
            </w:r>
            <w:r>
              <w:rPr>
                <w:rFonts w:hint="eastAsia" w:ascii="宋体" w:hAnsi="宋体" w:eastAsia="宋体" w:cs="宋体"/>
                <w:color w:val="000000" w:themeColor="text1"/>
                <w:kern w:val="0"/>
                <w:sz w:val="24"/>
                <w:szCs w:val="24"/>
                <w:highlight w:val="none"/>
                <w:vertAlign w:val="superscript"/>
                <w14:textFill>
                  <w14:solidFill>
                    <w14:schemeClr w14:val="tx1"/>
                  </w14:solidFill>
                </w14:textFill>
              </w:rPr>
              <w:t>33</w:t>
            </w:r>
          </w:p>
        </w:tc>
        <w:tc>
          <w:tcPr>
            <w:tcW w:w="416"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379"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1次/半年</w:t>
            </w:r>
          </w:p>
        </w:tc>
        <w:tc>
          <w:tcPr>
            <w:tcW w:w="707"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《空气和废气监测分析方法》（第四版）国家环境保护总局（2003年）</w:t>
            </w:r>
            <w:r>
              <w:rPr>
                <w:rFonts w:hint="eastAsia" w:ascii="宋体" w:hAnsi="宋体" w:eastAsia="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bidi="ar"/>
              </w:rPr>
              <w:t>.</w:t>
            </w:r>
            <w:r>
              <w:rPr>
                <w:rFonts w:hint="eastAsia" w:ascii="宋体" w:hAnsi="宋体" w:eastAsia="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bidi="ar"/>
              </w:rPr>
              <w:t>.1</w:t>
            </w:r>
            <w:r>
              <w:rPr>
                <w:rFonts w:hint="eastAsia" w:ascii="宋体" w:hAnsi="宋体" w:eastAsia="宋体" w:cs="宋体"/>
                <w:color w:val="auto"/>
                <w:kern w:val="0"/>
                <w:sz w:val="24"/>
                <w:szCs w:val="24"/>
                <w:highlight w:val="none"/>
                <w:lang w:val="en-US" w:eastAsia="zh-CN" w:bidi="ar"/>
              </w:rPr>
              <w:t>1.2</w:t>
            </w:r>
            <w:r>
              <w:rPr>
                <w:rFonts w:hint="eastAsia" w:ascii="宋体" w:hAnsi="宋体" w:eastAsia="宋体" w:cs="宋体"/>
                <w:color w:val="auto"/>
                <w:kern w:val="0"/>
                <w:sz w:val="24"/>
                <w:szCs w:val="24"/>
                <w:highlight w:val="none"/>
                <w:lang w:bidi="ar"/>
              </w:rPr>
              <w:t>）</w:t>
            </w:r>
            <w:r>
              <w:rPr>
                <w:rFonts w:hint="eastAsia" w:ascii="宋体" w:hAnsi="宋体" w:eastAsia="宋体" w:cs="宋体"/>
                <w:color w:val="auto"/>
                <w:kern w:val="0"/>
                <w:sz w:val="24"/>
                <w:szCs w:val="24"/>
                <w:highlight w:val="none"/>
                <w:lang w:val="en-US" w:eastAsia="zh-CN" w:bidi="ar"/>
              </w:rPr>
              <w:t>空气质量监测</w:t>
            </w:r>
            <w:r>
              <w:rPr>
                <w:rFonts w:hint="eastAsia" w:ascii="宋体" w:hAnsi="宋体" w:eastAsia="宋体" w:cs="宋体"/>
                <w:color w:val="auto"/>
                <w:kern w:val="0"/>
                <w:sz w:val="24"/>
                <w:szCs w:val="24"/>
                <w:highlight w:val="none"/>
                <w:lang w:bidi="ar"/>
              </w:rPr>
              <w:t>硫化氢亚甲蓝分光光度法</w:t>
            </w:r>
          </w:p>
        </w:tc>
        <w:tc>
          <w:tcPr>
            <w:tcW w:w="392" w:type="pct"/>
            <w:tcBorders>
              <w:tl2br w:val="nil"/>
              <w:tr2bl w:val="nil"/>
            </w:tcBorders>
            <w:shd w:val="clear" w:color="auto" w:fill="auto"/>
            <w:vAlign w:val="center"/>
          </w:tcPr>
          <w:p>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可见</w:t>
            </w:r>
            <w:r>
              <w:rPr>
                <w:rFonts w:hint="eastAsia" w:ascii="宋体" w:hAnsi="宋体" w:eastAsia="宋体" w:cs="宋体"/>
                <w:color w:val="000000" w:themeColor="text1"/>
                <w:sz w:val="24"/>
                <w:szCs w:val="24"/>
                <w:highlight w:val="none"/>
                <w14:textFill>
                  <w14:solidFill>
                    <w14:schemeClr w14:val="tx1"/>
                  </w14:solidFill>
                </w14:textFill>
              </w:rPr>
              <w:t>分光光度计</w:t>
            </w:r>
          </w:p>
        </w:tc>
        <w:tc>
          <w:tcPr>
            <w:tcW w:w="685" w:type="pct"/>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4" w:hRule="atLeast"/>
        </w:trPr>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13</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废气</w:t>
            </w:r>
          </w:p>
        </w:tc>
        <w:tc>
          <w:tcPr>
            <w:tcW w:w="205"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CN001</w:t>
            </w:r>
          </w:p>
        </w:tc>
        <w:tc>
          <w:tcPr>
            <w:tcW w:w="198" w:type="pct"/>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厂区体积浓度最高处</w:t>
            </w:r>
          </w:p>
        </w:tc>
        <w:tc>
          <w:tcPr>
            <w:tcW w:w="176"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甲烷</w:t>
            </w:r>
          </w:p>
        </w:tc>
        <w:tc>
          <w:tcPr>
            <w:tcW w:w="18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673"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286" w:type="pct"/>
            <w:tcBorders>
              <w:tl2br w:val="nil"/>
              <w:tr2bl w:val="nil"/>
            </w:tcBorders>
            <w:shd w:val="clear" w:color="auto" w:fill="auto"/>
            <w:vAlign w:val="center"/>
          </w:tcPr>
          <w:p>
            <w:pPr>
              <w:widowControl/>
              <w:jc w:val="center"/>
              <w:textAlignment w:val="center"/>
              <w:rPr>
                <w:rFonts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上限:1%</w:t>
            </w:r>
          </w:p>
        </w:tc>
        <w:tc>
          <w:tcPr>
            <w:tcW w:w="331" w:type="pct"/>
            <w:tcBorders>
              <w:tl2br w:val="nil"/>
              <w:tr2bl w:val="nil"/>
            </w:tcBorders>
            <w:shd w:val="clear" w:color="auto" w:fill="auto"/>
            <w:vAlign w:val="center"/>
          </w:tcPr>
          <w:p>
            <w:pPr>
              <w:widowControl/>
              <w:jc w:val="center"/>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0.06</w:t>
            </w:r>
            <w:r>
              <w:rPr>
                <w:rFonts w:hint="eastAsia" w:ascii="宋体" w:hAnsi="宋体" w:eastAsia="宋体" w:cs="宋体"/>
                <w:color w:val="000000" w:themeColor="text1"/>
                <w:kern w:val="0"/>
                <w:sz w:val="24"/>
                <w:szCs w:val="24"/>
                <w14:textFill>
                  <w14:solidFill>
                    <w14:schemeClr w14:val="tx1"/>
                  </w14:solidFill>
                </w14:textFill>
              </w:rPr>
              <w:t>mg/</w:t>
            </w:r>
            <w:r>
              <w:rPr>
                <w:rFonts w:hint="eastAsia" w:ascii="宋体" w:hAnsi="宋体" w:eastAsia="宋体" w:cs="宋体"/>
                <w:color w:val="000000" w:themeColor="text1"/>
                <w:kern w:val="0"/>
                <w:sz w:val="24"/>
                <w:szCs w:val="24"/>
                <w:highlight w:val="none"/>
                <w14:textFill>
                  <w14:solidFill>
                    <w14:schemeClr w14:val="tx1"/>
                  </w14:solidFill>
                </w14:textFill>
              </w:rPr>
              <w:t>Nm</w:t>
            </w:r>
            <w:r>
              <w:rPr>
                <w:rFonts w:hint="eastAsia" w:ascii="宋体" w:hAnsi="宋体" w:eastAsia="宋体" w:cs="宋体"/>
                <w:color w:val="000000" w:themeColor="text1"/>
                <w:kern w:val="0"/>
                <w:sz w:val="24"/>
                <w:szCs w:val="24"/>
                <w:highlight w:val="none"/>
                <w:vertAlign w:val="superscript"/>
                <w14:textFill>
                  <w14:solidFill>
                    <w14:schemeClr w14:val="tx1"/>
                  </w14:solidFill>
                </w14:textFill>
              </w:rPr>
              <w:t>3</w:t>
            </w:r>
          </w:p>
        </w:tc>
        <w:tc>
          <w:tcPr>
            <w:tcW w:w="416"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379"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1次/年</w:t>
            </w:r>
          </w:p>
        </w:tc>
        <w:tc>
          <w:tcPr>
            <w:tcW w:w="707" w:type="pct"/>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 环境空气 总烃、甲烷和非甲烷总烃的测定 直接进样-气相色谱法 HJ 604-2017</w:t>
            </w:r>
          </w:p>
        </w:tc>
        <w:tc>
          <w:tcPr>
            <w:tcW w:w="392"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气相色谱仪</w:t>
            </w:r>
          </w:p>
        </w:tc>
        <w:tc>
          <w:tcPr>
            <w:tcW w:w="685" w:type="pct"/>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4" w:hRule="atLeast"/>
        </w:trPr>
        <w:tc>
          <w:tcPr>
            <w:tcW w:w="182" w:type="pct"/>
            <w:tcBorders>
              <w:tl2br w:val="nil"/>
              <w:tr2bl w:val="nil"/>
            </w:tcBorders>
            <w:shd w:val="clear" w:color="auto" w:fill="auto"/>
            <w:vAlign w:val="center"/>
          </w:tcPr>
          <w:p>
            <w:pPr>
              <w:widowControl/>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14</w:t>
            </w:r>
          </w:p>
        </w:tc>
        <w:tc>
          <w:tcPr>
            <w:tcW w:w="182" w:type="pct"/>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废气</w:t>
            </w:r>
          </w:p>
        </w:tc>
        <w:tc>
          <w:tcPr>
            <w:tcW w:w="205" w:type="pct"/>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CN00</w:t>
            </w:r>
            <w:r>
              <w:rPr>
                <w:rFonts w:hint="eastAsia" w:ascii="宋体" w:hAnsi="宋体" w:eastAsia="宋体" w:cs="宋体"/>
                <w:color w:val="auto"/>
                <w:sz w:val="24"/>
                <w:szCs w:val="24"/>
                <w:highlight w:val="none"/>
                <w:lang w:val="en-US" w:eastAsia="zh-CN"/>
              </w:rPr>
              <w:t>2</w:t>
            </w:r>
          </w:p>
        </w:tc>
        <w:tc>
          <w:tcPr>
            <w:tcW w:w="198" w:type="pct"/>
            <w:tcBorders>
              <w:tl2br w:val="nil"/>
              <w:tr2bl w:val="nil"/>
            </w:tcBorders>
            <w:shd w:val="clear" w:color="auto" w:fill="auto"/>
            <w:vAlign w:val="center"/>
          </w:tcPr>
          <w:p>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厂区体积浓度最高处</w:t>
            </w:r>
          </w:p>
        </w:tc>
        <w:tc>
          <w:tcPr>
            <w:tcW w:w="176" w:type="pct"/>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甲烷</w:t>
            </w:r>
          </w:p>
        </w:tc>
        <w:tc>
          <w:tcPr>
            <w:tcW w:w="182" w:type="pct"/>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手工</w:t>
            </w:r>
          </w:p>
        </w:tc>
        <w:tc>
          <w:tcPr>
            <w:tcW w:w="673" w:type="pct"/>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《城镇污水处理厂污染物排放标准》（GB18918-2002）二级标准排放</w:t>
            </w:r>
          </w:p>
        </w:tc>
        <w:tc>
          <w:tcPr>
            <w:tcW w:w="286" w:type="pct"/>
            <w:tcBorders>
              <w:tl2br w:val="nil"/>
              <w:tr2bl w:val="nil"/>
            </w:tcBorders>
            <w:shd w:val="clear" w:color="auto" w:fill="auto"/>
            <w:vAlign w:val="center"/>
          </w:tcPr>
          <w:p>
            <w:pPr>
              <w:widowControl/>
              <w:jc w:val="center"/>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上限:1%</w:t>
            </w:r>
          </w:p>
        </w:tc>
        <w:tc>
          <w:tcPr>
            <w:tcW w:w="331" w:type="pct"/>
            <w:tcBorders>
              <w:tl2br w:val="nil"/>
              <w:tr2bl w:val="nil"/>
            </w:tcBorders>
            <w:shd w:val="clear" w:color="auto" w:fill="auto"/>
            <w:vAlign w:val="center"/>
          </w:tcPr>
          <w:p>
            <w:pPr>
              <w:widowControl/>
              <w:jc w:val="center"/>
              <w:textAlignment w:val="center"/>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0.06</w:t>
            </w:r>
            <w:r>
              <w:rPr>
                <w:rFonts w:hint="eastAsia" w:ascii="宋体" w:hAnsi="宋体" w:eastAsia="宋体" w:cs="宋体"/>
                <w:color w:val="000000" w:themeColor="text1"/>
                <w:kern w:val="0"/>
                <w:sz w:val="24"/>
                <w:szCs w:val="24"/>
                <w14:textFill>
                  <w14:solidFill>
                    <w14:schemeClr w14:val="tx1"/>
                  </w14:solidFill>
                </w14:textFill>
              </w:rPr>
              <w:t>mg/</w:t>
            </w:r>
            <w:r>
              <w:rPr>
                <w:rFonts w:hint="eastAsia" w:ascii="宋体" w:hAnsi="宋体" w:eastAsia="宋体" w:cs="宋体"/>
                <w:color w:val="000000" w:themeColor="text1"/>
                <w:kern w:val="0"/>
                <w:sz w:val="24"/>
                <w:szCs w:val="24"/>
                <w:highlight w:val="none"/>
                <w14:textFill>
                  <w14:solidFill>
                    <w14:schemeClr w14:val="tx1"/>
                  </w14:solidFill>
                </w14:textFill>
              </w:rPr>
              <w:t>Nm</w:t>
            </w:r>
            <w:r>
              <w:rPr>
                <w:rFonts w:hint="eastAsia" w:ascii="宋体" w:hAnsi="宋体" w:eastAsia="宋体" w:cs="宋体"/>
                <w:color w:val="000000" w:themeColor="text1"/>
                <w:kern w:val="0"/>
                <w:sz w:val="24"/>
                <w:szCs w:val="24"/>
                <w:highlight w:val="none"/>
                <w:vertAlign w:val="superscript"/>
                <w14:textFill>
                  <w14:solidFill>
                    <w14:schemeClr w14:val="tx1"/>
                  </w14:solidFill>
                </w14:textFill>
              </w:rPr>
              <w:t>3</w:t>
            </w:r>
          </w:p>
        </w:tc>
        <w:tc>
          <w:tcPr>
            <w:tcW w:w="416" w:type="pct"/>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非连续采样 </w:t>
            </w:r>
          </w:p>
          <w:p>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至少</w:t>
            </w:r>
            <w:r>
              <w:rPr>
                <w:rFonts w:ascii="宋体" w:hAnsi="宋体" w:eastAsia="宋体" w:cs="宋体"/>
                <w:color w:val="auto"/>
                <w:kern w:val="0"/>
                <w:sz w:val="24"/>
                <w:szCs w:val="24"/>
                <w:highlight w:val="none"/>
                <w:lang w:bidi="ar"/>
              </w:rPr>
              <w:t>4</w:t>
            </w:r>
            <w:r>
              <w:rPr>
                <w:rFonts w:hint="eastAsia" w:ascii="宋体" w:hAnsi="宋体" w:eastAsia="宋体" w:cs="宋体"/>
                <w:color w:val="auto"/>
                <w:kern w:val="0"/>
                <w:sz w:val="24"/>
                <w:szCs w:val="24"/>
                <w:highlight w:val="none"/>
                <w:lang w:bidi="ar"/>
              </w:rPr>
              <w:t>个</w:t>
            </w:r>
          </w:p>
        </w:tc>
        <w:tc>
          <w:tcPr>
            <w:tcW w:w="379" w:type="pct"/>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1次/年</w:t>
            </w:r>
          </w:p>
        </w:tc>
        <w:tc>
          <w:tcPr>
            <w:tcW w:w="707" w:type="pct"/>
            <w:tcBorders>
              <w:tl2br w:val="nil"/>
              <w:tr2bl w:val="nil"/>
            </w:tcBorders>
            <w:shd w:val="clear" w:color="auto" w:fill="auto"/>
            <w:vAlign w:val="center"/>
          </w:tcPr>
          <w:p>
            <w:pPr>
              <w:widowControl/>
              <w:jc w:val="left"/>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 xml:space="preserve"> 环境空气 总烃、甲烷和非甲烷总烃的测定 直接进样-气相色谱法 HJ 604-2017</w:t>
            </w:r>
          </w:p>
        </w:tc>
        <w:tc>
          <w:tcPr>
            <w:tcW w:w="392" w:type="pct"/>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气相色谱仪</w:t>
            </w:r>
          </w:p>
        </w:tc>
        <w:tc>
          <w:tcPr>
            <w:tcW w:w="685" w:type="pct"/>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委托检测</w:t>
            </w:r>
          </w:p>
        </w:tc>
      </w:tr>
    </w:tbl>
    <w:p>
      <w:pPr>
        <w:pStyle w:val="3"/>
        <w:numPr>
          <w:ilvl w:val="0"/>
          <w:numId w:val="0"/>
        </w:numPr>
      </w:pPr>
    </w:p>
    <w:bookmarkEnd w:id="0"/>
    <w:p>
      <w:pPr>
        <w:adjustRightInd w:val="0"/>
        <w:snapToGrid w:val="0"/>
        <w:jc w:val="center"/>
        <w:rPr>
          <w:rFonts w:ascii="宋体" w:hAnsi="宋体" w:eastAsia="宋体" w:cs="宋体"/>
          <w:color w:val="auto"/>
          <w:sz w:val="28"/>
          <w:szCs w:val="28"/>
          <w:highlight w:val="none"/>
        </w:rPr>
      </w:pPr>
    </w:p>
    <w:p>
      <w:pPr>
        <w:rPr>
          <w:rFonts w:hint="eastAsia"/>
          <w:color w:val="000000" w:themeColor="text1"/>
          <w:sz w:val="28"/>
          <w:szCs w:val="28"/>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备注：</w:t>
      </w:r>
      <w:r>
        <w:rPr>
          <w:rFonts w:hint="eastAsia"/>
          <w:color w:val="000000" w:themeColor="text1"/>
          <w:sz w:val="28"/>
          <w:szCs w:val="28"/>
          <w14:textFill>
            <w14:solidFill>
              <w14:schemeClr w14:val="tx1"/>
            </w14:solidFill>
          </w14:textFill>
        </w:rPr>
        <w:t>厂界无组织废气每次监测前先确定风向在进行监测。</w:t>
      </w:r>
    </w:p>
    <w:p>
      <w:pPr>
        <w:pStyle w:val="3"/>
        <w:rPr>
          <w:rFonts w:hint="eastAsia"/>
          <w:color w:val="0000FF"/>
          <w:sz w:val="28"/>
          <w:szCs w:val="28"/>
        </w:rPr>
      </w:pPr>
    </w:p>
    <w:p/>
    <w:p>
      <w:pPr>
        <w:keepNext w:val="0"/>
        <w:keepLines w:val="0"/>
        <w:pageBreakBefore w:val="0"/>
        <w:widowControl w:val="0"/>
        <w:kinsoku/>
        <w:wordWrap/>
        <w:overflowPunct/>
        <w:topLinePunct w:val="0"/>
        <w:autoSpaceDE/>
        <w:autoSpaceDN/>
        <w:bidi w:val="0"/>
        <w:adjustRightInd w:val="0"/>
        <w:snapToGrid w:val="0"/>
        <w:spacing w:before="255" w:beforeLines="80"/>
        <w:jc w:val="left"/>
        <w:textAlignment w:val="auto"/>
        <w:outlineLvl w:val="1"/>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rPr>
        <w:t>、废水自行监测及记录信息表</w:t>
      </w:r>
    </w:p>
    <w:tbl>
      <w:tblPr>
        <w:tblStyle w:val="8"/>
        <w:tblW w:w="20480" w:type="dxa"/>
        <w:tblInd w:w="10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525"/>
        <w:gridCol w:w="180"/>
        <w:gridCol w:w="664"/>
        <w:gridCol w:w="900"/>
        <w:gridCol w:w="1125"/>
        <w:gridCol w:w="993"/>
        <w:gridCol w:w="636"/>
        <w:gridCol w:w="1859"/>
        <w:gridCol w:w="1212"/>
        <w:gridCol w:w="705"/>
        <w:gridCol w:w="705"/>
        <w:gridCol w:w="1320"/>
        <w:gridCol w:w="990"/>
        <w:gridCol w:w="1155"/>
        <w:gridCol w:w="1035"/>
        <w:gridCol w:w="1165"/>
        <w:gridCol w:w="1559"/>
        <w:gridCol w:w="992"/>
        <w:gridCol w:w="1418"/>
        <w:gridCol w:w="134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55" w:hRule="atLeast"/>
          <w:tblHeader/>
        </w:trPr>
        <w:tc>
          <w:tcPr>
            <w:tcW w:w="525" w:type="dxa"/>
            <w:tcBorders>
              <w:tl2br w:val="nil"/>
              <w:tr2bl w:val="nil"/>
            </w:tcBorders>
            <w:shd w:val="clear" w:color="auto" w:fill="auto"/>
            <w:vAlign w:val="center"/>
          </w:tcPr>
          <w:p>
            <w:pPr>
              <w:pStyle w:val="22"/>
              <w:adjustRightInd w:val="0"/>
              <w:snapToGrid w:val="0"/>
              <w:jc w:val="center"/>
              <w:rPr>
                <w:rFonts w:ascii="宋体" w:hAnsi="宋体" w:cs="宋体"/>
                <w:sz w:val="24"/>
                <w:szCs w:val="24"/>
              </w:rPr>
            </w:pPr>
            <w:r>
              <w:rPr>
                <w:rFonts w:hint="eastAsia" w:ascii="宋体" w:hAnsi="宋体" w:cs="宋体"/>
                <w:sz w:val="24"/>
                <w:szCs w:val="24"/>
              </w:rPr>
              <w:t>序号</w:t>
            </w:r>
          </w:p>
        </w:tc>
        <w:tc>
          <w:tcPr>
            <w:tcW w:w="844" w:type="dxa"/>
            <w:gridSpan w:val="2"/>
            <w:tcBorders>
              <w:tl2br w:val="nil"/>
              <w:tr2bl w:val="nil"/>
            </w:tcBorders>
            <w:shd w:val="clear" w:color="auto" w:fill="auto"/>
            <w:vAlign w:val="center"/>
          </w:tcPr>
          <w:p>
            <w:pPr>
              <w:pStyle w:val="22"/>
              <w:adjustRightInd w:val="0"/>
              <w:snapToGrid w:val="0"/>
              <w:jc w:val="center"/>
              <w:rPr>
                <w:rFonts w:ascii="宋体" w:hAnsi="宋体" w:cs="宋体"/>
                <w:sz w:val="24"/>
                <w:szCs w:val="24"/>
              </w:rPr>
            </w:pPr>
            <w:r>
              <w:rPr>
                <w:rFonts w:hint="eastAsia" w:ascii="宋体" w:hAnsi="宋体" w:cs="宋体"/>
                <w:sz w:val="24"/>
                <w:szCs w:val="24"/>
              </w:rPr>
              <w:t>污染源类别/监测类别</w:t>
            </w:r>
          </w:p>
        </w:tc>
        <w:tc>
          <w:tcPr>
            <w:tcW w:w="900" w:type="dxa"/>
            <w:tcBorders>
              <w:tl2br w:val="nil"/>
              <w:tr2bl w:val="nil"/>
            </w:tcBorders>
            <w:shd w:val="clear" w:color="auto" w:fill="auto"/>
            <w:vAlign w:val="center"/>
          </w:tcPr>
          <w:p>
            <w:pPr>
              <w:pStyle w:val="22"/>
              <w:adjustRightInd w:val="0"/>
              <w:snapToGrid w:val="0"/>
              <w:jc w:val="center"/>
              <w:rPr>
                <w:rFonts w:ascii="宋体" w:hAnsi="宋体" w:cs="宋体"/>
                <w:sz w:val="24"/>
                <w:szCs w:val="24"/>
              </w:rPr>
            </w:pPr>
            <w:r>
              <w:rPr>
                <w:rFonts w:hint="eastAsia" w:ascii="宋体" w:hAnsi="宋体" w:cs="宋体"/>
                <w:sz w:val="24"/>
                <w:szCs w:val="24"/>
              </w:rPr>
              <w:t>排放口编号/监测点位</w:t>
            </w:r>
          </w:p>
        </w:tc>
        <w:tc>
          <w:tcPr>
            <w:tcW w:w="1125" w:type="dxa"/>
            <w:tcBorders>
              <w:tl2br w:val="nil"/>
              <w:tr2bl w:val="nil"/>
            </w:tcBorders>
            <w:shd w:val="clear" w:color="auto" w:fill="auto"/>
            <w:vAlign w:val="center"/>
          </w:tcPr>
          <w:p>
            <w:pPr>
              <w:pStyle w:val="22"/>
              <w:adjustRightInd w:val="0"/>
              <w:snapToGrid w:val="0"/>
              <w:jc w:val="center"/>
              <w:rPr>
                <w:rFonts w:ascii="宋体" w:hAnsi="宋体" w:cs="宋体"/>
                <w:sz w:val="24"/>
                <w:szCs w:val="24"/>
              </w:rPr>
            </w:pPr>
            <w:r>
              <w:rPr>
                <w:rFonts w:hint="eastAsia" w:ascii="宋体" w:hAnsi="宋体" w:cs="宋体"/>
                <w:sz w:val="24"/>
                <w:szCs w:val="24"/>
              </w:rPr>
              <w:t>排放口名称/监测点位名称</w:t>
            </w:r>
          </w:p>
        </w:tc>
        <w:tc>
          <w:tcPr>
            <w:tcW w:w="993" w:type="dxa"/>
            <w:tcBorders>
              <w:tl2br w:val="nil"/>
              <w:tr2bl w:val="nil"/>
            </w:tcBorders>
            <w:shd w:val="clear" w:color="auto" w:fill="auto"/>
            <w:vAlign w:val="center"/>
          </w:tcPr>
          <w:p>
            <w:pPr>
              <w:pStyle w:val="22"/>
              <w:adjustRightInd w:val="0"/>
              <w:snapToGrid w:val="0"/>
              <w:jc w:val="center"/>
              <w:rPr>
                <w:rFonts w:ascii="宋体" w:hAnsi="宋体" w:cs="宋体"/>
                <w:sz w:val="24"/>
                <w:szCs w:val="24"/>
              </w:rPr>
            </w:pPr>
            <w:r>
              <w:rPr>
                <w:rFonts w:hint="eastAsia" w:ascii="宋体" w:hAnsi="宋体" w:cs="宋体"/>
                <w:sz w:val="24"/>
                <w:szCs w:val="24"/>
              </w:rPr>
              <w:t>监测指标</w:t>
            </w:r>
          </w:p>
        </w:tc>
        <w:tc>
          <w:tcPr>
            <w:tcW w:w="636" w:type="dxa"/>
            <w:tcBorders>
              <w:tl2br w:val="nil"/>
              <w:tr2bl w:val="nil"/>
            </w:tcBorders>
            <w:shd w:val="clear" w:color="auto" w:fill="auto"/>
            <w:vAlign w:val="center"/>
          </w:tcPr>
          <w:p>
            <w:pPr>
              <w:pStyle w:val="22"/>
              <w:adjustRightInd w:val="0"/>
              <w:snapToGrid w:val="0"/>
              <w:jc w:val="center"/>
              <w:rPr>
                <w:rFonts w:ascii="宋体" w:hAnsi="宋体" w:cs="宋体"/>
                <w:sz w:val="24"/>
                <w:szCs w:val="24"/>
              </w:rPr>
            </w:pPr>
            <w:r>
              <w:rPr>
                <w:rFonts w:hint="eastAsia" w:ascii="宋体" w:hAnsi="宋体" w:cs="宋体"/>
                <w:sz w:val="24"/>
                <w:szCs w:val="24"/>
              </w:rPr>
              <w:t>监测设施</w:t>
            </w:r>
          </w:p>
        </w:tc>
        <w:tc>
          <w:tcPr>
            <w:tcW w:w="1859" w:type="dxa"/>
            <w:tcBorders>
              <w:tl2br w:val="nil"/>
              <w:tr2bl w:val="nil"/>
            </w:tcBorders>
            <w:shd w:val="clear" w:color="auto" w:fill="auto"/>
            <w:vAlign w:val="center"/>
          </w:tcPr>
          <w:p>
            <w:pPr>
              <w:pStyle w:val="22"/>
              <w:adjustRightInd w:val="0"/>
              <w:snapToGrid w:val="0"/>
              <w:jc w:val="center"/>
              <w:rPr>
                <w:rFonts w:ascii="宋体" w:hAnsi="宋体" w:cs="宋体"/>
                <w:sz w:val="24"/>
                <w:szCs w:val="24"/>
                <w:highlight w:val="none"/>
              </w:rPr>
            </w:pPr>
            <w:r>
              <w:rPr>
                <w:rFonts w:hint="eastAsia" w:ascii="宋体" w:hAnsi="宋体" w:cs="宋体"/>
                <w:sz w:val="24"/>
                <w:szCs w:val="24"/>
                <w:highlight w:val="none"/>
              </w:rPr>
              <w:t>排放标准</w:t>
            </w:r>
          </w:p>
        </w:tc>
        <w:tc>
          <w:tcPr>
            <w:tcW w:w="1212" w:type="dxa"/>
            <w:tcBorders>
              <w:tl2br w:val="nil"/>
              <w:tr2bl w:val="nil"/>
            </w:tcBorders>
            <w:shd w:val="clear" w:color="auto" w:fill="auto"/>
            <w:vAlign w:val="center"/>
          </w:tcPr>
          <w:p>
            <w:pPr>
              <w:pStyle w:val="22"/>
              <w:adjustRightInd w:val="0"/>
              <w:snapToGrid w:val="0"/>
              <w:jc w:val="center"/>
              <w:rPr>
                <w:rFonts w:ascii="宋体" w:hAnsi="宋体" w:cs="宋体"/>
                <w:sz w:val="24"/>
                <w:szCs w:val="24"/>
                <w:highlight w:val="none"/>
              </w:rPr>
            </w:pPr>
            <w:r>
              <w:rPr>
                <w:rFonts w:hint="eastAsia" w:ascii="宋体" w:hAnsi="宋体" w:cs="宋体"/>
                <w:sz w:val="24"/>
                <w:szCs w:val="24"/>
                <w:highlight w:val="none"/>
              </w:rPr>
              <w:t>排放限值</w:t>
            </w:r>
          </w:p>
        </w:tc>
        <w:tc>
          <w:tcPr>
            <w:tcW w:w="705" w:type="dxa"/>
            <w:tcBorders>
              <w:tl2br w:val="nil"/>
              <w:tr2bl w:val="nil"/>
            </w:tcBorders>
            <w:shd w:val="clear" w:color="auto" w:fill="auto"/>
            <w:vAlign w:val="center"/>
          </w:tcPr>
          <w:p>
            <w:pPr>
              <w:pStyle w:val="22"/>
              <w:adjustRightInd w:val="0"/>
              <w:snapToGrid w:val="0"/>
              <w:jc w:val="center"/>
              <w:rPr>
                <w:rFonts w:hint="eastAsia" w:ascii="宋体" w:hAnsi="宋体" w:cs="宋体"/>
                <w:sz w:val="24"/>
                <w:szCs w:val="24"/>
                <w:highlight w:val="none"/>
              </w:rPr>
            </w:pPr>
            <w:r>
              <w:rPr>
                <w:rFonts w:hint="eastAsia" w:ascii="宋体" w:hAnsi="宋体" w:cs="宋体"/>
                <w:sz w:val="24"/>
                <w:szCs w:val="24"/>
                <w:highlight w:val="none"/>
              </w:rPr>
              <w:t>方法检出限</w:t>
            </w:r>
          </w:p>
        </w:tc>
        <w:tc>
          <w:tcPr>
            <w:tcW w:w="705" w:type="dxa"/>
            <w:tcBorders>
              <w:tl2br w:val="nil"/>
              <w:tr2bl w:val="nil"/>
            </w:tcBorders>
            <w:shd w:val="clear" w:color="auto" w:fill="auto"/>
            <w:vAlign w:val="center"/>
          </w:tcPr>
          <w:p>
            <w:pPr>
              <w:pStyle w:val="22"/>
              <w:adjustRightInd w:val="0"/>
              <w:snapToGrid w:val="0"/>
              <w:jc w:val="center"/>
              <w:rPr>
                <w:rFonts w:ascii="宋体" w:hAnsi="宋体" w:cs="宋体"/>
                <w:sz w:val="24"/>
                <w:szCs w:val="24"/>
                <w:highlight w:val="none"/>
              </w:rPr>
            </w:pPr>
            <w:r>
              <w:rPr>
                <w:rFonts w:hint="eastAsia" w:ascii="宋体" w:hAnsi="宋体" w:cs="宋体"/>
                <w:sz w:val="24"/>
                <w:szCs w:val="24"/>
                <w:highlight w:val="none"/>
              </w:rPr>
              <w:t>自动监测是否联网</w:t>
            </w:r>
          </w:p>
        </w:tc>
        <w:tc>
          <w:tcPr>
            <w:tcW w:w="1320" w:type="dxa"/>
            <w:tcBorders>
              <w:tl2br w:val="nil"/>
              <w:tr2bl w:val="nil"/>
            </w:tcBorders>
            <w:shd w:val="clear" w:color="auto" w:fill="auto"/>
            <w:vAlign w:val="center"/>
          </w:tcPr>
          <w:p>
            <w:pPr>
              <w:pStyle w:val="22"/>
              <w:adjustRightInd w:val="0"/>
              <w:snapToGrid w:val="0"/>
              <w:jc w:val="center"/>
              <w:rPr>
                <w:rFonts w:ascii="宋体" w:hAnsi="宋体" w:cs="宋体"/>
                <w:sz w:val="24"/>
                <w:szCs w:val="24"/>
                <w:highlight w:val="none"/>
              </w:rPr>
            </w:pPr>
            <w:r>
              <w:rPr>
                <w:rFonts w:hint="eastAsia" w:ascii="宋体" w:hAnsi="宋体" w:cs="宋体"/>
                <w:sz w:val="24"/>
                <w:szCs w:val="24"/>
                <w:highlight w:val="none"/>
              </w:rPr>
              <w:t>自动监测仪器名称</w:t>
            </w:r>
          </w:p>
        </w:tc>
        <w:tc>
          <w:tcPr>
            <w:tcW w:w="990" w:type="dxa"/>
            <w:tcBorders>
              <w:tl2br w:val="nil"/>
              <w:tr2bl w:val="nil"/>
            </w:tcBorders>
            <w:shd w:val="clear" w:color="auto" w:fill="auto"/>
            <w:vAlign w:val="center"/>
          </w:tcPr>
          <w:p>
            <w:pPr>
              <w:pStyle w:val="22"/>
              <w:adjustRightInd w:val="0"/>
              <w:snapToGrid w:val="0"/>
              <w:jc w:val="center"/>
              <w:rPr>
                <w:rFonts w:ascii="宋体" w:hAnsi="宋体" w:cs="宋体"/>
                <w:sz w:val="24"/>
                <w:szCs w:val="24"/>
                <w:highlight w:val="none"/>
              </w:rPr>
            </w:pPr>
            <w:r>
              <w:rPr>
                <w:rFonts w:hint="eastAsia" w:ascii="宋体" w:hAnsi="宋体" w:cs="宋体"/>
                <w:sz w:val="24"/>
                <w:szCs w:val="24"/>
                <w:highlight w:val="none"/>
              </w:rPr>
              <w:t>自动监测设施安装位置</w:t>
            </w:r>
          </w:p>
        </w:tc>
        <w:tc>
          <w:tcPr>
            <w:tcW w:w="1155" w:type="dxa"/>
            <w:tcBorders>
              <w:tl2br w:val="nil"/>
              <w:tr2bl w:val="nil"/>
            </w:tcBorders>
            <w:shd w:val="clear" w:color="auto" w:fill="auto"/>
            <w:vAlign w:val="center"/>
          </w:tcPr>
          <w:p>
            <w:pPr>
              <w:pStyle w:val="22"/>
              <w:adjustRightInd w:val="0"/>
              <w:snapToGrid w:val="0"/>
              <w:jc w:val="center"/>
              <w:rPr>
                <w:rFonts w:ascii="宋体" w:hAnsi="宋体" w:cs="宋体"/>
                <w:sz w:val="24"/>
                <w:szCs w:val="24"/>
                <w:highlight w:val="none"/>
              </w:rPr>
            </w:pPr>
            <w:r>
              <w:rPr>
                <w:rFonts w:hint="eastAsia" w:ascii="宋体" w:hAnsi="宋体" w:cs="宋体"/>
                <w:sz w:val="24"/>
                <w:szCs w:val="24"/>
                <w:highlight w:val="none"/>
              </w:rPr>
              <w:t>自动监测设施是否符合安装、运行、维护等管理要求</w:t>
            </w:r>
          </w:p>
        </w:tc>
        <w:tc>
          <w:tcPr>
            <w:tcW w:w="1035" w:type="dxa"/>
            <w:tcBorders>
              <w:tl2br w:val="nil"/>
              <w:tr2bl w:val="nil"/>
            </w:tcBorders>
            <w:shd w:val="clear" w:color="auto" w:fill="auto"/>
            <w:vAlign w:val="center"/>
          </w:tcPr>
          <w:p>
            <w:pPr>
              <w:pStyle w:val="22"/>
              <w:adjustRightInd w:val="0"/>
              <w:snapToGrid w:val="0"/>
              <w:jc w:val="center"/>
              <w:rPr>
                <w:rFonts w:ascii="宋体" w:hAnsi="宋体" w:cs="宋体"/>
                <w:sz w:val="24"/>
                <w:szCs w:val="24"/>
                <w:highlight w:val="none"/>
              </w:rPr>
            </w:pPr>
            <w:r>
              <w:rPr>
                <w:rFonts w:hint="eastAsia" w:ascii="宋体" w:hAnsi="宋体" w:cs="宋体"/>
                <w:sz w:val="24"/>
                <w:szCs w:val="24"/>
                <w:highlight w:val="none"/>
              </w:rPr>
              <w:t>手工监测采样方法及个数</w:t>
            </w:r>
          </w:p>
        </w:tc>
        <w:tc>
          <w:tcPr>
            <w:tcW w:w="1165" w:type="dxa"/>
            <w:tcBorders>
              <w:tl2br w:val="nil"/>
              <w:tr2bl w:val="nil"/>
            </w:tcBorders>
            <w:shd w:val="clear" w:color="auto" w:fill="auto"/>
            <w:vAlign w:val="center"/>
          </w:tcPr>
          <w:p>
            <w:pPr>
              <w:pStyle w:val="22"/>
              <w:adjustRightInd w:val="0"/>
              <w:snapToGrid w:val="0"/>
              <w:jc w:val="center"/>
              <w:rPr>
                <w:rFonts w:ascii="宋体" w:hAnsi="宋体" w:cs="宋体"/>
                <w:sz w:val="24"/>
                <w:szCs w:val="24"/>
                <w:highlight w:val="none"/>
              </w:rPr>
            </w:pPr>
            <w:r>
              <w:rPr>
                <w:rFonts w:hint="eastAsia" w:ascii="宋体" w:hAnsi="宋体" w:cs="宋体"/>
                <w:sz w:val="24"/>
                <w:szCs w:val="24"/>
                <w:highlight w:val="none"/>
              </w:rPr>
              <w:t>手工监测频次（处理量</w:t>
            </w:r>
            <w:r>
              <w:rPr>
                <w:rFonts w:hint="eastAsia" w:ascii="宋体" w:hAnsi="宋体" w:cs="宋体"/>
                <w:sz w:val="24"/>
                <w:szCs w:val="24"/>
                <w:highlight w:val="none"/>
                <w:lang w:val="en-US" w:eastAsia="zh-CN"/>
              </w:rPr>
              <w:t>≥</w:t>
            </w:r>
            <w:r>
              <w:rPr>
                <w:rFonts w:hint="eastAsia" w:ascii="宋体" w:hAnsi="宋体" w:cs="宋体"/>
                <w:sz w:val="24"/>
                <w:szCs w:val="24"/>
                <w:highlight w:val="none"/>
              </w:rPr>
              <w:t>2万吨/日）</w:t>
            </w:r>
          </w:p>
        </w:tc>
        <w:tc>
          <w:tcPr>
            <w:tcW w:w="1559" w:type="dxa"/>
            <w:tcBorders>
              <w:tl2br w:val="nil"/>
              <w:tr2bl w:val="nil"/>
            </w:tcBorders>
            <w:shd w:val="clear" w:color="auto" w:fill="auto"/>
            <w:vAlign w:val="center"/>
          </w:tcPr>
          <w:p>
            <w:pPr>
              <w:pStyle w:val="22"/>
              <w:adjustRightInd w:val="0"/>
              <w:snapToGrid w:val="0"/>
              <w:jc w:val="center"/>
              <w:rPr>
                <w:rFonts w:ascii="宋体" w:hAnsi="宋体" w:cs="宋体"/>
                <w:sz w:val="24"/>
                <w:szCs w:val="24"/>
                <w:highlight w:val="none"/>
              </w:rPr>
            </w:pPr>
            <w:r>
              <w:rPr>
                <w:rFonts w:hint="eastAsia" w:ascii="宋体" w:hAnsi="宋体" w:cs="宋体"/>
                <w:sz w:val="24"/>
                <w:szCs w:val="24"/>
                <w:highlight w:val="none"/>
              </w:rPr>
              <w:t>手工测定方法</w:t>
            </w:r>
          </w:p>
        </w:tc>
        <w:tc>
          <w:tcPr>
            <w:tcW w:w="992" w:type="dxa"/>
            <w:tcBorders>
              <w:tl2br w:val="nil"/>
              <w:tr2bl w:val="nil"/>
            </w:tcBorders>
            <w:shd w:val="clear" w:color="auto" w:fill="auto"/>
            <w:vAlign w:val="center"/>
          </w:tcPr>
          <w:p>
            <w:pPr>
              <w:pStyle w:val="22"/>
              <w:adjustRightInd w:val="0"/>
              <w:snapToGrid w:val="0"/>
              <w:jc w:val="center"/>
              <w:rPr>
                <w:rFonts w:ascii="宋体" w:hAnsi="宋体" w:cs="宋体"/>
                <w:sz w:val="24"/>
                <w:szCs w:val="24"/>
              </w:rPr>
            </w:pPr>
            <w:r>
              <w:rPr>
                <w:rFonts w:hint="eastAsia" w:ascii="宋体" w:hAnsi="宋体" w:cs="宋体"/>
                <w:sz w:val="24"/>
                <w:szCs w:val="24"/>
              </w:rPr>
              <w:t>手工检测设备</w:t>
            </w:r>
          </w:p>
        </w:tc>
        <w:tc>
          <w:tcPr>
            <w:tcW w:w="1418" w:type="dxa"/>
            <w:tcBorders>
              <w:tl2br w:val="nil"/>
              <w:tr2bl w:val="nil"/>
            </w:tcBorders>
            <w:shd w:val="clear" w:color="auto" w:fill="auto"/>
            <w:vAlign w:val="center"/>
          </w:tcPr>
          <w:p>
            <w:pPr>
              <w:pStyle w:val="22"/>
              <w:adjustRightInd w:val="0"/>
              <w:snapToGrid w:val="0"/>
              <w:jc w:val="center"/>
              <w:rPr>
                <w:rFonts w:ascii="宋体" w:hAnsi="宋体" w:cs="宋体"/>
                <w:sz w:val="24"/>
                <w:szCs w:val="24"/>
              </w:rPr>
            </w:pPr>
            <w:r>
              <w:rPr>
                <w:rFonts w:hint="eastAsia" w:ascii="宋体" w:hAnsi="宋体" w:cs="宋体"/>
                <w:sz w:val="24"/>
                <w:szCs w:val="24"/>
              </w:rPr>
              <w:t>样品保存</w:t>
            </w:r>
          </w:p>
        </w:tc>
        <w:tc>
          <w:tcPr>
            <w:tcW w:w="1342" w:type="dxa"/>
            <w:tcBorders>
              <w:tl2br w:val="nil"/>
              <w:tr2bl w:val="nil"/>
            </w:tcBorders>
            <w:shd w:val="clear" w:color="auto" w:fill="auto"/>
            <w:vAlign w:val="center"/>
          </w:tcPr>
          <w:p>
            <w:pPr>
              <w:pStyle w:val="22"/>
              <w:adjustRightInd w:val="0"/>
              <w:snapToGrid w:val="0"/>
              <w:jc w:val="center"/>
              <w:rPr>
                <w:rFonts w:ascii="宋体" w:hAnsi="宋体" w:cs="宋体"/>
                <w:sz w:val="24"/>
                <w:szCs w:val="24"/>
              </w:rPr>
            </w:pPr>
            <w:r>
              <w:rPr>
                <w:rFonts w:hint="eastAsia" w:ascii="宋体" w:hAnsi="宋体" w:cs="宋体"/>
                <w:sz w:val="24"/>
                <w:szCs w:val="24"/>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013" w:hRule="atLeast"/>
        </w:trPr>
        <w:tc>
          <w:tcPr>
            <w:tcW w:w="525" w:type="dxa"/>
            <w:tcBorders>
              <w:tl2br w:val="nil"/>
              <w:tr2bl w:val="nil"/>
            </w:tcBorders>
            <w:shd w:val="clear" w:color="auto" w:fill="auto"/>
            <w:vAlign w:val="center"/>
          </w:tcPr>
          <w:p>
            <w:pPr>
              <w:widowControl/>
              <w:jc w:val="center"/>
              <w:textAlignment w:val="center"/>
            </w:pPr>
          </w:p>
          <w:p>
            <w:pPr>
              <w:pStyle w:val="3"/>
            </w:pP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DW001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污水排放口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pH值</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自动</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《城镇污水处理厂污染物排放标准》（GB18918-2002）一级A标准排放</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6-9（无量纲）</w:t>
            </w:r>
          </w:p>
        </w:tc>
        <w:tc>
          <w:tcPr>
            <w:tcW w:w="705" w:type="dxa"/>
            <w:tcBorders>
              <w:tl2br w:val="nil"/>
              <w:tr2bl w:val="nil"/>
            </w:tcBorders>
            <w:shd w:val="clear" w:color="auto" w:fill="auto"/>
            <w:vAlign w:val="center"/>
          </w:tcPr>
          <w:p>
            <w:pPr>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w:t>
            </w:r>
          </w:p>
        </w:tc>
        <w:tc>
          <w:tcPr>
            <w:tcW w:w="70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是</w:t>
            </w:r>
          </w:p>
        </w:tc>
        <w:tc>
          <w:tcPr>
            <w:tcW w:w="1320"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color w:val="000000" w:themeColor="text1"/>
                <w:sz w:val="28"/>
                <w:szCs w:val="28"/>
                <w:lang w:val="en-US" w:eastAsia="zh-CN"/>
                <w14:textFill>
                  <w14:solidFill>
                    <w14:schemeClr w14:val="tx1"/>
                  </w14:solidFill>
                </w14:textFill>
              </w:rPr>
              <w:t>pH</w:t>
            </w:r>
            <w:r>
              <w:rPr>
                <w:rFonts w:hint="eastAsia"/>
                <w:color w:val="000000" w:themeColor="text1"/>
                <w:sz w:val="28"/>
                <w:szCs w:val="28"/>
                <w14:textFill>
                  <w14:solidFill>
                    <w14:schemeClr w14:val="tx1"/>
                  </w14:solidFill>
                </w14:textFill>
              </w:rPr>
              <w:t>/T</w:t>
            </w:r>
          </w:p>
        </w:tc>
        <w:tc>
          <w:tcPr>
            <w:tcW w:w="990"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出水在线监测房</w:t>
            </w:r>
          </w:p>
        </w:tc>
        <w:tc>
          <w:tcPr>
            <w:tcW w:w="115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是</w:t>
            </w:r>
          </w:p>
        </w:tc>
        <w:tc>
          <w:tcPr>
            <w:tcW w:w="1035" w:type="dxa"/>
            <w:tcBorders>
              <w:tl2br w:val="nil"/>
              <w:tr2bl w:val="nil"/>
            </w:tcBorders>
            <w:shd w:val="clear" w:color="auto" w:fill="auto"/>
            <w:vAlign w:val="center"/>
          </w:tcPr>
          <w:p>
            <w:pPr>
              <w:widowControl/>
              <w:jc w:val="both"/>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瞬时采样至少一个瞬时样</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w:t>
            </w:r>
          </w:p>
        </w:tc>
        <w:tc>
          <w:tcPr>
            <w:tcW w:w="1559"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rPr>
              <w:t>水质 水温的测定 温度计或颠倒温度计测定法GB 13195-91</w:t>
            </w:r>
          </w:p>
        </w:tc>
        <w:tc>
          <w:tcPr>
            <w:tcW w:w="992"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1418" w:type="dxa"/>
            <w:tcBorders>
              <w:tl2br w:val="nil"/>
              <w:tr2bl w:val="nil"/>
            </w:tcBorders>
            <w:shd w:val="clear" w:color="auto" w:fill="auto"/>
            <w:vAlign w:val="center"/>
          </w:tcPr>
          <w:p>
            <w:pPr>
              <w:adjustRightInd w:val="0"/>
              <w:snapToGrid w:val="0"/>
              <w:spacing w:before="255" w:beforeLines="80"/>
              <w:jc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1342" w:type="dxa"/>
            <w:tcBorders>
              <w:tl2br w:val="nil"/>
              <w:tr2bl w:val="nil"/>
            </w:tcBorders>
            <w:shd w:val="clear" w:color="auto" w:fill="auto"/>
            <w:vAlign w:val="center"/>
          </w:tcPr>
          <w:p>
            <w:pPr>
              <w:adjustRightInd w:val="0"/>
              <w:snapToGrid w:val="0"/>
              <w:spacing w:before="255" w:beforeLines="80"/>
              <w:jc w:val="left"/>
              <w:rPr>
                <w:rFonts w:ascii="宋体" w:hAnsi="宋体" w:eastAsia="宋体" w:cs="宋体"/>
                <w:color w:val="000000"/>
                <w:sz w:val="24"/>
                <w:szCs w:val="24"/>
              </w:rPr>
            </w:pPr>
            <w:r>
              <w:rPr>
                <w:rFonts w:hint="eastAsia" w:ascii="宋体" w:hAnsi="宋体" w:eastAsia="宋体" w:cs="宋体"/>
                <w:color w:val="000000"/>
                <w:kern w:val="0"/>
                <w:sz w:val="24"/>
                <w:szCs w:val="24"/>
                <w:lang w:bidi="ar"/>
              </w:rPr>
              <w:t>自动监测设备出现故障时开展手工监测，每</w:t>
            </w:r>
            <w:r>
              <w:rPr>
                <w:rFonts w:hint="eastAsia" w:ascii="宋体" w:hAnsi="宋体" w:eastAsia="宋体" w:cs="宋体"/>
                <w:color w:val="000000"/>
                <w:kern w:val="0"/>
                <w:sz w:val="24"/>
                <w:szCs w:val="24"/>
                <w:lang w:val="en-US" w:eastAsia="zh-CN" w:bidi="ar"/>
              </w:rPr>
              <w:t>6</w:t>
            </w:r>
            <w:r>
              <w:rPr>
                <w:rFonts w:hint="eastAsia" w:ascii="宋体" w:hAnsi="宋体" w:eastAsia="宋体" w:cs="宋体"/>
                <w:color w:val="000000"/>
                <w:kern w:val="0"/>
                <w:sz w:val="24"/>
                <w:szCs w:val="24"/>
                <w:lang w:bidi="ar"/>
              </w:rPr>
              <w:t>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8"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ascii="宋体" w:hAnsi="宋体" w:eastAsia="宋体" w:cs="宋体"/>
                <w:color w:val="auto"/>
                <w:kern w:val="0"/>
                <w:sz w:val="24"/>
                <w:szCs w:val="24"/>
                <w:lang w:bidi="ar"/>
              </w:rPr>
              <w:t>2</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DW001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污水排放口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化学需氧量</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自动</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《城镇污水处理厂污染物排放标准》（GB18918-2002）一级A标准排放</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≤50mg/L</w:t>
            </w:r>
          </w:p>
        </w:tc>
        <w:tc>
          <w:tcPr>
            <w:tcW w:w="705" w:type="dxa"/>
            <w:tcBorders>
              <w:tl2br w:val="nil"/>
              <w:tr2bl w:val="nil"/>
            </w:tcBorders>
            <w:shd w:val="clear" w:color="auto" w:fill="auto"/>
            <w:vAlign w:val="center"/>
          </w:tcPr>
          <w:p>
            <w:pPr>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w:t>
            </w:r>
          </w:p>
        </w:tc>
        <w:tc>
          <w:tcPr>
            <w:tcW w:w="70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是</w:t>
            </w:r>
          </w:p>
        </w:tc>
        <w:tc>
          <w:tcPr>
            <w:tcW w:w="132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COD在线监测设备</w:t>
            </w:r>
          </w:p>
        </w:tc>
        <w:tc>
          <w:tcPr>
            <w:tcW w:w="99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出水在线监测房</w:t>
            </w:r>
          </w:p>
        </w:tc>
        <w:tc>
          <w:tcPr>
            <w:tcW w:w="115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是</w:t>
            </w: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sz w:val="24"/>
                <w:szCs w:val="24"/>
                <w:lang w:val="en-US" w:eastAsia="zh-CN"/>
              </w:rPr>
              <w:t>瞬时采样至少一个瞬时样</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155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992" w:type="dxa"/>
            <w:tcBorders>
              <w:tl2br w:val="nil"/>
              <w:tr2bl w:val="nil"/>
            </w:tcBorders>
            <w:shd w:val="clear" w:color="auto" w:fill="auto"/>
            <w:vAlign w:val="center"/>
          </w:tcPr>
          <w:p>
            <w:pPr>
              <w:widowControl/>
              <w:jc w:val="center"/>
              <w:textAlignment w:val="center"/>
              <w:rPr>
                <w:rStyle w:val="27"/>
                <w:rFonts w:ascii="宋体" w:hAnsi="宋体" w:eastAsia="宋体" w:cs="宋体"/>
                <w:color w:val="auto"/>
                <w:sz w:val="24"/>
                <w:szCs w:val="24"/>
                <w:lang w:bidi="ar"/>
              </w:rPr>
            </w:pPr>
            <w:r>
              <w:rPr>
                <w:rStyle w:val="27"/>
                <w:rFonts w:hint="eastAsia" w:ascii="宋体" w:hAnsi="宋体" w:eastAsia="宋体" w:cs="宋体"/>
                <w:color w:val="auto"/>
                <w:sz w:val="24"/>
                <w:szCs w:val="24"/>
                <w:lang w:bidi="ar"/>
              </w:rPr>
              <w:t>/</w:t>
            </w:r>
          </w:p>
        </w:tc>
        <w:tc>
          <w:tcPr>
            <w:tcW w:w="1418" w:type="dxa"/>
            <w:tcBorders>
              <w:tl2br w:val="nil"/>
              <w:tr2bl w:val="nil"/>
            </w:tcBorders>
            <w:shd w:val="clear" w:color="auto" w:fill="auto"/>
            <w:vAlign w:val="center"/>
          </w:tcPr>
          <w:p>
            <w:pPr>
              <w:adjustRightInd w:val="0"/>
              <w:snapToGrid w:val="0"/>
              <w:spacing w:before="255" w:beforeLines="80"/>
              <w:jc w:val="center"/>
              <w:rPr>
                <w:rFonts w:ascii="宋体" w:hAnsi="宋体" w:eastAsia="宋体" w:cs="宋体"/>
                <w:color w:val="000000"/>
                <w:kern w:val="0"/>
                <w:sz w:val="24"/>
                <w:szCs w:val="24"/>
                <w:lang w:bidi="ar"/>
              </w:rPr>
            </w:pPr>
            <w:r>
              <w:rPr>
                <w:rStyle w:val="27"/>
                <w:rFonts w:hint="eastAsia" w:ascii="宋体" w:hAnsi="宋体" w:eastAsia="宋体" w:cs="宋体"/>
                <w:sz w:val="24"/>
                <w:szCs w:val="24"/>
                <w:lang w:bidi="ar"/>
              </w:rPr>
              <w:t>/</w:t>
            </w:r>
          </w:p>
        </w:tc>
        <w:tc>
          <w:tcPr>
            <w:tcW w:w="1342" w:type="dxa"/>
            <w:tcBorders>
              <w:tl2br w:val="nil"/>
              <w:tr2bl w:val="nil"/>
            </w:tcBorders>
            <w:shd w:val="clear" w:color="auto" w:fill="auto"/>
            <w:vAlign w:val="center"/>
          </w:tcPr>
          <w:p>
            <w:pPr>
              <w:adjustRightInd w:val="0"/>
              <w:snapToGrid w:val="0"/>
              <w:spacing w:before="255" w:beforeLines="80"/>
              <w:jc w:val="left"/>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自动监测设备出现故障时开展手工监测，每</w:t>
            </w:r>
            <w:r>
              <w:rPr>
                <w:rFonts w:hint="eastAsia" w:ascii="宋体" w:hAnsi="宋体" w:eastAsia="宋体" w:cs="宋体"/>
                <w:color w:val="000000"/>
                <w:kern w:val="0"/>
                <w:sz w:val="24"/>
                <w:szCs w:val="24"/>
                <w:lang w:val="en-US" w:eastAsia="zh-CN" w:bidi="ar"/>
              </w:rPr>
              <w:t>6</w:t>
            </w:r>
            <w:r>
              <w:rPr>
                <w:rFonts w:hint="eastAsia" w:ascii="宋体" w:hAnsi="宋体" w:eastAsia="宋体" w:cs="宋体"/>
                <w:color w:val="000000"/>
                <w:kern w:val="0"/>
                <w:sz w:val="24"/>
                <w:szCs w:val="24"/>
                <w:lang w:bidi="ar"/>
              </w:rPr>
              <w:t>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8"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ascii="宋体" w:hAnsi="宋体" w:eastAsia="宋体" w:cs="宋体"/>
                <w:color w:val="auto"/>
                <w:kern w:val="0"/>
                <w:sz w:val="24"/>
                <w:szCs w:val="24"/>
                <w:lang w:bidi="ar"/>
              </w:rPr>
              <w:t>3</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DW001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污水排放口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总氮（以N计）</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自动</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《城镇污水处理厂污染物排放标准》（GB18918-2002）一级A标准排放</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≤15mg/L</w:t>
            </w:r>
          </w:p>
        </w:tc>
        <w:tc>
          <w:tcPr>
            <w:tcW w:w="705" w:type="dxa"/>
            <w:tcBorders>
              <w:tl2br w:val="nil"/>
              <w:tr2bl w:val="nil"/>
            </w:tcBorders>
            <w:shd w:val="clear" w:color="auto" w:fill="auto"/>
            <w:vAlign w:val="center"/>
          </w:tcPr>
          <w:p>
            <w:pPr>
              <w:jc w:val="both"/>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0.05</w:t>
            </w:r>
          </w:p>
        </w:tc>
        <w:tc>
          <w:tcPr>
            <w:tcW w:w="70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是</w:t>
            </w:r>
          </w:p>
        </w:tc>
        <w:tc>
          <w:tcPr>
            <w:tcW w:w="132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总磷总氮在线监测设备</w:t>
            </w:r>
          </w:p>
        </w:tc>
        <w:tc>
          <w:tcPr>
            <w:tcW w:w="99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出水在线监测房</w:t>
            </w:r>
          </w:p>
        </w:tc>
        <w:tc>
          <w:tcPr>
            <w:tcW w:w="115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是</w:t>
            </w: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sz w:val="24"/>
                <w:szCs w:val="24"/>
                <w:lang w:val="en-US" w:eastAsia="zh-CN"/>
              </w:rPr>
              <w:t>瞬时采样至少一个瞬时样</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155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992" w:type="dxa"/>
            <w:tcBorders>
              <w:tl2br w:val="nil"/>
              <w:tr2bl w:val="nil"/>
            </w:tcBorders>
            <w:shd w:val="clear" w:color="auto" w:fill="auto"/>
            <w:vAlign w:val="center"/>
          </w:tcPr>
          <w:p>
            <w:pPr>
              <w:widowControl/>
              <w:jc w:val="center"/>
              <w:textAlignment w:val="center"/>
              <w:rPr>
                <w:rStyle w:val="27"/>
                <w:rFonts w:ascii="宋体" w:hAnsi="宋体" w:eastAsia="宋体" w:cs="宋体"/>
                <w:color w:val="auto"/>
                <w:sz w:val="24"/>
                <w:szCs w:val="24"/>
                <w:lang w:bidi="ar"/>
              </w:rPr>
            </w:pPr>
            <w:r>
              <w:rPr>
                <w:rFonts w:hint="eastAsia" w:ascii="宋体" w:hAnsi="宋体" w:eastAsia="宋体" w:cs="宋体"/>
                <w:color w:val="auto"/>
                <w:kern w:val="0"/>
                <w:sz w:val="24"/>
                <w:szCs w:val="24"/>
                <w:lang w:bidi="ar"/>
              </w:rPr>
              <w:t>/</w:t>
            </w:r>
          </w:p>
        </w:tc>
        <w:tc>
          <w:tcPr>
            <w:tcW w:w="1418" w:type="dxa"/>
            <w:tcBorders>
              <w:tl2br w:val="nil"/>
              <w:tr2bl w:val="nil"/>
            </w:tcBorders>
            <w:shd w:val="clear" w:color="auto" w:fill="auto"/>
            <w:vAlign w:val="center"/>
          </w:tcPr>
          <w:p>
            <w:pPr>
              <w:adjustRightInd w:val="0"/>
              <w:snapToGrid w:val="0"/>
              <w:spacing w:before="255" w:beforeLines="80"/>
              <w:jc w:val="center"/>
              <w:rPr>
                <w:rStyle w:val="27"/>
                <w:rFonts w:ascii="宋体" w:hAnsi="宋体" w:eastAsia="宋体" w:cs="宋体"/>
                <w:sz w:val="24"/>
                <w:szCs w:val="24"/>
                <w:lang w:bidi="ar"/>
              </w:rPr>
            </w:pPr>
            <w:r>
              <w:rPr>
                <w:rFonts w:hint="eastAsia" w:ascii="宋体" w:hAnsi="宋体" w:eastAsia="宋体" w:cs="宋体"/>
                <w:color w:val="000000"/>
                <w:kern w:val="0"/>
                <w:sz w:val="24"/>
                <w:szCs w:val="24"/>
                <w:lang w:bidi="ar"/>
              </w:rPr>
              <w:t>/</w:t>
            </w:r>
          </w:p>
        </w:tc>
        <w:tc>
          <w:tcPr>
            <w:tcW w:w="1342" w:type="dxa"/>
            <w:tcBorders>
              <w:tl2br w:val="nil"/>
              <w:tr2bl w:val="nil"/>
            </w:tcBorders>
            <w:shd w:val="clear" w:color="auto" w:fill="auto"/>
            <w:vAlign w:val="center"/>
          </w:tcPr>
          <w:p>
            <w:pPr>
              <w:adjustRightInd w:val="0"/>
              <w:snapToGrid w:val="0"/>
              <w:spacing w:before="255" w:beforeLines="80"/>
              <w:jc w:val="left"/>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自动监测设备出现故障时开展手工监测，每</w:t>
            </w:r>
            <w:r>
              <w:rPr>
                <w:rFonts w:hint="eastAsia" w:ascii="宋体" w:hAnsi="宋体" w:eastAsia="宋体" w:cs="宋体"/>
                <w:color w:val="000000"/>
                <w:kern w:val="0"/>
                <w:sz w:val="24"/>
                <w:szCs w:val="24"/>
                <w:lang w:val="en-US" w:eastAsia="zh-CN" w:bidi="ar"/>
              </w:rPr>
              <w:t>6</w:t>
            </w:r>
            <w:r>
              <w:rPr>
                <w:rFonts w:hint="eastAsia" w:ascii="宋体" w:hAnsi="宋体" w:eastAsia="宋体" w:cs="宋体"/>
                <w:color w:val="000000"/>
                <w:kern w:val="0"/>
                <w:sz w:val="24"/>
                <w:szCs w:val="24"/>
                <w:lang w:bidi="ar"/>
              </w:rPr>
              <w:t>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8"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ascii="宋体" w:hAnsi="宋体" w:eastAsia="宋体" w:cs="宋体"/>
                <w:color w:val="auto"/>
                <w:sz w:val="24"/>
                <w:szCs w:val="24"/>
              </w:rPr>
              <w:t>4</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DW001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污水排放口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氨氮（NH3-N）</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自动</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《城镇污水处理厂污染物排放标准》（GB18918-2002）一级A标准排放</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水温≥12℃时限值为5mg/L，</w:t>
            </w:r>
          </w:p>
          <w:p>
            <w:pPr>
              <w:jc w:val="center"/>
              <w:rPr>
                <w:rFonts w:ascii="宋体" w:hAnsi="宋体" w:eastAsia="宋体" w:cs="宋体"/>
                <w:color w:val="auto"/>
                <w:sz w:val="24"/>
                <w:szCs w:val="24"/>
              </w:rPr>
            </w:pPr>
            <w:r>
              <w:rPr>
                <w:rFonts w:hint="eastAsia" w:ascii="宋体" w:hAnsi="宋体" w:eastAsia="宋体" w:cs="宋体"/>
                <w:color w:val="auto"/>
                <w:sz w:val="24"/>
                <w:szCs w:val="24"/>
              </w:rPr>
              <w:t>水温＜12℃时限值为8mg/L</w:t>
            </w:r>
          </w:p>
        </w:tc>
        <w:tc>
          <w:tcPr>
            <w:tcW w:w="705" w:type="dxa"/>
            <w:tcBorders>
              <w:tl2br w:val="nil"/>
              <w:tr2bl w:val="nil"/>
            </w:tcBorders>
            <w:shd w:val="clear" w:color="auto" w:fill="auto"/>
            <w:vAlign w:val="center"/>
          </w:tcPr>
          <w:p>
            <w:pPr>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0.02</w:t>
            </w:r>
          </w:p>
        </w:tc>
        <w:tc>
          <w:tcPr>
            <w:tcW w:w="70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是</w:t>
            </w:r>
          </w:p>
        </w:tc>
        <w:tc>
          <w:tcPr>
            <w:tcW w:w="132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氨氮在线监测设备</w:t>
            </w:r>
          </w:p>
        </w:tc>
        <w:tc>
          <w:tcPr>
            <w:tcW w:w="99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出水在线监测房</w:t>
            </w:r>
          </w:p>
        </w:tc>
        <w:tc>
          <w:tcPr>
            <w:tcW w:w="115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是</w:t>
            </w: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sz w:val="24"/>
                <w:szCs w:val="24"/>
                <w:lang w:val="en-US" w:eastAsia="zh-CN"/>
              </w:rPr>
              <w:t>瞬时采样至少一个瞬时样</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155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992" w:type="dxa"/>
            <w:tcBorders>
              <w:tl2br w:val="nil"/>
              <w:tr2bl w:val="nil"/>
            </w:tcBorders>
            <w:shd w:val="clear" w:color="auto" w:fill="auto"/>
            <w:vAlign w:val="center"/>
          </w:tcPr>
          <w:p>
            <w:pPr>
              <w:widowControl/>
              <w:jc w:val="center"/>
              <w:textAlignment w:val="center"/>
              <w:rPr>
                <w:rStyle w:val="27"/>
                <w:rFonts w:ascii="宋体" w:hAnsi="宋体" w:eastAsia="宋体" w:cs="宋体"/>
                <w:color w:val="auto"/>
                <w:sz w:val="24"/>
                <w:szCs w:val="24"/>
                <w:lang w:bidi="ar"/>
              </w:rPr>
            </w:pPr>
            <w:r>
              <w:rPr>
                <w:rFonts w:hint="eastAsia" w:ascii="宋体" w:hAnsi="宋体" w:eastAsia="宋体" w:cs="宋体"/>
                <w:color w:val="auto"/>
                <w:kern w:val="0"/>
                <w:sz w:val="24"/>
                <w:szCs w:val="24"/>
                <w:lang w:bidi="ar"/>
              </w:rPr>
              <w:t>/</w:t>
            </w:r>
          </w:p>
        </w:tc>
        <w:tc>
          <w:tcPr>
            <w:tcW w:w="1418" w:type="dxa"/>
            <w:tcBorders>
              <w:tl2br w:val="nil"/>
              <w:tr2bl w:val="nil"/>
            </w:tcBorders>
            <w:shd w:val="clear" w:color="auto" w:fill="auto"/>
            <w:vAlign w:val="center"/>
          </w:tcPr>
          <w:p>
            <w:pPr>
              <w:adjustRightInd w:val="0"/>
              <w:snapToGrid w:val="0"/>
              <w:spacing w:before="255" w:beforeLines="80"/>
              <w:jc w:val="center"/>
              <w:rPr>
                <w:rStyle w:val="27"/>
                <w:rFonts w:ascii="宋体" w:hAnsi="宋体" w:eastAsia="宋体" w:cs="宋体"/>
                <w:sz w:val="24"/>
                <w:szCs w:val="24"/>
                <w:lang w:bidi="ar"/>
              </w:rPr>
            </w:pPr>
            <w:r>
              <w:rPr>
                <w:rFonts w:hint="eastAsia" w:ascii="宋体" w:hAnsi="宋体" w:eastAsia="宋体" w:cs="宋体"/>
                <w:color w:val="000000"/>
                <w:kern w:val="0"/>
                <w:sz w:val="24"/>
                <w:szCs w:val="24"/>
                <w:lang w:bidi="ar"/>
              </w:rPr>
              <w:t>/</w:t>
            </w:r>
          </w:p>
        </w:tc>
        <w:tc>
          <w:tcPr>
            <w:tcW w:w="1342" w:type="dxa"/>
            <w:tcBorders>
              <w:tl2br w:val="nil"/>
              <w:tr2bl w:val="nil"/>
            </w:tcBorders>
            <w:shd w:val="clear" w:color="auto" w:fill="auto"/>
            <w:vAlign w:val="center"/>
          </w:tcPr>
          <w:p>
            <w:pPr>
              <w:adjustRightInd w:val="0"/>
              <w:snapToGrid w:val="0"/>
              <w:spacing w:before="255" w:beforeLines="80"/>
              <w:jc w:val="left"/>
              <w:rPr>
                <w:rFonts w:ascii="宋体" w:hAnsi="宋体" w:eastAsia="宋体" w:cs="宋体"/>
                <w:color w:val="000000"/>
                <w:kern w:val="0"/>
                <w:sz w:val="24"/>
                <w:szCs w:val="24"/>
                <w:lang w:bidi="ar"/>
              </w:rPr>
            </w:pPr>
            <w:r>
              <w:rPr>
                <w:rFonts w:hint="eastAsia" w:ascii="宋体" w:hAnsi="宋体" w:eastAsia="宋体" w:cs="宋体"/>
                <w:kern w:val="0"/>
                <w:sz w:val="24"/>
                <w:szCs w:val="24"/>
                <w:lang w:bidi="ar"/>
              </w:rPr>
              <w:t>自动监测设备出现故障时开展手工监测，每</w:t>
            </w:r>
            <w:r>
              <w:rPr>
                <w:rFonts w:hint="eastAsia" w:ascii="宋体" w:hAnsi="宋体" w:eastAsia="宋体" w:cs="宋体"/>
                <w:kern w:val="0"/>
                <w:sz w:val="24"/>
                <w:szCs w:val="24"/>
                <w:lang w:val="en-US" w:eastAsia="zh-CN" w:bidi="ar"/>
              </w:rPr>
              <w:t>6</w:t>
            </w:r>
            <w:r>
              <w:rPr>
                <w:rFonts w:hint="eastAsia" w:ascii="宋体" w:hAnsi="宋体" w:eastAsia="宋体" w:cs="宋体"/>
                <w:kern w:val="0"/>
                <w:sz w:val="24"/>
                <w:szCs w:val="24"/>
                <w:lang w:bidi="ar"/>
              </w:rPr>
              <w:t>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8"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ascii="宋体" w:hAnsi="宋体" w:eastAsia="宋体" w:cs="宋体"/>
                <w:color w:val="auto"/>
                <w:kern w:val="0"/>
                <w:sz w:val="24"/>
                <w:szCs w:val="24"/>
                <w:lang w:bidi="ar"/>
              </w:rPr>
              <w:t>5</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DW001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污水排放口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总磷（以P计）</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自动</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《城镇污水处理厂污染物排放标准》（GB18918-2002）一级A标准排放</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≤0.5mg/L</w:t>
            </w:r>
          </w:p>
        </w:tc>
        <w:tc>
          <w:tcPr>
            <w:tcW w:w="705" w:type="dxa"/>
            <w:tcBorders>
              <w:tl2br w:val="nil"/>
              <w:tr2bl w:val="nil"/>
            </w:tcBorders>
            <w:shd w:val="clear" w:color="auto" w:fill="auto"/>
            <w:vAlign w:val="center"/>
          </w:tcPr>
          <w:p>
            <w:pPr>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0.01</w:t>
            </w:r>
          </w:p>
        </w:tc>
        <w:tc>
          <w:tcPr>
            <w:tcW w:w="70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是</w:t>
            </w:r>
          </w:p>
        </w:tc>
        <w:tc>
          <w:tcPr>
            <w:tcW w:w="132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总磷总氮在线监测设备</w:t>
            </w:r>
          </w:p>
        </w:tc>
        <w:tc>
          <w:tcPr>
            <w:tcW w:w="99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出水在线监测房</w:t>
            </w:r>
          </w:p>
        </w:tc>
        <w:tc>
          <w:tcPr>
            <w:tcW w:w="115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是</w:t>
            </w: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sz w:val="24"/>
                <w:szCs w:val="24"/>
                <w:lang w:val="en-US" w:eastAsia="zh-CN"/>
              </w:rPr>
              <w:t>瞬时采样至少一个瞬时样</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155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992" w:type="dxa"/>
            <w:tcBorders>
              <w:tl2br w:val="nil"/>
              <w:tr2bl w:val="nil"/>
            </w:tcBorders>
            <w:shd w:val="clear" w:color="auto" w:fill="auto"/>
            <w:vAlign w:val="center"/>
          </w:tcPr>
          <w:p>
            <w:pPr>
              <w:widowControl/>
              <w:jc w:val="center"/>
              <w:textAlignment w:val="center"/>
              <w:rPr>
                <w:rStyle w:val="27"/>
                <w:rFonts w:ascii="宋体" w:hAnsi="宋体" w:eastAsia="宋体" w:cs="宋体"/>
                <w:color w:val="auto"/>
                <w:sz w:val="24"/>
                <w:szCs w:val="24"/>
                <w:lang w:bidi="ar"/>
              </w:rPr>
            </w:pPr>
            <w:r>
              <w:rPr>
                <w:rFonts w:hint="eastAsia" w:ascii="宋体" w:hAnsi="宋体" w:eastAsia="宋体" w:cs="宋体"/>
                <w:color w:val="auto"/>
                <w:kern w:val="0"/>
                <w:sz w:val="24"/>
                <w:szCs w:val="24"/>
                <w:lang w:bidi="ar"/>
              </w:rPr>
              <w:t>/</w:t>
            </w:r>
          </w:p>
        </w:tc>
        <w:tc>
          <w:tcPr>
            <w:tcW w:w="1418" w:type="dxa"/>
            <w:tcBorders>
              <w:tl2br w:val="nil"/>
              <w:tr2bl w:val="nil"/>
            </w:tcBorders>
            <w:shd w:val="clear" w:color="auto" w:fill="auto"/>
            <w:vAlign w:val="center"/>
          </w:tcPr>
          <w:p>
            <w:pPr>
              <w:adjustRightInd w:val="0"/>
              <w:snapToGrid w:val="0"/>
              <w:spacing w:before="255" w:beforeLines="80"/>
              <w:jc w:val="center"/>
              <w:rPr>
                <w:rStyle w:val="27"/>
                <w:rFonts w:ascii="宋体" w:hAnsi="宋体" w:eastAsia="宋体" w:cs="宋体"/>
                <w:sz w:val="24"/>
                <w:szCs w:val="24"/>
                <w:lang w:bidi="ar"/>
              </w:rPr>
            </w:pPr>
            <w:r>
              <w:rPr>
                <w:rFonts w:hint="eastAsia" w:ascii="宋体" w:hAnsi="宋体" w:eastAsia="宋体" w:cs="宋体"/>
                <w:color w:val="000000"/>
                <w:kern w:val="0"/>
                <w:sz w:val="24"/>
                <w:szCs w:val="24"/>
                <w:lang w:bidi="ar"/>
              </w:rPr>
              <w:t>/</w:t>
            </w:r>
          </w:p>
        </w:tc>
        <w:tc>
          <w:tcPr>
            <w:tcW w:w="1342" w:type="dxa"/>
            <w:tcBorders>
              <w:tl2br w:val="nil"/>
              <w:tr2bl w:val="nil"/>
            </w:tcBorders>
            <w:shd w:val="clear" w:color="auto" w:fill="auto"/>
            <w:vAlign w:val="center"/>
          </w:tcPr>
          <w:p>
            <w:pPr>
              <w:adjustRightInd w:val="0"/>
              <w:snapToGrid w:val="0"/>
              <w:spacing w:before="255" w:beforeLines="80"/>
              <w:jc w:val="left"/>
              <w:rPr>
                <w:rFonts w:ascii="宋体" w:hAnsi="宋体" w:eastAsia="宋体" w:cs="宋体"/>
                <w:color w:val="000000"/>
                <w:kern w:val="0"/>
                <w:sz w:val="24"/>
                <w:szCs w:val="24"/>
                <w:lang w:bidi="ar"/>
              </w:rPr>
            </w:pPr>
            <w:r>
              <w:rPr>
                <w:rFonts w:hint="eastAsia" w:ascii="宋体" w:hAnsi="宋体" w:eastAsia="宋体" w:cs="宋体"/>
                <w:kern w:val="0"/>
                <w:sz w:val="24"/>
                <w:szCs w:val="24"/>
                <w:lang w:bidi="ar"/>
              </w:rPr>
              <w:t>自动监测设备出现故障时开展手工监测，每</w:t>
            </w:r>
            <w:r>
              <w:rPr>
                <w:rFonts w:hint="eastAsia" w:ascii="宋体" w:hAnsi="宋体" w:eastAsia="宋体" w:cs="宋体"/>
                <w:kern w:val="0"/>
                <w:sz w:val="24"/>
                <w:szCs w:val="24"/>
                <w:lang w:val="en-US" w:eastAsia="zh-CN" w:bidi="ar"/>
              </w:rPr>
              <w:t>6</w:t>
            </w:r>
            <w:r>
              <w:rPr>
                <w:rFonts w:hint="eastAsia" w:ascii="宋体" w:hAnsi="宋体" w:eastAsia="宋体" w:cs="宋体"/>
                <w:kern w:val="0"/>
                <w:sz w:val="24"/>
                <w:szCs w:val="24"/>
                <w:lang w:bidi="ar"/>
              </w:rPr>
              <w:t>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769"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ascii="宋体" w:hAnsi="宋体" w:eastAsia="宋体" w:cs="宋体"/>
                <w:color w:val="auto"/>
                <w:kern w:val="0"/>
                <w:sz w:val="24"/>
                <w:szCs w:val="24"/>
                <w:lang w:bidi="ar"/>
              </w:rPr>
              <w:t>6</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DW001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污水排放口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流量</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自动</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w:t>
            </w:r>
          </w:p>
        </w:tc>
        <w:tc>
          <w:tcPr>
            <w:tcW w:w="705" w:type="dxa"/>
            <w:tcBorders>
              <w:tl2br w:val="nil"/>
              <w:tr2bl w:val="nil"/>
            </w:tcBorders>
            <w:shd w:val="clear" w:color="auto" w:fill="auto"/>
            <w:vAlign w:val="center"/>
          </w:tcPr>
          <w:p>
            <w:pPr>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w:t>
            </w:r>
          </w:p>
        </w:tc>
        <w:tc>
          <w:tcPr>
            <w:tcW w:w="70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是</w:t>
            </w:r>
          </w:p>
        </w:tc>
        <w:tc>
          <w:tcPr>
            <w:tcW w:w="132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流量计</w:t>
            </w:r>
          </w:p>
        </w:tc>
        <w:tc>
          <w:tcPr>
            <w:tcW w:w="99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出</w:t>
            </w:r>
            <w:r>
              <w:rPr>
                <w:rStyle w:val="29"/>
                <w:rFonts w:hint="default"/>
                <w:color w:val="auto"/>
                <w:sz w:val="24"/>
                <w:szCs w:val="24"/>
                <w:lang w:bidi="ar"/>
              </w:rPr>
              <w:t>水仪表小屋</w:t>
            </w:r>
          </w:p>
        </w:tc>
        <w:tc>
          <w:tcPr>
            <w:tcW w:w="115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是</w:t>
            </w: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155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992"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1418" w:type="dxa"/>
            <w:tcBorders>
              <w:tl2br w:val="nil"/>
              <w:tr2bl w:val="nil"/>
            </w:tcBorders>
            <w:shd w:val="clear" w:color="auto" w:fill="auto"/>
            <w:vAlign w:val="center"/>
          </w:tcPr>
          <w:p>
            <w:pPr>
              <w:adjustRightInd w:val="0"/>
              <w:snapToGrid w:val="0"/>
              <w:spacing w:before="255" w:beforeLines="80"/>
              <w:jc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1342" w:type="dxa"/>
            <w:tcBorders>
              <w:tl2br w:val="nil"/>
              <w:tr2bl w:val="nil"/>
            </w:tcBorders>
            <w:shd w:val="clear" w:color="auto" w:fill="auto"/>
            <w:vAlign w:val="center"/>
          </w:tcPr>
          <w:p>
            <w:pPr>
              <w:adjustRightInd w:val="0"/>
              <w:snapToGrid w:val="0"/>
              <w:spacing w:before="255" w:beforeLines="80"/>
              <w:jc w:val="left"/>
              <w:rPr>
                <w:rFonts w:ascii="宋体" w:hAnsi="宋体" w:eastAsia="宋体" w:cs="宋体"/>
                <w:kern w:val="0"/>
                <w:sz w:val="24"/>
                <w:szCs w:val="24"/>
                <w:lang w:bidi="ar"/>
              </w:rPr>
            </w:pPr>
            <w:r>
              <w:rPr>
                <w:rFonts w:hint="eastAsia" w:ascii="宋体" w:hAnsi="宋体" w:eastAsia="宋体" w:cs="宋体"/>
                <w:color w:val="000000"/>
                <w:kern w:val="0"/>
                <w:sz w:val="24"/>
                <w:szCs w:val="24"/>
                <w:lang w:bidi="ar"/>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8"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ascii="宋体" w:hAnsi="宋体" w:eastAsia="宋体" w:cs="宋体"/>
                <w:color w:val="auto"/>
                <w:kern w:val="0"/>
                <w:sz w:val="24"/>
                <w:szCs w:val="24"/>
                <w:lang w:bidi="ar"/>
              </w:rPr>
              <w:t>7</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DW001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污水排放口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水温</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自动</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w:t>
            </w:r>
          </w:p>
        </w:tc>
        <w:tc>
          <w:tcPr>
            <w:tcW w:w="705" w:type="dxa"/>
            <w:tcBorders>
              <w:tl2br w:val="nil"/>
              <w:tr2bl w:val="nil"/>
            </w:tcBorders>
            <w:shd w:val="clear" w:color="auto" w:fill="auto"/>
            <w:vAlign w:val="center"/>
          </w:tcPr>
          <w:p>
            <w:pPr>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highlight w:val="none"/>
                <w:lang w:val="en-US" w:eastAsia="zh-CN"/>
              </w:rPr>
              <w:t>/</w:t>
            </w:r>
          </w:p>
        </w:tc>
        <w:tc>
          <w:tcPr>
            <w:tcW w:w="70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是</w:t>
            </w:r>
          </w:p>
        </w:tc>
        <w:tc>
          <w:tcPr>
            <w:tcW w:w="132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color w:val="000000" w:themeColor="text1"/>
                <w:sz w:val="28"/>
                <w:szCs w:val="28"/>
                <w:lang w:val="en-US" w:eastAsia="zh-CN"/>
                <w14:textFill>
                  <w14:solidFill>
                    <w14:schemeClr w14:val="tx1"/>
                  </w14:solidFill>
                </w14:textFill>
              </w:rPr>
              <w:t>pH</w:t>
            </w:r>
            <w:r>
              <w:rPr>
                <w:rFonts w:hint="eastAsia"/>
                <w:color w:val="000000" w:themeColor="text1"/>
                <w:sz w:val="28"/>
                <w:szCs w:val="28"/>
                <w14:textFill>
                  <w14:solidFill>
                    <w14:schemeClr w14:val="tx1"/>
                  </w14:solidFill>
                </w14:textFill>
              </w:rPr>
              <w:t>/T</w:t>
            </w:r>
          </w:p>
        </w:tc>
        <w:tc>
          <w:tcPr>
            <w:tcW w:w="99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出</w:t>
            </w:r>
            <w:r>
              <w:rPr>
                <w:rStyle w:val="29"/>
                <w:rFonts w:hint="default"/>
                <w:color w:val="auto"/>
                <w:sz w:val="24"/>
                <w:szCs w:val="24"/>
                <w:lang w:bidi="ar"/>
              </w:rPr>
              <w:t>水仪表小屋</w:t>
            </w:r>
          </w:p>
        </w:tc>
        <w:tc>
          <w:tcPr>
            <w:tcW w:w="115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是</w:t>
            </w: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sz w:val="24"/>
                <w:szCs w:val="24"/>
                <w:lang w:val="en-US" w:eastAsia="zh-CN"/>
              </w:rPr>
              <w:t>瞬时采样至少一个瞬时样</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155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992"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1418" w:type="dxa"/>
            <w:tcBorders>
              <w:tl2br w:val="nil"/>
              <w:tr2bl w:val="nil"/>
            </w:tcBorders>
            <w:shd w:val="clear" w:color="auto" w:fill="auto"/>
            <w:vAlign w:val="center"/>
          </w:tcPr>
          <w:p>
            <w:pPr>
              <w:adjustRightInd w:val="0"/>
              <w:snapToGrid w:val="0"/>
              <w:spacing w:before="255" w:beforeLines="80"/>
              <w:jc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1342" w:type="dxa"/>
            <w:tcBorders>
              <w:tl2br w:val="nil"/>
              <w:tr2bl w:val="nil"/>
            </w:tcBorders>
            <w:shd w:val="clear" w:color="auto" w:fill="auto"/>
            <w:vAlign w:val="center"/>
          </w:tcPr>
          <w:p>
            <w:pPr>
              <w:adjustRightInd w:val="0"/>
              <w:snapToGrid w:val="0"/>
              <w:spacing w:before="255" w:beforeLines="80"/>
              <w:jc w:val="left"/>
              <w:rPr>
                <w:rFonts w:ascii="宋体" w:hAnsi="宋体" w:eastAsia="宋体" w:cs="宋体"/>
                <w:kern w:val="0"/>
                <w:sz w:val="24"/>
                <w:szCs w:val="24"/>
                <w:lang w:bidi="ar"/>
              </w:rPr>
            </w:pPr>
            <w:r>
              <w:rPr>
                <w:rFonts w:hint="eastAsia" w:ascii="宋体" w:hAnsi="宋体" w:eastAsia="宋体" w:cs="宋体"/>
                <w:color w:val="000000"/>
                <w:kern w:val="0"/>
                <w:sz w:val="24"/>
                <w:szCs w:val="24"/>
                <w:lang w:bidi="ar"/>
              </w:rPr>
              <w:t>自动监测设备出现故障时开展手工监测，每</w:t>
            </w:r>
            <w:r>
              <w:rPr>
                <w:rFonts w:hint="eastAsia" w:ascii="宋体" w:hAnsi="宋体" w:eastAsia="宋体" w:cs="宋体"/>
                <w:color w:val="000000"/>
                <w:kern w:val="0"/>
                <w:sz w:val="24"/>
                <w:szCs w:val="24"/>
                <w:lang w:val="en-US" w:eastAsia="zh-CN" w:bidi="ar"/>
              </w:rPr>
              <w:t>6</w:t>
            </w:r>
            <w:r>
              <w:rPr>
                <w:rFonts w:hint="eastAsia" w:ascii="宋体" w:hAnsi="宋体" w:eastAsia="宋体" w:cs="宋体"/>
                <w:color w:val="000000"/>
                <w:kern w:val="0"/>
                <w:sz w:val="24"/>
                <w:szCs w:val="24"/>
                <w:lang w:bidi="ar"/>
              </w:rPr>
              <w:t>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6"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ascii="宋体" w:hAnsi="宋体" w:eastAsia="宋体" w:cs="宋体"/>
                <w:color w:val="auto"/>
                <w:kern w:val="0"/>
                <w:sz w:val="24"/>
                <w:szCs w:val="24"/>
                <w:lang w:bidi="ar"/>
              </w:rPr>
              <w:t>8</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DW001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污水排放口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色度</w:t>
            </w:r>
            <w:r>
              <w:rPr>
                <w:rFonts w:hint="eastAsia" w:ascii="宋体" w:hAnsi="宋体" w:eastAsia="宋体" w:cs="宋体"/>
                <w:color w:val="auto"/>
                <w:sz w:val="24"/>
                <w:szCs w:val="24"/>
              </w:rPr>
              <w:t>（稀释倍数）</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手工</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《城镇污水处理厂污染物排放标准》（GB18918-2002）一级A标准排放</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≤30倍</w:t>
            </w:r>
          </w:p>
        </w:tc>
        <w:tc>
          <w:tcPr>
            <w:tcW w:w="705" w:type="dxa"/>
            <w:tcBorders>
              <w:tl2br w:val="nil"/>
              <w:tr2bl w:val="nil"/>
            </w:tcBorders>
            <w:shd w:val="clear" w:color="auto" w:fill="auto"/>
            <w:vAlign w:val="center"/>
          </w:tcPr>
          <w:p>
            <w:pPr>
              <w:jc w:val="center"/>
              <w:rPr>
                <w:rFonts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2倍</w:t>
            </w:r>
          </w:p>
        </w:tc>
        <w:tc>
          <w:tcPr>
            <w:tcW w:w="705"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320"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990"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155"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 xml:space="preserve">瞬时采样 </w:t>
            </w:r>
          </w:p>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bidi="ar"/>
              </w:rPr>
              <w:t>个瞬时样</w:t>
            </w:r>
          </w:p>
        </w:tc>
        <w:tc>
          <w:tcPr>
            <w:tcW w:w="116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themeColor="text1"/>
                <w:kern w:val="0"/>
                <w:sz w:val="24"/>
                <w:szCs w:val="24"/>
                <w:highlight w:val="none"/>
                <w14:textFill>
                  <w14:solidFill>
                    <w14:schemeClr w14:val="tx1"/>
                  </w14:solidFill>
                </w14:textFill>
              </w:rPr>
              <w:t>1次/月</w:t>
            </w:r>
          </w:p>
        </w:tc>
        <w:tc>
          <w:tcPr>
            <w:tcW w:w="155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《水质 色度的测定》</w:t>
            </w:r>
          </w:p>
          <w:p>
            <w:pPr>
              <w:widowControl/>
              <w:jc w:val="center"/>
              <w:textAlignment w:val="center"/>
              <w:rPr>
                <w:rFonts w:ascii="宋体" w:hAnsi="宋体" w:eastAsia="宋体" w:cs="宋体"/>
                <w:sz w:val="24"/>
                <w:szCs w:val="24"/>
              </w:rPr>
            </w:pPr>
            <w:r>
              <w:rPr>
                <w:rStyle w:val="26"/>
                <w:rFonts w:hint="eastAsia" w:ascii="宋体" w:hAnsi="宋体" w:eastAsia="宋体" w:cs="宋体"/>
                <w:color w:val="auto"/>
                <w:sz w:val="24"/>
                <w:szCs w:val="24"/>
                <w:highlight w:val="none"/>
                <w:lang w:bidi="ar"/>
              </w:rPr>
              <w:t xml:space="preserve"> HJ 1182-2021</w:t>
            </w:r>
          </w:p>
        </w:tc>
        <w:tc>
          <w:tcPr>
            <w:tcW w:w="992" w:type="dxa"/>
            <w:tcBorders>
              <w:tl2br w:val="nil"/>
              <w:tr2bl w:val="nil"/>
            </w:tcBorders>
            <w:shd w:val="clear" w:color="auto" w:fill="auto"/>
            <w:vAlign w:val="center"/>
          </w:tcPr>
          <w:p>
            <w:pPr>
              <w:widowControl/>
              <w:jc w:val="center"/>
              <w:textAlignment w:val="center"/>
              <w:rPr>
                <w:rStyle w:val="26"/>
                <w:rFonts w:ascii="宋体" w:hAnsi="宋体" w:eastAsia="宋体" w:cs="宋体"/>
                <w:color w:val="auto"/>
                <w:sz w:val="24"/>
                <w:szCs w:val="24"/>
                <w:lang w:bidi="ar"/>
              </w:rPr>
            </w:pPr>
            <w:r>
              <w:rPr>
                <w:rStyle w:val="26"/>
                <w:rFonts w:hint="eastAsia" w:ascii="宋体" w:hAnsi="宋体" w:eastAsia="宋体" w:cs="宋体"/>
                <w:color w:val="auto"/>
                <w:sz w:val="24"/>
                <w:szCs w:val="24"/>
                <w:lang w:val="en-US" w:eastAsia="zh-CN" w:bidi="ar"/>
              </w:rPr>
              <w:t>比色管</w:t>
            </w:r>
          </w:p>
        </w:tc>
        <w:tc>
          <w:tcPr>
            <w:tcW w:w="1418"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1342"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6"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ascii="宋体" w:hAnsi="宋体" w:eastAsia="宋体" w:cs="宋体"/>
                <w:color w:val="auto"/>
                <w:kern w:val="0"/>
                <w:sz w:val="24"/>
                <w:szCs w:val="24"/>
                <w:lang w:bidi="ar"/>
              </w:rPr>
              <w:t>9</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DW001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污水排放口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悬浮物</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手工</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《城镇污水处理厂污染物排放标准》（GB18918-2002）一级A标准排放</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≤10mg/L</w:t>
            </w:r>
          </w:p>
        </w:tc>
        <w:tc>
          <w:tcPr>
            <w:tcW w:w="705" w:type="dxa"/>
            <w:tcBorders>
              <w:tl2br w:val="nil"/>
              <w:tr2bl w:val="nil"/>
            </w:tcBorders>
            <w:shd w:val="clear" w:color="auto" w:fill="auto"/>
            <w:vAlign w:val="center"/>
          </w:tcPr>
          <w:p>
            <w:pPr>
              <w:jc w:val="center"/>
              <w:rPr>
                <w:rFonts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5</w:t>
            </w:r>
            <w:r>
              <w:rPr>
                <w:rFonts w:ascii="宋体" w:hAnsi="宋体" w:eastAsia="宋体" w:cs="宋体"/>
                <w:color w:val="auto"/>
                <w:sz w:val="24"/>
                <w:szCs w:val="24"/>
              </w:rPr>
              <w:t>mg/L</w:t>
            </w:r>
          </w:p>
        </w:tc>
        <w:tc>
          <w:tcPr>
            <w:tcW w:w="705"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320"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990"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155"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瞬时采样 </w:t>
            </w:r>
          </w:p>
          <w:p>
            <w:pPr>
              <w:widowControl/>
              <w:jc w:val="center"/>
              <w:textAlignment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lang w:bidi="ar"/>
              </w:rPr>
              <w:t>至少3个瞬时样</w:t>
            </w:r>
          </w:p>
        </w:tc>
        <w:tc>
          <w:tcPr>
            <w:tcW w:w="116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highlight w:val="none"/>
              </w:rPr>
              <w:t>1次/月</w:t>
            </w:r>
          </w:p>
        </w:tc>
        <w:tc>
          <w:tcPr>
            <w:tcW w:w="1559" w:type="dxa"/>
            <w:tcBorders>
              <w:tl2br w:val="nil"/>
              <w:tr2bl w:val="nil"/>
            </w:tcBorders>
            <w:shd w:val="clear" w:color="auto" w:fill="auto"/>
            <w:vAlign w:val="center"/>
          </w:tcPr>
          <w:p>
            <w:pPr>
              <w:widowControl/>
              <w:jc w:val="center"/>
              <w:textAlignment w:val="center"/>
              <w:rPr>
                <w:rStyle w:val="26"/>
                <w:rFonts w:ascii="宋体" w:hAnsi="宋体" w:eastAsia="宋体" w:cs="宋体"/>
                <w:sz w:val="24"/>
                <w:szCs w:val="24"/>
                <w:highlight w:val="none"/>
                <w:lang w:bidi="ar"/>
              </w:rPr>
            </w:pPr>
            <w:r>
              <w:rPr>
                <w:rStyle w:val="26"/>
                <w:rFonts w:hint="eastAsia" w:ascii="宋体" w:hAnsi="宋体" w:eastAsia="宋体" w:cs="宋体"/>
                <w:sz w:val="24"/>
                <w:szCs w:val="24"/>
                <w:highlight w:val="none"/>
                <w:lang w:bidi="ar"/>
              </w:rPr>
              <w:t>《</w:t>
            </w:r>
            <w:r>
              <w:rPr>
                <w:rStyle w:val="27"/>
                <w:rFonts w:hint="eastAsia" w:ascii="宋体" w:hAnsi="宋体" w:eastAsia="宋体" w:cs="宋体"/>
                <w:sz w:val="24"/>
                <w:szCs w:val="24"/>
                <w:highlight w:val="none"/>
                <w:lang w:bidi="ar"/>
              </w:rPr>
              <w:t>水质 悬浮物的测定重量法</w:t>
            </w:r>
            <w:r>
              <w:rPr>
                <w:rStyle w:val="26"/>
                <w:rFonts w:hint="eastAsia" w:ascii="宋体" w:hAnsi="宋体" w:eastAsia="宋体" w:cs="宋体"/>
                <w:sz w:val="24"/>
                <w:szCs w:val="24"/>
                <w:highlight w:val="none"/>
                <w:lang w:bidi="ar"/>
              </w:rPr>
              <w:t>》</w:t>
            </w:r>
          </w:p>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bidi="ar"/>
              </w:rPr>
              <w:t>GB</w:t>
            </w:r>
            <w:r>
              <w:rPr>
                <w:rStyle w:val="26"/>
                <w:rFonts w:hint="eastAsia" w:ascii="宋体" w:hAnsi="宋体" w:eastAsia="宋体" w:cs="宋体"/>
                <w:sz w:val="24"/>
                <w:szCs w:val="24"/>
                <w:highlight w:val="none"/>
                <w:lang w:bidi="ar"/>
              </w:rPr>
              <w:t xml:space="preserve">/T 11901-1989 </w:t>
            </w:r>
          </w:p>
        </w:tc>
        <w:tc>
          <w:tcPr>
            <w:tcW w:w="992"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highlight w:val="none"/>
                <w:lang w:bidi="ar"/>
              </w:rPr>
            </w:pPr>
            <w:r>
              <w:rPr>
                <w:rStyle w:val="27"/>
                <w:rFonts w:hint="eastAsia" w:ascii="宋体" w:hAnsi="宋体" w:eastAsia="宋体" w:cs="宋体"/>
                <w:sz w:val="24"/>
                <w:szCs w:val="24"/>
                <w:highlight w:val="none"/>
                <w:lang w:bidi="ar"/>
              </w:rPr>
              <w:t>电热</w:t>
            </w:r>
            <w:r>
              <w:rPr>
                <w:rStyle w:val="27"/>
                <w:rFonts w:hint="eastAsia" w:ascii="宋体" w:hAnsi="宋体" w:eastAsia="宋体" w:cs="宋体"/>
                <w:sz w:val="24"/>
                <w:szCs w:val="24"/>
                <w:highlight w:val="none"/>
                <w:lang w:val="en-US" w:eastAsia="zh-CN" w:bidi="ar"/>
              </w:rPr>
              <w:t>恒温</w:t>
            </w:r>
            <w:r>
              <w:rPr>
                <w:rStyle w:val="27"/>
                <w:rFonts w:hint="eastAsia" w:ascii="宋体" w:hAnsi="宋体" w:eastAsia="宋体" w:cs="宋体"/>
                <w:sz w:val="24"/>
                <w:szCs w:val="24"/>
                <w:highlight w:val="none"/>
                <w:lang w:bidi="ar"/>
              </w:rPr>
              <w:t>干燥箱</w:t>
            </w:r>
            <w:r>
              <w:rPr>
                <w:rStyle w:val="27"/>
                <w:rFonts w:hint="eastAsia" w:ascii="宋体" w:hAnsi="宋体" w:eastAsia="宋体" w:cs="宋体"/>
                <w:sz w:val="24"/>
                <w:szCs w:val="24"/>
                <w:highlight w:val="none"/>
                <w:lang w:eastAsia="zh-CN" w:bidi="ar"/>
              </w:rPr>
              <w:t>、</w:t>
            </w:r>
            <w:r>
              <w:rPr>
                <w:rStyle w:val="27"/>
                <w:rFonts w:hint="eastAsia" w:ascii="宋体" w:hAnsi="宋体" w:eastAsia="宋体" w:cs="宋体"/>
                <w:sz w:val="24"/>
                <w:szCs w:val="24"/>
                <w:lang w:eastAsia="zh-CN" w:bidi="ar"/>
              </w:rPr>
              <w:t>万分之一天平</w:t>
            </w:r>
          </w:p>
        </w:tc>
        <w:tc>
          <w:tcPr>
            <w:tcW w:w="1418" w:type="dxa"/>
            <w:tcBorders>
              <w:tl2br w:val="nil"/>
              <w:tr2bl w:val="nil"/>
            </w:tcBorders>
            <w:shd w:val="clear" w:color="auto" w:fill="auto"/>
            <w:vAlign w:val="center"/>
          </w:tcPr>
          <w:p>
            <w:pPr>
              <w:widowControl/>
              <w:jc w:val="center"/>
              <w:textAlignment w:val="center"/>
              <w:rPr>
                <w:rFonts w:hint="default" w:ascii="宋体" w:hAnsi="宋体" w:eastAsia="宋体" w:cs="宋体"/>
                <w:color w:val="000000"/>
                <w:sz w:val="24"/>
                <w:szCs w:val="24"/>
                <w:highlight w:val="none"/>
                <w:lang w:val="en-US" w:eastAsia="zh-CN"/>
              </w:rPr>
            </w:pPr>
            <w:r>
              <w:rPr>
                <w:rStyle w:val="27"/>
                <w:rFonts w:hint="eastAsia" w:ascii="宋体" w:hAnsi="宋体" w:eastAsia="宋体" w:cs="宋体"/>
                <w:sz w:val="24"/>
                <w:szCs w:val="24"/>
                <w:highlight w:val="none"/>
                <w:lang w:bidi="ar"/>
              </w:rPr>
              <w:t>冷藏，避光</w:t>
            </w:r>
            <w:r>
              <w:rPr>
                <w:rStyle w:val="27"/>
                <w:rFonts w:hint="eastAsia" w:ascii="宋体" w:hAnsi="宋体" w:eastAsia="宋体" w:cs="宋体"/>
                <w:sz w:val="24"/>
                <w:szCs w:val="24"/>
                <w:highlight w:val="none"/>
                <w:lang w:eastAsia="zh-CN" w:bidi="ar"/>
              </w:rPr>
              <w:t>，</w:t>
            </w:r>
          </w:p>
        </w:tc>
        <w:tc>
          <w:tcPr>
            <w:tcW w:w="1342"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75"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ascii="宋体" w:hAnsi="宋体" w:eastAsia="宋体" w:cs="宋体"/>
                <w:color w:val="auto"/>
                <w:kern w:val="0"/>
                <w:sz w:val="24"/>
                <w:szCs w:val="24"/>
                <w:lang w:bidi="ar"/>
              </w:rPr>
              <w:t>10</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DW001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污水排放口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五日生化需氧量</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手工</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《城镇污水处理厂污染物排放标准》（GB18918-2002）一级A标准排放</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≤10mg/L</w:t>
            </w:r>
          </w:p>
        </w:tc>
        <w:tc>
          <w:tcPr>
            <w:tcW w:w="705" w:type="dxa"/>
            <w:tcBorders>
              <w:tl2br w:val="nil"/>
              <w:tr2bl w:val="nil"/>
            </w:tcBorders>
            <w:shd w:val="clear" w:color="auto" w:fill="auto"/>
            <w:vAlign w:val="center"/>
          </w:tcPr>
          <w:p>
            <w:pPr>
              <w:jc w:val="center"/>
              <w:rPr>
                <w:rFonts w:ascii="宋体" w:hAnsi="宋体" w:eastAsia="宋体" w:cs="宋体"/>
                <w:color w:val="FF0000"/>
                <w:kern w:val="2"/>
                <w:sz w:val="24"/>
                <w:szCs w:val="24"/>
                <w:lang w:val="en-US" w:eastAsia="zh-CN" w:bidi="ar-SA"/>
              </w:rPr>
            </w:pPr>
            <w:r>
              <w:rPr>
                <w:rFonts w:hint="eastAsia" w:ascii="宋体" w:hAnsi="宋体" w:eastAsia="宋体" w:cs="宋体"/>
                <w:color w:val="000000" w:themeColor="text1"/>
                <w:sz w:val="24"/>
                <w:szCs w:val="24"/>
                <w14:textFill>
                  <w14:solidFill>
                    <w14:schemeClr w14:val="tx1"/>
                  </w14:solidFill>
                </w14:textFill>
              </w:rPr>
              <w:t>0.5</w:t>
            </w:r>
            <w:r>
              <w:rPr>
                <w:rFonts w:ascii="宋体" w:hAnsi="宋体" w:eastAsia="宋体" w:cs="宋体"/>
                <w:color w:val="000000" w:themeColor="text1"/>
                <w:sz w:val="24"/>
                <w:szCs w:val="24"/>
                <w14:textFill>
                  <w14:solidFill>
                    <w14:schemeClr w14:val="tx1"/>
                  </w14:solidFill>
                </w14:textFill>
              </w:rPr>
              <w:t>mg/L</w:t>
            </w:r>
          </w:p>
        </w:tc>
        <w:tc>
          <w:tcPr>
            <w:tcW w:w="705"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320"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990"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155"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瞬时采样 </w:t>
            </w:r>
          </w:p>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至少3个瞬时样</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1次/月</w:t>
            </w:r>
          </w:p>
        </w:tc>
        <w:tc>
          <w:tcPr>
            <w:tcW w:w="1559" w:type="dxa"/>
            <w:tcBorders>
              <w:tl2br w:val="nil"/>
              <w:tr2bl w:val="nil"/>
            </w:tcBorders>
            <w:shd w:val="clear" w:color="auto" w:fill="auto"/>
            <w:vAlign w:val="center"/>
          </w:tcPr>
          <w:p>
            <w:pPr>
              <w:widowControl/>
              <w:jc w:val="center"/>
              <w:textAlignment w:val="center"/>
              <w:rPr>
                <w:rStyle w:val="27"/>
                <w:rFonts w:ascii="宋体" w:hAnsi="宋体" w:eastAsia="宋体" w:cs="宋体"/>
                <w:sz w:val="24"/>
                <w:szCs w:val="24"/>
                <w:lang w:bidi="ar"/>
              </w:rPr>
            </w:pPr>
            <w:r>
              <w:rPr>
                <w:rStyle w:val="27"/>
                <w:rFonts w:hint="eastAsia" w:ascii="宋体" w:hAnsi="宋体" w:eastAsia="宋体" w:cs="宋体"/>
                <w:sz w:val="24"/>
                <w:szCs w:val="24"/>
                <w:lang w:bidi="ar"/>
              </w:rPr>
              <w:t>《</w:t>
            </w:r>
            <w:r>
              <w:rPr>
                <w:rStyle w:val="28"/>
                <w:rFonts w:hint="default"/>
                <w:sz w:val="24"/>
                <w:szCs w:val="24"/>
                <w:lang w:bidi="ar"/>
              </w:rPr>
              <w:t>水质 五日生化需氧量</w:t>
            </w:r>
            <w:r>
              <w:rPr>
                <w:rStyle w:val="27"/>
                <w:rFonts w:hint="eastAsia" w:ascii="宋体" w:hAnsi="宋体" w:eastAsia="宋体" w:cs="宋体"/>
                <w:sz w:val="24"/>
                <w:szCs w:val="24"/>
                <w:lang w:bidi="ar"/>
              </w:rPr>
              <w:t>(BOD5)</w:t>
            </w:r>
            <w:r>
              <w:rPr>
                <w:rStyle w:val="28"/>
                <w:rFonts w:hint="default"/>
                <w:sz w:val="24"/>
                <w:szCs w:val="24"/>
                <w:lang w:bidi="ar"/>
              </w:rPr>
              <w:t>的测定稀释与接种法</w:t>
            </w:r>
            <w:r>
              <w:rPr>
                <w:rStyle w:val="27"/>
                <w:rFonts w:hint="eastAsia" w:ascii="宋体" w:hAnsi="宋体" w:eastAsia="宋体" w:cs="宋体"/>
                <w:sz w:val="24"/>
                <w:szCs w:val="24"/>
                <w:lang w:bidi="ar"/>
              </w:rPr>
              <w:t>》</w:t>
            </w:r>
          </w:p>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HJ 505-2009</w:t>
            </w:r>
            <w:r>
              <w:rPr>
                <w:rStyle w:val="27"/>
                <w:rFonts w:hint="eastAsia" w:ascii="宋体" w:hAnsi="宋体" w:eastAsia="宋体" w:cs="宋体"/>
                <w:sz w:val="24"/>
                <w:szCs w:val="24"/>
                <w:lang w:bidi="ar"/>
              </w:rPr>
              <w:t xml:space="preserve"> </w:t>
            </w:r>
          </w:p>
        </w:tc>
        <w:tc>
          <w:tcPr>
            <w:tcW w:w="992"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Style w:val="27"/>
                <w:rFonts w:hint="eastAsia" w:ascii="宋体" w:hAnsi="宋体" w:eastAsia="宋体" w:cs="宋体"/>
                <w:color w:val="auto"/>
                <w:sz w:val="24"/>
                <w:szCs w:val="24"/>
                <w:lang w:bidi="ar"/>
              </w:rPr>
              <w:t>生化培养箱</w:t>
            </w:r>
          </w:p>
        </w:tc>
        <w:tc>
          <w:tcPr>
            <w:tcW w:w="1418"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lang w:bidi="ar"/>
              </w:rPr>
            </w:pPr>
            <w:r>
              <w:rPr>
                <w:rStyle w:val="27"/>
                <w:rFonts w:hint="eastAsia" w:ascii="宋体" w:hAnsi="宋体" w:eastAsia="宋体" w:cs="宋体"/>
                <w:color w:val="auto"/>
                <w:sz w:val="24"/>
                <w:szCs w:val="24"/>
                <w:lang w:bidi="ar"/>
              </w:rPr>
              <w:t>冷藏，避光</w:t>
            </w:r>
          </w:p>
        </w:tc>
        <w:tc>
          <w:tcPr>
            <w:tcW w:w="1342"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75"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r>
              <w:rPr>
                <w:rFonts w:ascii="宋体" w:hAnsi="宋体" w:eastAsia="宋体" w:cs="宋体"/>
                <w:color w:val="000000"/>
                <w:kern w:val="0"/>
                <w:sz w:val="24"/>
                <w:szCs w:val="24"/>
                <w:lang w:bidi="ar"/>
              </w:rPr>
              <w:t>1</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DW001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污水排放口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粪大肠菌群数/（个/L）</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手工</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《城镇污水处理厂污染物排放标准》（GB18918-2002）一级A标准排放</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≤1000个/L</w:t>
            </w:r>
          </w:p>
        </w:tc>
        <w:tc>
          <w:tcPr>
            <w:tcW w:w="705" w:type="dxa"/>
            <w:tcBorders>
              <w:tl2br w:val="nil"/>
              <w:tr2bl w:val="nil"/>
            </w:tcBorders>
            <w:shd w:val="clear" w:color="auto" w:fill="auto"/>
            <w:vAlign w:val="center"/>
          </w:tcPr>
          <w:p>
            <w:pPr>
              <w:jc w:val="center"/>
              <w:rPr>
                <w:rFonts w:ascii="宋体" w:hAnsi="宋体" w:eastAsia="宋体" w:cs="宋体"/>
                <w:color w:val="FF0000"/>
                <w:kern w:val="2"/>
                <w:sz w:val="24"/>
                <w:szCs w:val="24"/>
                <w:lang w:val="en-US" w:eastAsia="zh-CN" w:bidi="ar-SA"/>
              </w:rPr>
            </w:pPr>
            <w:r>
              <w:rPr>
                <w:rFonts w:hint="eastAsia" w:ascii="宋体" w:hAnsi="宋体" w:eastAsia="宋体" w:cs="宋体"/>
                <w:color w:val="auto"/>
                <w:sz w:val="24"/>
                <w:szCs w:val="24"/>
              </w:rPr>
              <w:t>10CFU/L</w:t>
            </w:r>
          </w:p>
        </w:tc>
        <w:tc>
          <w:tcPr>
            <w:tcW w:w="705"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320"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990"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155"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035" w:type="dxa"/>
            <w:tcBorders>
              <w:tl2br w:val="nil"/>
              <w:tr2bl w:val="nil"/>
            </w:tcBorders>
            <w:shd w:val="clear" w:color="auto" w:fill="auto"/>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 xml:space="preserve">瞬时采样 </w:t>
            </w:r>
            <w:r>
              <w:rPr>
                <w:rFonts w:hint="eastAsia" w:ascii="宋体" w:hAnsi="宋体" w:eastAsia="宋体" w:cs="宋体"/>
                <w:color w:val="000000"/>
                <w:kern w:val="0"/>
                <w:sz w:val="24"/>
                <w:szCs w:val="24"/>
                <w:lang w:val="en-US" w:eastAsia="zh-CN" w:bidi="ar"/>
              </w:rPr>
              <w:t>3个瞬时样</w:t>
            </w:r>
          </w:p>
          <w:p>
            <w:pPr>
              <w:widowControl/>
              <w:jc w:val="center"/>
              <w:textAlignment w:val="center"/>
              <w:rPr>
                <w:rFonts w:hint="eastAsia" w:ascii="宋体" w:hAnsi="宋体" w:eastAsia="宋体" w:cs="宋体"/>
                <w:color w:val="000000"/>
                <w:kern w:val="0"/>
                <w:sz w:val="24"/>
                <w:szCs w:val="24"/>
                <w:lang w:eastAsia="zh-CN" w:bidi="ar"/>
              </w:rPr>
            </w:pPr>
          </w:p>
        </w:tc>
        <w:tc>
          <w:tcPr>
            <w:tcW w:w="116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rPr>
              <w:t>1次/月</w:t>
            </w:r>
          </w:p>
        </w:tc>
        <w:tc>
          <w:tcPr>
            <w:tcW w:w="155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《水质 粪大肠菌群的测定 多管发酵法》</w:t>
            </w:r>
          </w:p>
          <w:p>
            <w:pPr>
              <w:widowControl/>
              <w:jc w:val="center"/>
              <w:textAlignment w:val="center"/>
              <w:rPr>
                <w:rStyle w:val="30"/>
                <w:rFonts w:ascii="宋体" w:hAnsi="宋体" w:eastAsia="宋体" w:cs="宋体"/>
                <w:color w:val="auto"/>
                <w:sz w:val="24"/>
                <w:szCs w:val="24"/>
                <w:highlight w:val="none"/>
                <w:lang w:bidi="ar"/>
              </w:rPr>
            </w:pPr>
            <w:r>
              <w:rPr>
                <w:rStyle w:val="30"/>
                <w:rFonts w:hint="eastAsia" w:ascii="宋体" w:hAnsi="宋体" w:eastAsia="宋体" w:cs="宋体"/>
                <w:color w:val="auto"/>
                <w:sz w:val="24"/>
                <w:szCs w:val="24"/>
                <w:highlight w:val="none"/>
                <w:lang w:bidi="ar"/>
              </w:rPr>
              <w:t>HJ 347.2-2018</w:t>
            </w:r>
          </w:p>
          <w:p>
            <w:pPr>
              <w:widowControl/>
              <w:jc w:val="center"/>
              <w:textAlignment w:val="center"/>
              <w:rPr>
                <w:rStyle w:val="27"/>
                <w:rFonts w:ascii="宋体" w:hAnsi="宋体" w:eastAsia="宋体" w:cs="宋体"/>
                <w:sz w:val="24"/>
                <w:szCs w:val="24"/>
                <w:lang w:bidi="ar"/>
              </w:rPr>
            </w:pPr>
          </w:p>
        </w:tc>
        <w:tc>
          <w:tcPr>
            <w:tcW w:w="992" w:type="dxa"/>
            <w:tcBorders>
              <w:tl2br w:val="nil"/>
              <w:tr2bl w:val="nil"/>
            </w:tcBorders>
            <w:shd w:val="clear" w:color="auto" w:fill="auto"/>
            <w:vAlign w:val="center"/>
          </w:tcPr>
          <w:p>
            <w:pPr>
              <w:widowControl/>
              <w:jc w:val="center"/>
              <w:textAlignment w:val="center"/>
              <w:rPr>
                <w:rStyle w:val="27"/>
                <w:rFonts w:ascii="宋体" w:hAnsi="宋体" w:eastAsia="宋体" w:cs="宋体"/>
                <w:color w:val="auto"/>
                <w:sz w:val="24"/>
                <w:szCs w:val="24"/>
                <w:lang w:bidi="ar"/>
              </w:rPr>
            </w:pPr>
            <w:r>
              <w:rPr>
                <w:rFonts w:hint="eastAsia" w:ascii="宋体" w:hAnsi="宋体" w:eastAsia="宋体" w:cs="宋体"/>
                <w:color w:val="auto"/>
                <w:kern w:val="0"/>
                <w:sz w:val="24"/>
                <w:szCs w:val="24"/>
                <w:lang w:bidi="ar"/>
              </w:rPr>
              <w:t>隔水式恒温培养箱</w:t>
            </w:r>
          </w:p>
        </w:tc>
        <w:tc>
          <w:tcPr>
            <w:tcW w:w="1418" w:type="dxa"/>
            <w:tcBorders>
              <w:tl2br w:val="nil"/>
              <w:tr2bl w:val="nil"/>
            </w:tcBorders>
            <w:shd w:val="clear" w:color="auto" w:fill="auto"/>
            <w:vAlign w:val="center"/>
          </w:tcPr>
          <w:p>
            <w:pPr>
              <w:widowControl/>
              <w:jc w:val="left"/>
              <w:rPr>
                <w:rStyle w:val="27"/>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highlight w:val="none"/>
                <w:lang w:bidi="ar"/>
              </w:rPr>
              <w:t>单独采集微生物样品，不预洗采样瓶，样品采集至采样瓶体积的8</w:t>
            </w:r>
            <w:r>
              <w:rPr>
                <w:rFonts w:ascii="宋体" w:hAnsi="宋体" w:eastAsia="宋体" w:cs="宋体"/>
                <w:color w:val="auto"/>
                <w:kern w:val="0"/>
                <w:sz w:val="24"/>
                <w:szCs w:val="24"/>
                <w:highlight w:val="none"/>
                <w:lang w:bidi="ar"/>
              </w:rPr>
              <w:t>0</w:t>
            </w:r>
            <w:r>
              <w:rPr>
                <w:rFonts w:hint="eastAsia" w:ascii="宋体" w:hAnsi="宋体" w:eastAsia="宋体" w:cs="宋体"/>
                <w:color w:val="auto"/>
                <w:kern w:val="0"/>
                <w:sz w:val="24"/>
                <w:szCs w:val="24"/>
                <w:highlight w:val="none"/>
                <w:lang w:bidi="ar"/>
              </w:rPr>
              <w:t>%左右，冷藏，避光</w:t>
            </w:r>
          </w:p>
        </w:tc>
        <w:tc>
          <w:tcPr>
            <w:tcW w:w="1342"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48"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12</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DW001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污水排放口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阴离子表面活性剂</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手工</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《城镇污水处理厂污染物排放标准》（GB18918-2002）一级A标准排放</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≤0.5</w:t>
            </w:r>
            <w:r>
              <w:rPr>
                <w:rFonts w:ascii="宋体" w:hAnsi="宋体" w:eastAsia="宋体" w:cs="宋体"/>
                <w:color w:val="auto"/>
                <w:sz w:val="24"/>
                <w:szCs w:val="24"/>
              </w:rPr>
              <w:t>mg/ L</w:t>
            </w:r>
          </w:p>
        </w:tc>
        <w:tc>
          <w:tcPr>
            <w:tcW w:w="705" w:type="dxa"/>
            <w:tcBorders>
              <w:tl2br w:val="nil"/>
              <w:tr2bl w:val="nil"/>
            </w:tcBorders>
            <w:shd w:val="clear" w:color="auto" w:fill="auto"/>
            <w:vAlign w:val="center"/>
          </w:tcPr>
          <w:p>
            <w:pPr>
              <w:jc w:val="center"/>
              <w:rPr>
                <w:rFonts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w:t>
            </w:r>
            <w:r>
              <w:rPr>
                <w:rFonts w:hint="eastAsia" w:ascii="宋体" w:hAnsi="宋体" w:eastAsia="宋体" w:cs="宋体"/>
                <w:color w:val="000000" w:themeColor="text1"/>
                <w:sz w:val="24"/>
                <w:szCs w:val="24"/>
                <w:lang w:val="en-US" w:eastAsia="zh-CN"/>
                <w14:textFill>
                  <w14:solidFill>
                    <w14:schemeClr w14:val="tx1"/>
                  </w14:solidFill>
                </w14:textFill>
              </w:rPr>
              <w:t>5</w:t>
            </w:r>
            <w:r>
              <w:rPr>
                <w:rFonts w:ascii="宋体" w:hAnsi="宋体" w:eastAsia="宋体" w:cs="宋体"/>
                <w:color w:val="000000" w:themeColor="text1"/>
                <w:sz w:val="24"/>
                <w:szCs w:val="24"/>
                <w14:textFill>
                  <w14:solidFill>
                    <w14:schemeClr w14:val="tx1"/>
                  </w14:solidFill>
                </w14:textFill>
              </w:rPr>
              <w:t>mg/ L</w:t>
            </w:r>
          </w:p>
        </w:tc>
        <w:tc>
          <w:tcPr>
            <w:tcW w:w="705"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320"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990"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155"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瞬时采样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000000"/>
                <w:kern w:val="0"/>
                <w:sz w:val="24"/>
                <w:szCs w:val="24"/>
                <w:lang w:bidi="ar"/>
              </w:rPr>
              <w:t>至少3个瞬时样</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000000"/>
                <w:kern w:val="0"/>
                <w:sz w:val="24"/>
                <w:szCs w:val="24"/>
                <w:highlight w:val="none"/>
              </w:rPr>
              <w:t>1次/月</w:t>
            </w:r>
          </w:p>
        </w:tc>
        <w:tc>
          <w:tcPr>
            <w:tcW w:w="15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宋体" w:hAnsi="宋体" w:eastAsia="宋体" w:cs="宋体"/>
                <w:color w:val="auto"/>
                <w:sz w:val="24"/>
                <w:szCs w:val="24"/>
                <w:highlight w:val="none"/>
                <w:lang w:val="en-US"/>
              </w:rPr>
            </w:pPr>
            <w:r>
              <w:rPr>
                <w:rFonts w:hint="eastAsia" w:ascii="宋体" w:hAnsi="宋体" w:eastAsia="宋体" w:cs="宋体"/>
                <w:color w:val="0000FF"/>
                <w:sz w:val="24"/>
                <w:szCs w:val="24"/>
                <w:highlight w:val="none"/>
                <w:lang w:val="en-US" w:eastAsia="zh-CN"/>
              </w:rPr>
              <w:t>水质</w:t>
            </w:r>
            <w:r>
              <w:rPr>
                <w:rFonts w:hint="eastAsia" w:ascii="宋体" w:hAnsi="宋体" w:eastAsia="宋体" w:cs="宋体"/>
                <w:color w:val="0000FF"/>
                <w:kern w:val="0"/>
                <w:sz w:val="24"/>
                <w:szCs w:val="24"/>
                <w:lang w:bidi="ar"/>
              </w:rPr>
              <w:t>阴离子表面活性剂</w:t>
            </w:r>
            <w:r>
              <w:rPr>
                <w:rFonts w:hint="eastAsia" w:ascii="宋体" w:hAnsi="宋体" w:eastAsia="宋体" w:cs="宋体"/>
                <w:color w:val="0000FF"/>
                <w:kern w:val="0"/>
                <w:sz w:val="24"/>
                <w:szCs w:val="24"/>
                <w:lang w:val="en-US" w:eastAsia="zh-CN" w:bidi="ar"/>
              </w:rPr>
              <w:t xml:space="preserve">测定 </w:t>
            </w:r>
            <w:r>
              <w:rPr>
                <w:rFonts w:hint="eastAsia" w:ascii="宋体" w:hAnsi="宋体" w:eastAsia="宋体" w:cs="宋体"/>
                <w:color w:val="0000FF"/>
                <w:sz w:val="24"/>
                <w:szCs w:val="24"/>
                <w:highlight w:val="none"/>
              </w:rPr>
              <w:t>亚甲蓝分光光度法</w:t>
            </w:r>
            <w:r>
              <w:rPr>
                <w:rFonts w:hint="eastAsia" w:ascii="宋体" w:hAnsi="宋体" w:eastAsia="宋体" w:cs="宋体"/>
                <w:color w:val="0000FF"/>
                <w:sz w:val="24"/>
                <w:szCs w:val="24"/>
                <w:highlight w:val="none"/>
                <w:lang w:val="en-US" w:eastAsia="zh-CN"/>
              </w:rPr>
              <w:t>GB7494-87</w:t>
            </w:r>
          </w:p>
        </w:tc>
        <w:tc>
          <w:tcPr>
            <w:tcW w:w="99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可见分光光度计</w:t>
            </w:r>
          </w:p>
        </w:tc>
        <w:tc>
          <w:tcPr>
            <w:tcW w:w="1418"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lang w:bidi="ar"/>
              </w:rPr>
            </w:pPr>
            <w:r>
              <w:rPr>
                <w:rStyle w:val="27"/>
                <w:rFonts w:ascii="宋体" w:hAnsi="宋体" w:eastAsia="宋体" w:cs="宋体"/>
                <w:color w:val="auto"/>
                <w:sz w:val="24"/>
                <w:szCs w:val="24"/>
                <w:highlight w:val="none"/>
                <w:lang w:bidi="ar"/>
              </w:rPr>
              <w:t>1</w:t>
            </w:r>
            <w:r>
              <w:rPr>
                <w:rStyle w:val="27"/>
                <w:rFonts w:hint="eastAsia" w:ascii="宋体" w:hAnsi="宋体" w:eastAsia="宋体" w:cs="宋体"/>
                <w:color w:val="auto"/>
                <w:sz w:val="24"/>
                <w:szCs w:val="24"/>
                <w:highlight w:val="none"/>
                <w:lang w:bidi="ar"/>
              </w:rPr>
              <w:t>%的甲醛，冷藏</w:t>
            </w:r>
          </w:p>
        </w:tc>
        <w:tc>
          <w:tcPr>
            <w:tcW w:w="1342"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kern w:val="0"/>
                <w:sz w:val="24"/>
                <w:szCs w:val="24"/>
                <w:lang w:bidi="ar"/>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625"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r>
              <w:rPr>
                <w:rFonts w:ascii="宋体" w:hAnsi="宋体" w:eastAsia="宋体" w:cs="宋体"/>
                <w:color w:val="000000"/>
                <w:kern w:val="0"/>
                <w:sz w:val="24"/>
                <w:szCs w:val="24"/>
                <w:lang w:bidi="ar"/>
              </w:rPr>
              <w:t>3</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DW001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污水排放口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石油类</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手工</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《城镇污水处理厂污染物排放标准》（GB18918-2002）一级A标准排放</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≤1mg/L</w:t>
            </w:r>
          </w:p>
        </w:tc>
        <w:tc>
          <w:tcPr>
            <w:tcW w:w="705" w:type="dxa"/>
            <w:tcBorders>
              <w:tl2br w:val="nil"/>
              <w:tr2bl w:val="nil"/>
            </w:tcBorders>
            <w:shd w:val="clear" w:color="auto" w:fill="auto"/>
            <w:vAlign w:val="center"/>
          </w:tcPr>
          <w:p>
            <w:pPr>
              <w:jc w:val="center"/>
              <w:rPr>
                <w:rFonts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0.06mg/L</w:t>
            </w:r>
          </w:p>
        </w:tc>
        <w:tc>
          <w:tcPr>
            <w:tcW w:w="705" w:type="dxa"/>
            <w:tcBorders>
              <w:tl2br w:val="nil"/>
              <w:tr2bl w:val="nil"/>
            </w:tcBorders>
            <w:shd w:val="clear" w:color="auto" w:fill="auto"/>
            <w:vAlign w:val="center"/>
          </w:tcPr>
          <w:p>
            <w:pPr>
              <w:jc w:val="center"/>
              <w:rPr>
                <w:rFonts w:ascii="宋体" w:hAnsi="宋体" w:eastAsia="宋体" w:cs="宋体"/>
                <w:color w:val="auto"/>
                <w:sz w:val="24"/>
                <w:szCs w:val="24"/>
              </w:rPr>
            </w:pPr>
          </w:p>
        </w:tc>
        <w:tc>
          <w:tcPr>
            <w:tcW w:w="1320" w:type="dxa"/>
            <w:tcBorders>
              <w:tl2br w:val="nil"/>
              <w:tr2bl w:val="nil"/>
            </w:tcBorders>
            <w:shd w:val="clear" w:color="auto" w:fill="auto"/>
            <w:vAlign w:val="center"/>
          </w:tcPr>
          <w:p>
            <w:pPr>
              <w:jc w:val="center"/>
              <w:rPr>
                <w:rFonts w:ascii="宋体" w:hAnsi="宋体" w:eastAsia="宋体" w:cs="宋体"/>
                <w:color w:val="auto"/>
                <w:sz w:val="24"/>
                <w:szCs w:val="24"/>
              </w:rPr>
            </w:pPr>
          </w:p>
        </w:tc>
        <w:tc>
          <w:tcPr>
            <w:tcW w:w="990" w:type="dxa"/>
            <w:tcBorders>
              <w:tl2br w:val="nil"/>
              <w:tr2bl w:val="nil"/>
            </w:tcBorders>
            <w:shd w:val="clear" w:color="auto" w:fill="auto"/>
            <w:vAlign w:val="center"/>
          </w:tcPr>
          <w:p>
            <w:pPr>
              <w:jc w:val="center"/>
              <w:rPr>
                <w:rFonts w:ascii="宋体" w:hAnsi="宋体" w:eastAsia="宋体" w:cs="宋体"/>
                <w:color w:val="auto"/>
                <w:sz w:val="24"/>
                <w:szCs w:val="24"/>
              </w:rPr>
            </w:pPr>
          </w:p>
        </w:tc>
        <w:tc>
          <w:tcPr>
            <w:tcW w:w="1155" w:type="dxa"/>
            <w:tcBorders>
              <w:tl2br w:val="nil"/>
              <w:tr2bl w:val="nil"/>
            </w:tcBorders>
            <w:shd w:val="clear" w:color="auto" w:fill="auto"/>
            <w:vAlign w:val="center"/>
          </w:tcPr>
          <w:p>
            <w:pPr>
              <w:jc w:val="center"/>
              <w:rPr>
                <w:rFonts w:ascii="宋体" w:hAnsi="宋体" w:eastAsia="宋体" w:cs="宋体"/>
                <w:color w:val="auto"/>
                <w:sz w:val="24"/>
                <w:szCs w:val="24"/>
              </w:rPr>
            </w:pP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 xml:space="preserve">瞬时采样 </w:t>
            </w:r>
          </w:p>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至少3个瞬时样</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000000"/>
                <w:kern w:val="0"/>
                <w:sz w:val="24"/>
                <w:szCs w:val="24"/>
                <w:highlight w:val="none"/>
              </w:rPr>
              <w:t>1次/月</w:t>
            </w:r>
          </w:p>
        </w:tc>
        <w:tc>
          <w:tcPr>
            <w:tcW w:w="155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《水质 石油类和动植物油类的测定 红外分光光度法》</w:t>
            </w:r>
          </w:p>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HJ 637-2018</w:t>
            </w:r>
          </w:p>
        </w:tc>
        <w:tc>
          <w:tcPr>
            <w:tcW w:w="992"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rPr>
              <w:t>红外</w:t>
            </w:r>
            <w:r>
              <w:rPr>
                <w:rFonts w:hint="eastAsia" w:ascii="宋体" w:hAnsi="宋体" w:eastAsia="宋体" w:cs="宋体"/>
                <w:color w:val="auto"/>
                <w:sz w:val="24"/>
                <w:szCs w:val="24"/>
                <w:lang w:val="en-US" w:eastAsia="zh-CN"/>
              </w:rPr>
              <w:t>分光</w:t>
            </w:r>
            <w:r>
              <w:rPr>
                <w:rFonts w:hint="eastAsia" w:ascii="宋体" w:hAnsi="宋体" w:eastAsia="宋体" w:cs="宋体"/>
                <w:color w:val="auto"/>
                <w:sz w:val="24"/>
                <w:szCs w:val="24"/>
              </w:rPr>
              <w:t>测油仪</w:t>
            </w:r>
          </w:p>
        </w:tc>
        <w:tc>
          <w:tcPr>
            <w:tcW w:w="1418" w:type="dxa"/>
            <w:tcBorders>
              <w:tl2br w:val="nil"/>
              <w:tr2bl w:val="nil"/>
            </w:tcBorders>
            <w:shd w:val="clear" w:color="auto" w:fill="auto"/>
            <w:vAlign w:val="center"/>
          </w:tcPr>
          <w:p>
            <w:pPr>
              <w:widowControl/>
              <w:jc w:val="left"/>
              <w:rPr>
                <w:rStyle w:val="27"/>
                <w:rFonts w:ascii="宋体" w:hAnsi="宋体" w:eastAsia="宋体" w:cs="宋体"/>
                <w:color w:val="auto"/>
                <w:sz w:val="24"/>
                <w:szCs w:val="24"/>
              </w:rPr>
            </w:pPr>
            <w:r>
              <w:rPr>
                <w:rFonts w:hint="eastAsia" w:ascii="宋体" w:hAnsi="宋体" w:eastAsia="宋体" w:cs="宋体"/>
                <w:color w:val="auto"/>
                <w:kern w:val="0"/>
                <w:sz w:val="24"/>
                <w:szCs w:val="24"/>
                <w:lang w:bidi="ar"/>
              </w:rPr>
              <w:t>HCl，pH≤2</w:t>
            </w:r>
          </w:p>
        </w:tc>
        <w:tc>
          <w:tcPr>
            <w:tcW w:w="1342"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highlight w:val="none"/>
                <w:lang w:bidi="ar"/>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625"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r>
              <w:rPr>
                <w:rFonts w:ascii="宋体" w:hAnsi="宋体" w:eastAsia="宋体" w:cs="宋体"/>
                <w:color w:val="000000"/>
                <w:kern w:val="0"/>
                <w:sz w:val="24"/>
                <w:szCs w:val="24"/>
                <w:lang w:bidi="ar"/>
              </w:rPr>
              <w:t>4</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DW001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污水排放口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动植物油</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手工</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《城镇污水处理厂污染物排放标准》（GB18918-2002）一级A标准排放</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≤1mg/L</w:t>
            </w:r>
          </w:p>
        </w:tc>
        <w:tc>
          <w:tcPr>
            <w:tcW w:w="705" w:type="dxa"/>
            <w:tcBorders>
              <w:tl2br w:val="nil"/>
              <w:tr2bl w:val="nil"/>
            </w:tcBorders>
            <w:shd w:val="clear" w:color="auto" w:fill="auto"/>
            <w:vAlign w:val="center"/>
          </w:tcPr>
          <w:p>
            <w:pPr>
              <w:jc w:val="center"/>
              <w:rPr>
                <w:rFonts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0.06mg/L</w:t>
            </w:r>
          </w:p>
        </w:tc>
        <w:tc>
          <w:tcPr>
            <w:tcW w:w="705" w:type="dxa"/>
            <w:tcBorders>
              <w:tl2br w:val="nil"/>
              <w:tr2bl w:val="nil"/>
            </w:tcBorders>
            <w:shd w:val="clear" w:color="auto" w:fill="auto"/>
            <w:vAlign w:val="center"/>
          </w:tcPr>
          <w:p>
            <w:pPr>
              <w:jc w:val="center"/>
              <w:rPr>
                <w:rFonts w:ascii="宋体" w:hAnsi="宋体" w:eastAsia="宋体" w:cs="宋体"/>
                <w:color w:val="auto"/>
                <w:sz w:val="24"/>
                <w:szCs w:val="24"/>
              </w:rPr>
            </w:pPr>
          </w:p>
        </w:tc>
        <w:tc>
          <w:tcPr>
            <w:tcW w:w="1320" w:type="dxa"/>
            <w:tcBorders>
              <w:tl2br w:val="nil"/>
              <w:tr2bl w:val="nil"/>
            </w:tcBorders>
            <w:shd w:val="clear" w:color="auto" w:fill="auto"/>
            <w:vAlign w:val="center"/>
          </w:tcPr>
          <w:p>
            <w:pPr>
              <w:jc w:val="center"/>
              <w:rPr>
                <w:rFonts w:ascii="宋体" w:hAnsi="宋体" w:eastAsia="宋体" w:cs="宋体"/>
                <w:color w:val="auto"/>
                <w:sz w:val="24"/>
                <w:szCs w:val="24"/>
              </w:rPr>
            </w:pPr>
          </w:p>
        </w:tc>
        <w:tc>
          <w:tcPr>
            <w:tcW w:w="990" w:type="dxa"/>
            <w:tcBorders>
              <w:tl2br w:val="nil"/>
              <w:tr2bl w:val="nil"/>
            </w:tcBorders>
            <w:shd w:val="clear" w:color="auto" w:fill="auto"/>
            <w:vAlign w:val="center"/>
          </w:tcPr>
          <w:p>
            <w:pPr>
              <w:jc w:val="center"/>
              <w:rPr>
                <w:rFonts w:ascii="宋体" w:hAnsi="宋体" w:eastAsia="宋体" w:cs="宋体"/>
                <w:color w:val="auto"/>
                <w:sz w:val="24"/>
                <w:szCs w:val="24"/>
              </w:rPr>
            </w:pPr>
          </w:p>
        </w:tc>
        <w:tc>
          <w:tcPr>
            <w:tcW w:w="1155" w:type="dxa"/>
            <w:tcBorders>
              <w:tl2br w:val="nil"/>
              <w:tr2bl w:val="nil"/>
            </w:tcBorders>
            <w:shd w:val="clear" w:color="auto" w:fill="auto"/>
            <w:vAlign w:val="center"/>
          </w:tcPr>
          <w:p>
            <w:pPr>
              <w:jc w:val="center"/>
              <w:rPr>
                <w:rFonts w:ascii="宋体" w:hAnsi="宋体" w:eastAsia="宋体" w:cs="宋体"/>
                <w:color w:val="auto"/>
                <w:sz w:val="24"/>
                <w:szCs w:val="24"/>
              </w:rPr>
            </w:pP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 xml:space="preserve">瞬时采样 </w:t>
            </w:r>
          </w:p>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至少3个瞬时样</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000000"/>
                <w:kern w:val="0"/>
                <w:sz w:val="24"/>
                <w:szCs w:val="24"/>
              </w:rPr>
              <w:t>1次/月</w:t>
            </w:r>
          </w:p>
        </w:tc>
        <w:tc>
          <w:tcPr>
            <w:tcW w:w="155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《水质 石油类和动植物油类的测定 红外分光光度法》</w:t>
            </w:r>
          </w:p>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HJ 637-2018</w:t>
            </w:r>
          </w:p>
        </w:tc>
        <w:tc>
          <w:tcPr>
            <w:tcW w:w="992"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rPr>
              <w:t>红外</w:t>
            </w:r>
            <w:r>
              <w:rPr>
                <w:rFonts w:hint="eastAsia" w:ascii="宋体" w:hAnsi="宋体" w:eastAsia="宋体" w:cs="宋体"/>
                <w:color w:val="auto"/>
                <w:sz w:val="24"/>
                <w:szCs w:val="24"/>
                <w:lang w:val="en-US" w:eastAsia="zh-CN"/>
              </w:rPr>
              <w:t>分光</w:t>
            </w:r>
            <w:r>
              <w:rPr>
                <w:rFonts w:hint="eastAsia" w:ascii="宋体" w:hAnsi="宋体" w:eastAsia="宋体" w:cs="宋体"/>
                <w:color w:val="auto"/>
                <w:sz w:val="24"/>
                <w:szCs w:val="24"/>
              </w:rPr>
              <w:t>测油仪</w:t>
            </w:r>
          </w:p>
        </w:tc>
        <w:tc>
          <w:tcPr>
            <w:tcW w:w="1418" w:type="dxa"/>
            <w:tcBorders>
              <w:tl2br w:val="nil"/>
              <w:tr2bl w:val="nil"/>
            </w:tcBorders>
            <w:shd w:val="clear" w:color="auto" w:fill="auto"/>
            <w:vAlign w:val="center"/>
          </w:tcPr>
          <w:p>
            <w:pPr>
              <w:widowControl/>
              <w:jc w:val="left"/>
              <w:rPr>
                <w:rStyle w:val="27"/>
                <w:rFonts w:ascii="宋体" w:hAnsi="宋体" w:eastAsia="宋体" w:cs="宋体"/>
                <w:color w:val="auto"/>
                <w:sz w:val="24"/>
                <w:szCs w:val="24"/>
                <w:highlight w:val="none"/>
              </w:rPr>
            </w:pPr>
            <w:r>
              <w:rPr>
                <w:rFonts w:hint="eastAsia" w:ascii="宋体" w:hAnsi="宋体" w:eastAsia="宋体" w:cs="宋体"/>
                <w:color w:val="000000"/>
                <w:kern w:val="0"/>
                <w:sz w:val="24"/>
                <w:szCs w:val="24"/>
                <w:highlight w:val="none"/>
                <w:lang w:bidi="ar"/>
              </w:rPr>
              <w:t>HCl，pH≤2</w:t>
            </w:r>
          </w:p>
        </w:tc>
        <w:tc>
          <w:tcPr>
            <w:tcW w:w="1342" w:type="dxa"/>
            <w:tcBorders>
              <w:tl2br w:val="nil"/>
              <w:tr2bl w:val="nil"/>
            </w:tcBorders>
            <w:shd w:val="clear" w:color="auto" w:fill="auto"/>
            <w:vAlign w:val="center"/>
          </w:tcPr>
          <w:p>
            <w:pPr>
              <w:widowControl/>
              <w:jc w:val="center"/>
              <w:textAlignment w:val="center"/>
              <w:rPr>
                <w:rFonts w:ascii="宋体" w:hAnsi="宋体" w:eastAsia="宋体" w:cs="宋体"/>
                <w:kern w:val="0"/>
                <w:sz w:val="24"/>
                <w:szCs w:val="24"/>
                <w:highlight w:val="none"/>
                <w:lang w:bidi="ar"/>
              </w:rPr>
            </w:pPr>
            <w:r>
              <w:rPr>
                <w:rFonts w:hint="eastAsia" w:ascii="宋体" w:hAnsi="宋体" w:eastAsia="宋体" w:cs="宋体"/>
                <w:color w:val="000000"/>
                <w:kern w:val="0"/>
                <w:sz w:val="24"/>
                <w:szCs w:val="24"/>
                <w:highlight w:val="none"/>
                <w:lang w:bidi="ar"/>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625"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r>
              <w:rPr>
                <w:rFonts w:ascii="宋体" w:hAnsi="宋体" w:eastAsia="宋体" w:cs="宋体"/>
                <w:color w:val="000000"/>
                <w:kern w:val="0"/>
                <w:sz w:val="24"/>
                <w:szCs w:val="24"/>
                <w:lang w:bidi="ar"/>
              </w:rPr>
              <w:t>5</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DW001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污水排放口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六价铬</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手工</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《城镇污水处理厂污染物排放标准》（GB18918-2002）一级A标准排放</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≤0.05mg/L</w:t>
            </w:r>
          </w:p>
        </w:tc>
        <w:tc>
          <w:tcPr>
            <w:tcW w:w="705" w:type="dxa"/>
            <w:tcBorders>
              <w:tl2br w:val="nil"/>
              <w:tr2bl w:val="nil"/>
            </w:tcBorders>
            <w:shd w:val="clear" w:color="auto" w:fill="auto"/>
            <w:vAlign w:val="center"/>
          </w:tcPr>
          <w:p>
            <w:pPr>
              <w:jc w:val="center"/>
              <w:rPr>
                <w:rFonts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0.00</w:t>
            </w: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mg/L</w:t>
            </w:r>
          </w:p>
        </w:tc>
        <w:tc>
          <w:tcPr>
            <w:tcW w:w="705" w:type="dxa"/>
            <w:tcBorders>
              <w:tl2br w:val="nil"/>
              <w:tr2bl w:val="nil"/>
            </w:tcBorders>
            <w:shd w:val="clear" w:color="auto" w:fill="auto"/>
            <w:vAlign w:val="center"/>
          </w:tcPr>
          <w:p>
            <w:pPr>
              <w:jc w:val="center"/>
              <w:rPr>
                <w:rFonts w:ascii="宋体" w:hAnsi="宋体" w:eastAsia="宋体" w:cs="宋体"/>
                <w:color w:val="auto"/>
                <w:sz w:val="24"/>
                <w:szCs w:val="24"/>
              </w:rPr>
            </w:pPr>
          </w:p>
        </w:tc>
        <w:tc>
          <w:tcPr>
            <w:tcW w:w="1320" w:type="dxa"/>
            <w:tcBorders>
              <w:tl2br w:val="nil"/>
              <w:tr2bl w:val="nil"/>
            </w:tcBorders>
            <w:shd w:val="clear" w:color="auto" w:fill="auto"/>
            <w:vAlign w:val="center"/>
          </w:tcPr>
          <w:p>
            <w:pPr>
              <w:jc w:val="center"/>
              <w:rPr>
                <w:rFonts w:ascii="宋体" w:hAnsi="宋体" w:eastAsia="宋体" w:cs="宋体"/>
                <w:color w:val="auto"/>
                <w:sz w:val="24"/>
                <w:szCs w:val="24"/>
              </w:rPr>
            </w:pPr>
          </w:p>
        </w:tc>
        <w:tc>
          <w:tcPr>
            <w:tcW w:w="990" w:type="dxa"/>
            <w:tcBorders>
              <w:tl2br w:val="nil"/>
              <w:tr2bl w:val="nil"/>
            </w:tcBorders>
            <w:shd w:val="clear" w:color="auto" w:fill="auto"/>
            <w:vAlign w:val="center"/>
          </w:tcPr>
          <w:p>
            <w:pPr>
              <w:jc w:val="center"/>
              <w:rPr>
                <w:rFonts w:ascii="宋体" w:hAnsi="宋体" w:eastAsia="宋体" w:cs="宋体"/>
                <w:color w:val="auto"/>
                <w:sz w:val="24"/>
                <w:szCs w:val="24"/>
              </w:rPr>
            </w:pPr>
          </w:p>
        </w:tc>
        <w:tc>
          <w:tcPr>
            <w:tcW w:w="1155" w:type="dxa"/>
            <w:tcBorders>
              <w:tl2br w:val="nil"/>
              <w:tr2bl w:val="nil"/>
            </w:tcBorders>
            <w:shd w:val="clear" w:color="auto" w:fill="auto"/>
            <w:vAlign w:val="center"/>
          </w:tcPr>
          <w:p>
            <w:pPr>
              <w:jc w:val="center"/>
              <w:rPr>
                <w:rFonts w:ascii="宋体" w:hAnsi="宋体" w:eastAsia="宋体" w:cs="宋体"/>
                <w:color w:val="auto"/>
                <w:sz w:val="24"/>
                <w:szCs w:val="24"/>
              </w:rPr>
            </w:pP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瞬时采样 </w:t>
            </w:r>
          </w:p>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000000"/>
                <w:kern w:val="0"/>
                <w:sz w:val="24"/>
                <w:szCs w:val="24"/>
                <w:lang w:bidi="ar"/>
              </w:rPr>
              <w:t>至少3个瞬时样</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000000"/>
                <w:kern w:val="0"/>
                <w:sz w:val="24"/>
                <w:szCs w:val="24"/>
              </w:rPr>
              <w:t>1次/</w:t>
            </w:r>
            <w:r>
              <w:rPr>
                <w:rStyle w:val="29"/>
                <w:rFonts w:hint="default"/>
                <w:sz w:val="24"/>
                <w:szCs w:val="24"/>
              </w:rPr>
              <w:t>季</w:t>
            </w:r>
          </w:p>
        </w:tc>
        <w:tc>
          <w:tcPr>
            <w:tcW w:w="15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b w:val="0"/>
                <w:bCs w:val="0"/>
                <w:i w:val="0"/>
                <w:iCs w:val="0"/>
                <w:color w:val="0000FF"/>
                <w:kern w:val="0"/>
                <w:sz w:val="24"/>
                <w:szCs w:val="24"/>
                <w:u w:val="none"/>
                <w:lang w:val="en-US" w:eastAsia="zh-CN" w:bidi="ar"/>
              </w:rPr>
              <w:t>《水质 六价铬的测定》二苯碳酰二肼分光光度法 GB/T 7467-87</w:t>
            </w:r>
          </w:p>
        </w:tc>
        <w:tc>
          <w:tcPr>
            <w:tcW w:w="99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lang w:val="en-US" w:eastAsia="zh-CN"/>
              </w:rPr>
              <w:t>紫外</w:t>
            </w:r>
            <w:r>
              <w:rPr>
                <w:rFonts w:hint="eastAsia" w:ascii="宋体" w:hAnsi="宋体" w:eastAsia="宋体" w:cs="宋体"/>
                <w:color w:val="auto"/>
                <w:sz w:val="24"/>
                <w:szCs w:val="24"/>
                <w:lang w:eastAsia="zh-CN"/>
              </w:rPr>
              <w:t>可见</w:t>
            </w:r>
            <w:r>
              <w:rPr>
                <w:rFonts w:hint="eastAsia" w:ascii="宋体" w:hAnsi="宋体" w:eastAsia="宋体" w:cs="宋体"/>
                <w:color w:val="auto"/>
                <w:sz w:val="24"/>
                <w:szCs w:val="24"/>
              </w:rPr>
              <w:t>分光光度计</w:t>
            </w:r>
          </w:p>
        </w:tc>
        <w:tc>
          <w:tcPr>
            <w:tcW w:w="1418" w:type="dxa"/>
            <w:tcBorders>
              <w:tl2br w:val="nil"/>
              <w:tr2bl w:val="nil"/>
            </w:tcBorders>
            <w:shd w:val="clear" w:color="auto" w:fill="auto"/>
            <w:vAlign w:val="center"/>
          </w:tcPr>
          <w:p>
            <w:pPr>
              <w:widowControl/>
              <w:jc w:val="left"/>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NaOH，pH 8～9</w:t>
            </w:r>
          </w:p>
        </w:tc>
        <w:tc>
          <w:tcPr>
            <w:tcW w:w="1342"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yellow"/>
                <w:lang w:bidi="ar"/>
              </w:rPr>
            </w:pPr>
            <w:r>
              <w:rPr>
                <w:rFonts w:hint="eastAsia" w:ascii="宋体" w:hAnsi="宋体" w:eastAsia="宋体" w:cs="宋体"/>
                <w:color w:val="auto"/>
                <w:kern w:val="0"/>
                <w:sz w:val="24"/>
                <w:szCs w:val="24"/>
                <w:lang w:bidi="ar"/>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16"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16</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DW001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污水排放口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总汞</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手工</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《城镇污水处理厂污染物排放标准》（GB18918-2002）一级A标准排放</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≤0.001mg/L</w:t>
            </w:r>
          </w:p>
        </w:tc>
        <w:tc>
          <w:tcPr>
            <w:tcW w:w="705" w:type="dxa"/>
            <w:tcBorders>
              <w:tl2br w:val="nil"/>
              <w:tr2bl w:val="nil"/>
            </w:tcBorders>
            <w:shd w:val="clear" w:color="auto" w:fill="auto"/>
            <w:vAlign w:val="center"/>
          </w:tcPr>
          <w:p>
            <w:pPr>
              <w:jc w:val="center"/>
              <w:rPr>
                <w:rFonts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w:t>
            </w:r>
            <w:r>
              <w:rPr>
                <w:rFonts w:hint="eastAsia" w:ascii="宋体" w:hAnsi="宋体" w:eastAsia="宋体" w:cs="宋体"/>
                <w:color w:val="000000" w:themeColor="text1"/>
                <w:sz w:val="24"/>
                <w:szCs w:val="24"/>
                <w:lang w:val="en-US" w:eastAsia="zh-CN"/>
                <w14:textFill>
                  <w14:solidFill>
                    <w14:schemeClr w14:val="tx1"/>
                  </w14:solidFill>
                </w14:textFill>
              </w:rPr>
              <w:t>0000</w:t>
            </w:r>
            <w:r>
              <w:rPr>
                <w:rFonts w:hint="eastAsia" w:ascii="宋体" w:hAnsi="宋体" w:eastAsia="宋体" w:cs="宋体"/>
                <w:color w:val="000000" w:themeColor="text1"/>
                <w:sz w:val="24"/>
                <w:szCs w:val="24"/>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m</w:t>
            </w:r>
            <w:r>
              <w:rPr>
                <w:rFonts w:hint="eastAsia"/>
                <w:color w:val="000000" w:themeColor="text1"/>
                <w14:textFill>
                  <w14:solidFill>
                    <w14:schemeClr w14:val="tx1"/>
                  </w14:solidFill>
                </w14:textFill>
              </w:rPr>
              <w:t>g/L</w:t>
            </w:r>
          </w:p>
        </w:tc>
        <w:tc>
          <w:tcPr>
            <w:tcW w:w="705" w:type="dxa"/>
            <w:tcBorders>
              <w:tl2br w:val="nil"/>
              <w:tr2bl w:val="nil"/>
            </w:tcBorders>
            <w:shd w:val="clear" w:color="auto" w:fill="auto"/>
            <w:vAlign w:val="center"/>
          </w:tcPr>
          <w:p>
            <w:pPr>
              <w:jc w:val="center"/>
              <w:rPr>
                <w:rFonts w:ascii="宋体" w:hAnsi="宋体" w:eastAsia="宋体" w:cs="宋体"/>
                <w:color w:val="auto"/>
                <w:sz w:val="24"/>
                <w:szCs w:val="24"/>
              </w:rPr>
            </w:pPr>
          </w:p>
        </w:tc>
        <w:tc>
          <w:tcPr>
            <w:tcW w:w="1320" w:type="dxa"/>
            <w:tcBorders>
              <w:tl2br w:val="nil"/>
              <w:tr2bl w:val="nil"/>
            </w:tcBorders>
            <w:shd w:val="clear" w:color="auto" w:fill="auto"/>
            <w:vAlign w:val="center"/>
          </w:tcPr>
          <w:p>
            <w:pPr>
              <w:jc w:val="center"/>
              <w:rPr>
                <w:rFonts w:ascii="宋体" w:hAnsi="宋体" w:eastAsia="宋体" w:cs="宋体"/>
                <w:color w:val="auto"/>
                <w:sz w:val="24"/>
                <w:szCs w:val="24"/>
              </w:rPr>
            </w:pPr>
          </w:p>
        </w:tc>
        <w:tc>
          <w:tcPr>
            <w:tcW w:w="990"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155"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瞬时采样 </w:t>
            </w:r>
          </w:p>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 xml:space="preserve">至少3个瞬时样 </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1次/</w:t>
            </w:r>
            <w:r>
              <w:rPr>
                <w:rStyle w:val="29"/>
                <w:rFonts w:hint="default"/>
                <w:sz w:val="24"/>
                <w:szCs w:val="24"/>
              </w:rPr>
              <w:t>季</w:t>
            </w:r>
          </w:p>
        </w:tc>
        <w:tc>
          <w:tcPr>
            <w:tcW w:w="15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宋体" w:hAnsi="宋体" w:eastAsia="宋体" w:cs="宋体"/>
                <w:color w:val="0000FF"/>
                <w:kern w:val="0"/>
                <w:sz w:val="24"/>
                <w:szCs w:val="24"/>
                <w:lang w:val="en-US" w:bidi="ar"/>
              </w:rPr>
            </w:pPr>
            <w:r>
              <w:rPr>
                <w:rFonts w:hint="eastAsia" w:ascii="宋体" w:hAnsi="宋体" w:eastAsia="宋体" w:cs="宋体"/>
                <w:color w:val="0000FF"/>
                <w:sz w:val="24"/>
                <w:szCs w:val="24"/>
                <w:lang w:val="en-US" w:eastAsia="zh-CN"/>
              </w:rPr>
              <w:t>水质</w:t>
            </w:r>
            <w:r>
              <w:rPr>
                <w:rFonts w:hint="eastAsia" w:ascii="宋体" w:hAnsi="宋体" w:eastAsia="宋体" w:cs="宋体"/>
                <w:color w:val="0000FF"/>
                <w:kern w:val="0"/>
                <w:sz w:val="24"/>
                <w:szCs w:val="24"/>
                <w:lang w:bidi="ar"/>
              </w:rPr>
              <w:t>汞</w:t>
            </w:r>
            <w:r>
              <w:rPr>
                <w:rFonts w:hint="eastAsia" w:ascii="宋体" w:hAnsi="宋体" w:eastAsia="宋体" w:cs="宋体"/>
                <w:color w:val="0000FF"/>
                <w:kern w:val="0"/>
                <w:sz w:val="24"/>
                <w:szCs w:val="24"/>
                <w:lang w:eastAsia="zh-CN" w:bidi="ar"/>
              </w:rPr>
              <w:t>、</w:t>
            </w:r>
            <w:r>
              <w:rPr>
                <w:rFonts w:hint="eastAsia" w:ascii="宋体" w:hAnsi="宋体" w:eastAsia="宋体" w:cs="宋体"/>
                <w:color w:val="0000FF"/>
                <w:kern w:val="0"/>
                <w:sz w:val="24"/>
                <w:szCs w:val="24"/>
                <w:lang w:bidi="ar"/>
              </w:rPr>
              <w:t>砷</w:t>
            </w:r>
            <w:r>
              <w:rPr>
                <w:rFonts w:hint="eastAsia" w:ascii="宋体" w:hAnsi="宋体" w:eastAsia="宋体" w:cs="宋体"/>
                <w:color w:val="0000FF"/>
                <w:kern w:val="0"/>
                <w:sz w:val="24"/>
                <w:szCs w:val="24"/>
                <w:lang w:eastAsia="zh-CN" w:bidi="ar"/>
              </w:rPr>
              <w:t>、</w:t>
            </w:r>
            <w:r>
              <w:rPr>
                <w:rFonts w:hint="eastAsia" w:ascii="宋体" w:hAnsi="宋体" w:eastAsia="宋体" w:cs="宋体"/>
                <w:color w:val="0000FF"/>
                <w:kern w:val="0"/>
                <w:sz w:val="24"/>
                <w:szCs w:val="24"/>
                <w:lang w:val="en-US" w:eastAsia="zh-CN" w:bidi="ar"/>
              </w:rPr>
              <w:t xml:space="preserve">硒，铋和锑的测定 </w:t>
            </w:r>
            <w:r>
              <w:rPr>
                <w:rFonts w:hint="eastAsia" w:ascii="宋体" w:hAnsi="宋体" w:eastAsia="宋体" w:cs="宋体"/>
                <w:color w:val="0000FF"/>
                <w:sz w:val="24"/>
                <w:szCs w:val="24"/>
              </w:rPr>
              <w:t>原子</w:t>
            </w:r>
            <w:r>
              <w:rPr>
                <w:rFonts w:hint="eastAsia" w:ascii="宋体" w:hAnsi="宋体" w:eastAsia="宋体" w:cs="宋体"/>
                <w:color w:val="0000FF"/>
                <w:sz w:val="24"/>
                <w:szCs w:val="24"/>
                <w:lang w:val="en-US" w:eastAsia="zh-CN"/>
              </w:rPr>
              <w:t>荧光法</w:t>
            </w:r>
            <w:r>
              <w:rPr>
                <w:rFonts w:hint="eastAsia" w:ascii="宋体" w:hAnsi="宋体" w:eastAsia="宋体" w:cs="宋体"/>
                <w:b w:val="0"/>
                <w:bCs w:val="0"/>
                <w:i w:val="0"/>
                <w:iCs w:val="0"/>
                <w:color w:val="0000FF"/>
                <w:kern w:val="0"/>
                <w:sz w:val="24"/>
                <w:szCs w:val="24"/>
                <w:u w:val="none"/>
                <w:lang w:val="en-US" w:eastAsia="zh-CN" w:bidi="ar"/>
              </w:rPr>
              <w:t xml:space="preserve"> HJ 694-2014</w:t>
            </w:r>
          </w:p>
        </w:tc>
        <w:tc>
          <w:tcPr>
            <w:tcW w:w="99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宋体" w:hAnsi="宋体" w:eastAsia="宋体" w:cs="宋体"/>
                <w:color w:val="0000FF"/>
                <w:kern w:val="0"/>
                <w:sz w:val="24"/>
                <w:szCs w:val="24"/>
                <w:lang w:val="en-US" w:bidi="ar"/>
              </w:rPr>
            </w:pPr>
            <w:r>
              <w:rPr>
                <w:rFonts w:hint="eastAsia" w:ascii="宋体" w:hAnsi="宋体" w:eastAsia="宋体" w:cs="宋体"/>
                <w:color w:val="0000FF"/>
                <w:sz w:val="24"/>
                <w:szCs w:val="24"/>
              </w:rPr>
              <w:t>原子</w:t>
            </w:r>
            <w:r>
              <w:rPr>
                <w:rFonts w:hint="eastAsia" w:ascii="宋体" w:hAnsi="宋体" w:eastAsia="宋体" w:cs="宋体"/>
                <w:color w:val="0000FF"/>
                <w:sz w:val="24"/>
                <w:szCs w:val="24"/>
                <w:lang w:val="en-US" w:eastAsia="zh-CN"/>
              </w:rPr>
              <w:t>荧光光度计</w:t>
            </w:r>
          </w:p>
        </w:tc>
        <w:tc>
          <w:tcPr>
            <w:tcW w:w="1418"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HCl 1%，如水样为中性，1L水样中加浓HCl10ml</w:t>
            </w:r>
          </w:p>
        </w:tc>
        <w:tc>
          <w:tcPr>
            <w:tcW w:w="1342"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16"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r>
              <w:rPr>
                <w:rFonts w:ascii="宋体" w:hAnsi="宋体" w:eastAsia="宋体" w:cs="宋体"/>
                <w:color w:val="000000"/>
                <w:kern w:val="0"/>
                <w:sz w:val="24"/>
                <w:szCs w:val="24"/>
                <w:lang w:bidi="ar"/>
              </w:rPr>
              <w:t>7</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DW001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污水排放口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总</w:t>
            </w:r>
            <w:bookmarkStart w:id="1" w:name="OLE_LINK1"/>
            <w:r>
              <w:rPr>
                <w:rFonts w:hint="eastAsia" w:ascii="宋体" w:hAnsi="宋体" w:eastAsia="宋体" w:cs="宋体"/>
                <w:color w:val="auto"/>
                <w:kern w:val="0"/>
                <w:sz w:val="24"/>
                <w:szCs w:val="24"/>
                <w:lang w:bidi="ar"/>
              </w:rPr>
              <w:t>砷</w:t>
            </w:r>
            <w:bookmarkEnd w:id="1"/>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手工</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《城镇污水处理厂污染物排放标准》（GB18918-2002）一级A标准排放</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≤0.1mg/L</w:t>
            </w:r>
          </w:p>
        </w:tc>
        <w:tc>
          <w:tcPr>
            <w:tcW w:w="705" w:type="dxa"/>
            <w:tcBorders>
              <w:tl2br w:val="nil"/>
              <w:tr2bl w:val="nil"/>
            </w:tcBorders>
            <w:shd w:val="clear" w:color="auto" w:fill="auto"/>
            <w:vAlign w:val="center"/>
          </w:tcPr>
          <w:p>
            <w:pPr>
              <w:jc w:val="center"/>
              <w:rPr>
                <w:rFonts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w:t>
            </w:r>
            <w:r>
              <w:rPr>
                <w:rFonts w:hint="eastAsia" w:ascii="宋体" w:hAnsi="宋体" w:eastAsia="宋体" w:cs="宋体"/>
                <w:color w:val="000000" w:themeColor="text1"/>
                <w:sz w:val="24"/>
                <w:szCs w:val="24"/>
                <w:lang w:val="en-US" w:eastAsia="zh-CN"/>
                <w14:textFill>
                  <w14:solidFill>
                    <w14:schemeClr w14:val="tx1"/>
                  </w14:solidFill>
                </w14:textFill>
              </w:rPr>
              <w:t>12</w:t>
            </w:r>
            <w:r>
              <w:rPr>
                <w:rFonts w:hint="eastAsia" w:ascii="宋体" w:hAnsi="宋体" w:eastAsia="宋体" w:cs="宋体"/>
                <w:color w:val="000000"/>
                <w:sz w:val="24"/>
                <w:szCs w:val="24"/>
                <w:lang w:val="en-US" w:eastAsia="zh-CN"/>
              </w:rPr>
              <w:t>μ</w:t>
            </w:r>
            <w:r>
              <w:rPr>
                <w:rFonts w:hint="eastAsia"/>
                <w:color w:val="000000" w:themeColor="text1"/>
                <w14:textFill>
                  <w14:solidFill>
                    <w14:schemeClr w14:val="tx1"/>
                  </w14:solidFill>
                </w14:textFill>
              </w:rPr>
              <w:t>g/L</w:t>
            </w:r>
          </w:p>
        </w:tc>
        <w:tc>
          <w:tcPr>
            <w:tcW w:w="705" w:type="dxa"/>
            <w:tcBorders>
              <w:tl2br w:val="nil"/>
              <w:tr2bl w:val="nil"/>
            </w:tcBorders>
            <w:shd w:val="clear" w:color="auto" w:fill="auto"/>
            <w:vAlign w:val="center"/>
          </w:tcPr>
          <w:p>
            <w:pPr>
              <w:jc w:val="center"/>
              <w:rPr>
                <w:rFonts w:ascii="宋体" w:hAnsi="宋体" w:eastAsia="宋体" w:cs="宋体"/>
                <w:color w:val="auto"/>
                <w:sz w:val="24"/>
                <w:szCs w:val="24"/>
              </w:rPr>
            </w:pPr>
          </w:p>
        </w:tc>
        <w:tc>
          <w:tcPr>
            <w:tcW w:w="1320" w:type="dxa"/>
            <w:tcBorders>
              <w:tl2br w:val="nil"/>
              <w:tr2bl w:val="nil"/>
            </w:tcBorders>
            <w:shd w:val="clear" w:color="auto" w:fill="auto"/>
            <w:vAlign w:val="center"/>
          </w:tcPr>
          <w:p>
            <w:pPr>
              <w:jc w:val="center"/>
              <w:rPr>
                <w:rFonts w:ascii="宋体" w:hAnsi="宋体" w:eastAsia="宋体" w:cs="宋体"/>
                <w:color w:val="auto"/>
                <w:sz w:val="24"/>
                <w:szCs w:val="24"/>
              </w:rPr>
            </w:pPr>
          </w:p>
        </w:tc>
        <w:tc>
          <w:tcPr>
            <w:tcW w:w="990"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155"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瞬时采样 </w:t>
            </w:r>
          </w:p>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至少3个瞬时样</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rPr>
              <w:t>1次/</w:t>
            </w:r>
            <w:r>
              <w:rPr>
                <w:rStyle w:val="29"/>
                <w:rFonts w:hint="default"/>
                <w:sz w:val="24"/>
                <w:szCs w:val="24"/>
              </w:rPr>
              <w:t>季</w:t>
            </w:r>
          </w:p>
        </w:tc>
        <w:tc>
          <w:tcPr>
            <w:tcW w:w="1559"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auto"/>
                <w:kern w:val="0"/>
                <w:sz w:val="24"/>
                <w:szCs w:val="24"/>
                <w:lang w:bidi="ar"/>
              </w:rPr>
              <w:t>《水质 65种元素的测定 电感耦合等离子体质谱法》 HJ 700-2014</w:t>
            </w:r>
          </w:p>
        </w:tc>
        <w:tc>
          <w:tcPr>
            <w:tcW w:w="992" w:type="dxa"/>
            <w:tcBorders>
              <w:tl2br w:val="nil"/>
              <w:tr2bl w:val="nil"/>
            </w:tcBorders>
            <w:shd w:val="clear" w:color="auto" w:fill="auto"/>
            <w:vAlign w:val="center"/>
          </w:tcPr>
          <w:p>
            <w:pPr>
              <w:widowControl/>
              <w:jc w:val="center"/>
              <w:textAlignment w:val="center"/>
              <w:rPr>
                <w:rFonts w:ascii="宋体" w:hAnsi="宋体" w:eastAsia="宋体" w:cs="宋体"/>
                <w:color w:val="FF0000"/>
                <w:sz w:val="24"/>
                <w:szCs w:val="24"/>
              </w:rPr>
            </w:pPr>
            <w:r>
              <w:rPr>
                <w:rFonts w:hint="eastAsia" w:ascii="宋体" w:hAnsi="宋体" w:eastAsia="宋体" w:cs="宋体"/>
                <w:color w:val="auto"/>
                <w:sz w:val="24"/>
                <w:szCs w:val="24"/>
              </w:rPr>
              <w:t>电感耦合等离子</w:t>
            </w:r>
            <w:r>
              <w:rPr>
                <w:rFonts w:hint="eastAsia" w:ascii="宋体" w:hAnsi="宋体" w:eastAsia="宋体" w:cs="宋体"/>
                <w:color w:val="auto"/>
                <w:sz w:val="24"/>
                <w:szCs w:val="24"/>
                <w:lang w:val="en-US" w:eastAsia="zh-CN"/>
              </w:rPr>
              <w:t>体串联质</w:t>
            </w:r>
            <w:r>
              <w:rPr>
                <w:rFonts w:hint="eastAsia" w:ascii="宋体" w:hAnsi="宋体" w:eastAsia="宋体" w:cs="宋体"/>
                <w:color w:val="auto"/>
                <w:sz w:val="24"/>
                <w:szCs w:val="24"/>
              </w:rPr>
              <w:t>谱仪</w:t>
            </w:r>
          </w:p>
        </w:tc>
        <w:tc>
          <w:tcPr>
            <w:tcW w:w="1418" w:type="dxa"/>
            <w:tcBorders>
              <w:tl2br w:val="nil"/>
              <w:tr2bl w:val="nil"/>
            </w:tcBorders>
            <w:shd w:val="clear" w:color="auto" w:fill="auto"/>
            <w:vAlign w:val="center"/>
          </w:tcPr>
          <w:p>
            <w:pPr>
              <w:widowControl/>
              <w:jc w:val="left"/>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HNO</w:t>
            </w:r>
            <w:r>
              <w:rPr>
                <w:rFonts w:hint="eastAsia" w:ascii="宋体" w:hAnsi="宋体" w:eastAsia="宋体" w:cs="宋体"/>
                <w:color w:val="000000"/>
                <w:kern w:val="0"/>
                <w:sz w:val="24"/>
                <w:szCs w:val="24"/>
                <w:vertAlign w:val="subscript"/>
                <w:lang w:bidi="ar"/>
              </w:rPr>
              <w:t>3</w:t>
            </w:r>
            <w:r>
              <w:rPr>
                <w:rFonts w:hint="eastAsia" w:ascii="宋体" w:hAnsi="宋体" w:eastAsia="宋体" w:cs="宋体"/>
                <w:color w:val="000000"/>
                <w:kern w:val="0"/>
                <w:sz w:val="24"/>
                <w:szCs w:val="24"/>
                <w:lang w:bidi="ar"/>
              </w:rPr>
              <w:t>，1 L 水样中加浓 HNO</w:t>
            </w:r>
            <w:r>
              <w:rPr>
                <w:rFonts w:hint="eastAsia" w:ascii="宋体" w:hAnsi="宋体" w:eastAsia="宋体" w:cs="宋体"/>
                <w:color w:val="000000"/>
                <w:kern w:val="0"/>
                <w:sz w:val="24"/>
                <w:szCs w:val="24"/>
                <w:vertAlign w:val="subscript"/>
                <w:lang w:bidi="ar"/>
              </w:rPr>
              <w:t>3</w:t>
            </w:r>
            <w:r>
              <w:rPr>
                <w:rFonts w:hint="eastAsia" w:ascii="宋体" w:hAnsi="宋体" w:eastAsia="宋体" w:cs="宋体"/>
                <w:color w:val="000000"/>
                <w:kern w:val="0"/>
                <w:sz w:val="24"/>
                <w:szCs w:val="24"/>
                <w:lang w:bidi="ar"/>
              </w:rPr>
              <w:t>10ml，如用原子荧光法测定，1L水样中加10ml浓HCl</w:t>
            </w:r>
          </w:p>
        </w:tc>
        <w:tc>
          <w:tcPr>
            <w:tcW w:w="1342"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65"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18</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DW001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污水排放口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总镉</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手工</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《城镇污水处理厂污染物排放标准》（GB18918-2002）一级A标准排放</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≤0.01mg/L</w:t>
            </w:r>
          </w:p>
        </w:tc>
        <w:tc>
          <w:tcPr>
            <w:tcW w:w="705" w:type="dxa"/>
            <w:tcBorders>
              <w:tl2br w:val="nil"/>
              <w:tr2bl w:val="nil"/>
            </w:tcBorders>
            <w:shd w:val="clear" w:color="auto" w:fill="auto"/>
            <w:vAlign w:val="center"/>
          </w:tcPr>
          <w:p>
            <w:pPr>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0.05</w:t>
            </w:r>
          </w:p>
          <w:p>
            <w:pPr>
              <w:jc w:val="center"/>
              <w:rPr>
                <w:rFonts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sz w:val="24"/>
                <w:szCs w:val="24"/>
                <w:lang w:val="en-US" w:eastAsia="zh-CN"/>
              </w:rPr>
              <w:t>μ</w:t>
            </w:r>
            <w:r>
              <w:rPr>
                <w:rFonts w:hint="eastAsia"/>
                <w:color w:val="000000" w:themeColor="text1"/>
                <w14:textFill>
                  <w14:solidFill>
                    <w14:schemeClr w14:val="tx1"/>
                  </w14:solidFill>
                </w14:textFill>
              </w:rPr>
              <w:t>g/L</w:t>
            </w:r>
          </w:p>
        </w:tc>
        <w:tc>
          <w:tcPr>
            <w:tcW w:w="705"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320" w:type="dxa"/>
            <w:tcBorders>
              <w:tl2br w:val="nil"/>
              <w:tr2bl w:val="nil"/>
            </w:tcBorders>
            <w:shd w:val="clear" w:color="auto" w:fill="auto"/>
            <w:vAlign w:val="center"/>
          </w:tcPr>
          <w:p>
            <w:pPr>
              <w:jc w:val="center"/>
              <w:rPr>
                <w:rFonts w:hint="eastAsia" w:ascii="宋体" w:hAnsi="宋体" w:eastAsia="宋体" w:cs="宋体"/>
                <w:color w:val="000000"/>
                <w:sz w:val="24"/>
                <w:szCs w:val="24"/>
                <w:lang w:val="en-US" w:eastAsia="zh-CN"/>
              </w:rPr>
            </w:pPr>
          </w:p>
        </w:tc>
        <w:tc>
          <w:tcPr>
            <w:tcW w:w="990"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155"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瞬时采样 </w:t>
            </w:r>
          </w:p>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至少3个瞬时样</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1次/</w:t>
            </w:r>
            <w:r>
              <w:rPr>
                <w:rStyle w:val="29"/>
                <w:rFonts w:hint="default"/>
                <w:sz w:val="24"/>
                <w:szCs w:val="24"/>
              </w:rPr>
              <w:t>季</w:t>
            </w:r>
          </w:p>
        </w:tc>
        <w:tc>
          <w:tcPr>
            <w:tcW w:w="1559"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auto"/>
                <w:kern w:val="0"/>
                <w:sz w:val="24"/>
                <w:szCs w:val="24"/>
                <w:lang w:bidi="ar"/>
              </w:rPr>
              <w:t>《水质 65种元素的测定 电感耦合等离子体质谱法》 HJ 700-2014</w:t>
            </w:r>
          </w:p>
        </w:tc>
        <w:tc>
          <w:tcPr>
            <w:tcW w:w="992"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auto"/>
                <w:sz w:val="24"/>
                <w:szCs w:val="24"/>
              </w:rPr>
              <w:t>电感耦合等离子</w:t>
            </w:r>
            <w:r>
              <w:rPr>
                <w:rFonts w:hint="eastAsia" w:ascii="宋体" w:hAnsi="宋体" w:eastAsia="宋体" w:cs="宋体"/>
                <w:color w:val="auto"/>
                <w:sz w:val="24"/>
                <w:szCs w:val="24"/>
                <w:lang w:val="en-US" w:eastAsia="zh-CN"/>
              </w:rPr>
              <w:t>体串联质</w:t>
            </w:r>
            <w:r>
              <w:rPr>
                <w:rFonts w:hint="eastAsia" w:ascii="宋体" w:hAnsi="宋体" w:eastAsia="宋体" w:cs="宋体"/>
                <w:color w:val="auto"/>
                <w:sz w:val="24"/>
                <w:szCs w:val="24"/>
              </w:rPr>
              <w:t>谱仪</w:t>
            </w:r>
          </w:p>
        </w:tc>
        <w:tc>
          <w:tcPr>
            <w:tcW w:w="1418" w:type="dxa"/>
            <w:tcBorders>
              <w:tl2br w:val="nil"/>
              <w:tr2bl w:val="nil"/>
            </w:tcBorders>
            <w:shd w:val="clear" w:color="auto" w:fill="auto"/>
            <w:vAlign w:val="center"/>
          </w:tcPr>
          <w:p>
            <w:pPr>
              <w:widowControl/>
              <w:jc w:val="left"/>
              <w:rPr>
                <w:rFonts w:ascii="宋体" w:hAnsi="宋体" w:eastAsia="宋体" w:cs="宋体"/>
                <w:color w:val="000000"/>
                <w:sz w:val="24"/>
                <w:szCs w:val="24"/>
              </w:rPr>
            </w:pPr>
            <w:r>
              <w:rPr>
                <w:rFonts w:hint="eastAsia" w:ascii="宋体" w:hAnsi="宋体" w:eastAsia="宋体" w:cs="宋体"/>
                <w:color w:val="000000"/>
                <w:kern w:val="0"/>
                <w:sz w:val="24"/>
                <w:szCs w:val="24"/>
                <w:lang w:bidi="ar"/>
              </w:rPr>
              <w:t>HNO</w:t>
            </w:r>
            <w:r>
              <w:rPr>
                <w:rFonts w:hint="eastAsia" w:ascii="宋体" w:hAnsi="宋体" w:eastAsia="宋体" w:cs="宋体"/>
                <w:color w:val="000000"/>
                <w:kern w:val="0"/>
                <w:sz w:val="24"/>
                <w:szCs w:val="24"/>
                <w:vertAlign w:val="subscript"/>
                <w:lang w:bidi="ar"/>
              </w:rPr>
              <w:t>3</w:t>
            </w:r>
            <w:r>
              <w:rPr>
                <w:rFonts w:hint="eastAsia" w:ascii="宋体" w:hAnsi="宋体" w:eastAsia="宋体" w:cs="宋体"/>
                <w:color w:val="000000"/>
                <w:kern w:val="0"/>
                <w:sz w:val="24"/>
                <w:szCs w:val="24"/>
                <w:lang w:bidi="ar"/>
              </w:rPr>
              <w:t>，1L 水样中加浓 HNO</w:t>
            </w:r>
            <w:r>
              <w:rPr>
                <w:rFonts w:hint="eastAsia" w:ascii="宋体" w:hAnsi="宋体" w:eastAsia="宋体" w:cs="宋体"/>
                <w:color w:val="000000"/>
                <w:kern w:val="0"/>
                <w:sz w:val="24"/>
                <w:szCs w:val="24"/>
                <w:vertAlign w:val="subscript"/>
                <w:lang w:bidi="ar"/>
              </w:rPr>
              <w:t>3</w:t>
            </w:r>
            <w:r>
              <w:rPr>
                <w:rFonts w:hint="eastAsia" w:ascii="宋体" w:hAnsi="宋体" w:eastAsia="宋体" w:cs="宋体"/>
                <w:color w:val="000000"/>
                <w:kern w:val="0"/>
                <w:sz w:val="24"/>
                <w:szCs w:val="24"/>
                <w:lang w:bidi="ar"/>
              </w:rPr>
              <w:t>10 ml</w:t>
            </w:r>
          </w:p>
        </w:tc>
        <w:tc>
          <w:tcPr>
            <w:tcW w:w="1342"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746"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r>
              <w:rPr>
                <w:rFonts w:ascii="宋体" w:hAnsi="宋体" w:eastAsia="宋体" w:cs="宋体"/>
                <w:color w:val="000000"/>
                <w:kern w:val="0"/>
                <w:sz w:val="24"/>
                <w:szCs w:val="24"/>
                <w:lang w:bidi="ar"/>
              </w:rPr>
              <w:t>9</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DW001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污水排放口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总铬</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手工</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《城镇污水处理厂污染物排放标准》（GB18918-2002）一级A标准排放</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≤0.1mg/L</w:t>
            </w:r>
          </w:p>
        </w:tc>
        <w:tc>
          <w:tcPr>
            <w:tcW w:w="705" w:type="dxa"/>
            <w:tcBorders>
              <w:tl2br w:val="nil"/>
              <w:tr2bl w:val="nil"/>
            </w:tcBorders>
            <w:shd w:val="clear" w:color="auto" w:fill="auto"/>
            <w:vAlign w:val="center"/>
          </w:tcPr>
          <w:p>
            <w:pPr>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0.11</w:t>
            </w:r>
            <w:r>
              <w:rPr>
                <w:rFonts w:hint="eastAsia" w:ascii="宋体" w:hAnsi="宋体" w:eastAsia="宋体" w:cs="宋体"/>
                <w:color w:val="000000"/>
                <w:sz w:val="24"/>
                <w:szCs w:val="24"/>
                <w:lang w:val="en-US" w:eastAsia="zh-CN"/>
              </w:rPr>
              <w:t>μ</w:t>
            </w:r>
          </w:p>
          <w:p>
            <w:pPr>
              <w:jc w:val="center"/>
              <w:rPr>
                <w:rFonts w:ascii="宋体" w:hAnsi="宋体" w:eastAsia="宋体" w:cs="宋体"/>
                <w:color w:val="000000" w:themeColor="text1"/>
                <w:kern w:val="2"/>
                <w:sz w:val="24"/>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g/L</w:t>
            </w:r>
          </w:p>
        </w:tc>
        <w:tc>
          <w:tcPr>
            <w:tcW w:w="705"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320"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990"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155"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瞬时采样 </w:t>
            </w:r>
          </w:p>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至少3个瞬时样</w:t>
            </w:r>
          </w:p>
        </w:tc>
        <w:tc>
          <w:tcPr>
            <w:tcW w:w="1165" w:type="dxa"/>
            <w:tcBorders>
              <w:tl2br w:val="nil"/>
              <w:tr2bl w:val="nil"/>
            </w:tcBorders>
            <w:shd w:val="clear" w:color="auto" w:fill="auto"/>
            <w:vAlign w:val="center"/>
          </w:tcPr>
          <w:p>
            <w:pPr>
              <w:jc w:val="center"/>
              <w:rPr>
                <w:rFonts w:ascii="宋体" w:hAnsi="宋体" w:eastAsia="宋体" w:cs="宋体"/>
                <w:color w:val="000000"/>
                <w:sz w:val="24"/>
                <w:szCs w:val="24"/>
              </w:rPr>
            </w:pPr>
            <w:r>
              <w:rPr>
                <w:rFonts w:hint="eastAsia" w:ascii="宋体" w:hAnsi="宋体" w:eastAsia="宋体" w:cs="宋体"/>
                <w:color w:val="000000"/>
                <w:kern w:val="0"/>
                <w:sz w:val="24"/>
                <w:szCs w:val="24"/>
              </w:rPr>
              <w:t>1次/</w:t>
            </w:r>
            <w:r>
              <w:rPr>
                <w:rStyle w:val="29"/>
                <w:rFonts w:hint="default"/>
                <w:sz w:val="24"/>
                <w:szCs w:val="24"/>
              </w:rPr>
              <w:t>季</w:t>
            </w:r>
          </w:p>
        </w:tc>
        <w:tc>
          <w:tcPr>
            <w:tcW w:w="1559"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highlight w:val="yellow"/>
                <w:lang w:bidi="ar"/>
              </w:rPr>
            </w:pPr>
            <w:r>
              <w:rPr>
                <w:rFonts w:hint="eastAsia" w:ascii="宋体" w:hAnsi="宋体" w:eastAsia="宋体" w:cs="宋体"/>
                <w:color w:val="auto"/>
                <w:kern w:val="0"/>
                <w:sz w:val="24"/>
                <w:szCs w:val="24"/>
                <w:lang w:bidi="ar"/>
              </w:rPr>
              <w:t>《水质 65种元素的测定 电感耦合等离子体质谱法》 HJ 700-2014</w:t>
            </w:r>
          </w:p>
        </w:tc>
        <w:tc>
          <w:tcPr>
            <w:tcW w:w="992"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auto"/>
                <w:sz w:val="24"/>
                <w:szCs w:val="24"/>
              </w:rPr>
              <w:t>电感耦合等离子</w:t>
            </w:r>
            <w:r>
              <w:rPr>
                <w:rFonts w:hint="eastAsia" w:ascii="宋体" w:hAnsi="宋体" w:eastAsia="宋体" w:cs="宋体"/>
                <w:color w:val="auto"/>
                <w:sz w:val="24"/>
                <w:szCs w:val="24"/>
                <w:lang w:val="en-US" w:eastAsia="zh-CN"/>
              </w:rPr>
              <w:t>体串联质</w:t>
            </w:r>
            <w:r>
              <w:rPr>
                <w:rFonts w:hint="eastAsia" w:ascii="宋体" w:hAnsi="宋体" w:eastAsia="宋体" w:cs="宋体"/>
                <w:color w:val="auto"/>
                <w:sz w:val="24"/>
                <w:szCs w:val="24"/>
              </w:rPr>
              <w:t>谱仪</w:t>
            </w:r>
          </w:p>
        </w:tc>
        <w:tc>
          <w:tcPr>
            <w:tcW w:w="1418"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bCs/>
                <w:color w:val="000000"/>
                <w:sz w:val="24"/>
                <w:szCs w:val="24"/>
              </w:rPr>
              <w:t>1L水样中加浓HNO</w:t>
            </w:r>
            <w:r>
              <w:rPr>
                <w:rFonts w:hint="eastAsia" w:ascii="宋体" w:hAnsi="宋体" w:eastAsia="宋体" w:cs="宋体"/>
                <w:bCs/>
                <w:color w:val="000000"/>
                <w:sz w:val="24"/>
                <w:szCs w:val="24"/>
                <w:vertAlign w:val="subscript"/>
              </w:rPr>
              <w:t xml:space="preserve">3 </w:t>
            </w:r>
            <w:r>
              <w:rPr>
                <w:rFonts w:hint="eastAsia" w:ascii="宋体" w:hAnsi="宋体" w:eastAsia="宋体" w:cs="宋体"/>
                <w:bCs/>
                <w:color w:val="000000"/>
                <w:sz w:val="24"/>
                <w:szCs w:val="24"/>
              </w:rPr>
              <w:t>10ml</w:t>
            </w:r>
          </w:p>
        </w:tc>
        <w:tc>
          <w:tcPr>
            <w:tcW w:w="1342"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61"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20</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DW001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污水排放口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总铅</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手工</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《城镇污水处理厂污染物排放标准》（GB18918-2002）一级A标准排放</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sz w:val="24"/>
                <w:szCs w:val="24"/>
              </w:rPr>
              <w:t>≤0.1mg/L</w:t>
            </w:r>
          </w:p>
        </w:tc>
        <w:tc>
          <w:tcPr>
            <w:tcW w:w="705" w:type="dxa"/>
            <w:tcBorders>
              <w:tl2br w:val="nil"/>
              <w:tr2bl w:val="nil"/>
            </w:tcBorders>
            <w:shd w:val="clear" w:color="auto" w:fill="auto"/>
            <w:vAlign w:val="center"/>
          </w:tcPr>
          <w:p>
            <w:pPr>
              <w:jc w:val="center"/>
              <w:rPr>
                <w:rFonts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0.09</w:t>
            </w:r>
            <w:r>
              <w:rPr>
                <w:rFonts w:hint="eastAsia" w:ascii="宋体" w:hAnsi="宋体" w:eastAsia="宋体" w:cs="宋体"/>
                <w:color w:val="000000"/>
                <w:sz w:val="24"/>
                <w:szCs w:val="24"/>
                <w:lang w:val="en-US" w:eastAsia="zh-CN"/>
              </w:rPr>
              <w:t>μ</w:t>
            </w:r>
            <w:r>
              <w:rPr>
                <w:rFonts w:hint="eastAsia"/>
                <w:color w:val="000000" w:themeColor="text1"/>
                <w14:textFill>
                  <w14:solidFill>
                    <w14:schemeClr w14:val="tx1"/>
                  </w14:solidFill>
                </w14:textFill>
              </w:rPr>
              <w:t>g/L</w:t>
            </w:r>
          </w:p>
        </w:tc>
        <w:tc>
          <w:tcPr>
            <w:tcW w:w="705"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320"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990"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155"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瞬时采样 </w:t>
            </w:r>
          </w:p>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至少3个瞬时样</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1次/</w:t>
            </w:r>
            <w:r>
              <w:rPr>
                <w:rStyle w:val="29"/>
                <w:rFonts w:hint="default"/>
                <w:sz w:val="24"/>
                <w:szCs w:val="24"/>
              </w:rPr>
              <w:t>季</w:t>
            </w:r>
          </w:p>
        </w:tc>
        <w:tc>
          <w:tcPr>
            <w:tcW w:w="1559" w:type="dxa"/>
            <w:tcBorders>
              <w:tl2br w:val="nil"/>
              <w:tr2bl w:val="nil"/>
            </w:tcBorders>
            <w:shd w:val="clear" w:color="auto" w:fill="auto"/>
            <w:vAlign w:val="center"/>
          </w:tcPr>
          <w:p>
            <w:pPr>
              <w:widowControl/>
              <w:jc w:val="center"/>
              <w:textAlignment w:val="center"/>
              <w:rPr>
                <w:rFonts w:ascii="宋体" w:hAnsi="宋体" w:eastAsia="宋体" w:cs="宋体"/>
                <w:color w:val="FF0000"/>
                <w:kern w:val="0"/>
                <w:sz w:val="24"/>
                <w:szCs w:val="24"/>
                <w:lang w:bidi="ar"/>
              </w:rPr>
            </w:pPr>
            <w:r>
              <w:rPr>
                <w:rFonts w:hint="eastAsia" w:ascii="宋体" w:hAnsi="宋体" w:eastAsia="宋体" w:cs="宋体"/>
                <w:color w:val="auto"/>
                <w:kern w:val="0"/>
                <w:sz w:val="24"/>
                <w:szCs w:val="24"/>
                <w:lang w:bidi="ar"/>
              </w:rPr>
              <w:t>《水质 65种元素的测定 电感耦合等离子体质谱法》 HJ 700-2014</w:t>
            </w:r>
          </w:p>
        </w:tc>
        <w:tc>
          <w:tcPr>
            <w:tcW w:w="992"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auto"/>
                <w:sz w:val="24"/>
                <w:szCs w:val="24"/>
              </w:rPr>
              <w:t>电感耦合等离子</w:t>
            </w:r>
            <w:r>
              <w:rPr>
                <w:rFonts w:hint="eastAsia" w:ascii="宋体" w:hAnsi="宋体" w:eastAsia="宋体" w:cs="宋体"/>
                <w:color w:val="auto"/>
                <w:sz w:val="24"/>
                <w:szCs w:val="24"/>
                <w:lang w:val="en-US" w:eastAsia="zh-CN"/>
              </w:rPr>
              <w:t>体串联质</w:t>
            </w:r>
            <w:r>
              <w:rPr>
                <w:rFonts w:hint="eastAsia" w:ascii="宋体" w:hAnsi="宋体" w:eastAsia="宋体" w:cs="宋体"/>
                <w:color w:val="auto"/>
                <w:sz w:val="24"/>
                <w:szCs w:val="24"/>
              </w:rPr>
              <w:t>谱仪</w:t>
            </w:r>
          </w:p>
        </w:tc>
        <w:tc>
          <w:tcPr>
            <w:tcW w:w="1418"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HNO3，1%，如水样为中性，1L水样中加浓 HNO</w:t>
            </w:r>
            <w:r>
              <w:rPr>
                <w:rFonts w:hint="eastAsia" w:ascii="宋体" w:hAnsi="宋体" w:eastAsia="宋体" w:cs="宋体"/>
                <w:color w:val="000000"/>
                <w:kern w:val="0"/>
                <w:sz w:val="24"/>
                <w:szCs w:val="24"/>
                <w:vertAlign w:val="subscript"/>
                <w:lang w:bidi="ar"/>
              </w:rPr>
              <w:t>3</w:t>
            </w:r>
            <w:r>
              <w:rPr>
                <w:rFonts w:hint="eastAsia" w:ascii="宋体" w:hAnsi="宋体" w:eastAsia="宋体" w:cs="宋体"/>
                <w:color w:val="000000"/>
                <w:kern w:val="0"/>
                <w:sz w:val="24"/>
                <w:szCs w:val="24"/>
                <w:lang w:bidi="ar"/>
              </w:rPr>
              <w:t>10ml</w:t>
            </w:r>
          </w:p>
        </w:tc>
        <w:tc>
          <w:tcPr>
            <w:tcW w:w="1342"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45"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21</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DW001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污水排放口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烷基汞</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《城镇污水处理厂污染物排放标准》（GB18918-2002）一级A标准排放</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不得检出</w:t>
            </w:r>
          </w:p>
        </w:tc>
        <w:tc>
          <w:tcPr>
            <w:tcW w:w="705" w:type="dxa"/>
            <w:tcBorders>
              <w:tl2br w:val="nil"/>
              <w:tr2bl w:val="nil"/>
            </w:tcBorders>
            <w:shd w:val="clear" w:color="auto" w:fill="auto"/>
            <w:vAlign w:val="center"/>
          </w:tcPr>
          <w:p>
            <w:pPr>
              <w:jc w:val="center"/>
              <w:rPr>
                <w:rFonts w:ascii="宋体" w:hAnsi="宋体" w:eastAsia="宋体" w:cs="宋体"/>
                <w:color w:val="000000" w:themeColor="text1"/>
                <w:kern w:val="2"/>
                <w:sz w:val="24"/>
                <w:szCs w:val="24"/>
                <w:highlight w:val="yellow"/>
                <w:lang w:val="en-US" w:eastAsia="zh-CN" w:bidi="ar-SA"/>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0.02ng/L</w:t>
            </w:r>
          </w:p>
        </w:tc>
        <w:tc>
          <w:tcPr>
            <w:tcW w:w="705"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320"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990"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155" w:type="dxa"/>
            <w:tcBorders>
              <w:tl2br w:val="nil"/>
              <w:tr2bl w:val="nil"/>
            </w:tcBorders>
            <w:shd w:val="clear" w:color="auto" w:fill="auto"/>
            <w:vAlign w:val="center"/>
          </w:tcPr>
          <w:p>
            <w:pPr>
              <w:jc w:val="center"/>
              <w:rPr>
                <w:rFonts w:ascii="宋体" w:hAnsi="宋体" w:eastAsia="宋体" w:cs="宋体"/>
                <w:color w:val="000000"/>
                <w:sz w:val="24"/>
                <w:szCs w:val="24"/>
              </w:rPr>
            </w:pP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瞬时采样 </w:t>
            </w:r>
          </w:p>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至少3个瞬时样</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1次/半年</w:t>
            </w:r>
          </w:p>
        </w:tc>
        <w:tc>
          <w:tcPr>
            <w:tcW w:w="155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both"/>
              <w:textAlignment w:val="center"/>
              <w:rPr>
                <w:rFonts w:hint="eastAsia" w:ascii="宋体" w:hAnsi="宋体" w:eastAsia="宋体" w:cs="宋体"/>
                <w:b w:val="0"/>
                <w:bCs w:val="0"/>
                <w:i w:val="0"/>
                <w:iCs w:val="0"/>
                <w:color w:val="auto"/>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ascii="宋体" w:hAnsi="宋体" w:eastAsia="宋体" w:cs="宋体"/>
                <w:color w:val="FF0000"/>
                <w:sz w:val="24"/>
                <w:szCs w:val="24"/>
              </w:rPr>
            </w:pPr>
            <w:r>
              <w:rPr>
                <w:rFonts w:hint="eastAsia" w:ascii="宋体" w:hAnsi="宋体" w:eastAsia="宋体" w:cs="宋体"/>
                <w:b w:val="0"/>
                <w:bCs w:val="0"/>
                <w:i w:val="0"/>
                <w:iCs w:val="0"/>
                <w:color w:val="auto"/>
                <w:kern w:val="0"/>
                <w:sz w:val="24"/>
                <w:szCs w:val="24"/>
                <w:u w:val="none"/>
                <w:lang w:val="en-US" w:eastAsia="zh-CN" w:bidi="ar"/>
              </w:rPr>
              <w:t>气相色谱法 GB/T 14204-1993</w:t>
            </w:r>
          </w:p>
        </w:tc>
        <w:tc>
          <w:tcPr>
            <w:tcW w:w="99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宋体" w:hAnsi="宋体" w:eastAsia="宋体" w:cs="宋体"/>
                <w:color w:val="000000"/>
                <w:kern w:val="0"/>
                <w:sz w:val="24"/>
                <w:szCs w:val="24"/>
                <w:lang w:val="en-US" w:bidi="ar"/>
              </w:rPr>
            </w:pPr>
            <w:r>
              <w:rPr>
                <w:rFonts w:hint="eastAsia" w:ascii="宋体" w:hAnsi="宋体" w:eastAsia="宋体" w:cs="宋体"/>
                <w:b w:val="0"/>
                <w:bCs w:val="0"/>
                <w:i w:val="0"/>
                <w:iCs w:val="0"/>
                <w:color w:val="auto"/>
                <w:kern w:val="0"/>
                <w:sz w:val="24"/>
                <w:szCs w:val="24"/>
                <w:u w:val="none"/>
                <w:lang w:val="en-US" w:eastAsia="zh-CN" w:bidi="ar"/>
              </w:rPr>
              <w:t>气相色谱仪安捷伦</w:t>
            </w:r>
          </w:p>
        </w:tc>
        <w:tc>
          <w:tcPr>
            <w:tcW w:w="1418"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Cs w:val="21"/>
                <w:lang w:bidi="ar"/>
              </w:rPr>
              <w:t>如</w:t>
            </w:r>
            <w:r>
              <w:rPr>
                <w:rFonts w:hint="eastAsia" w:ascii="宋体" w:hAnsi="宋体" w:eastAsia="宋体" w:cs="宋体"/>
                <w:color w:val="000000"/>
                <w:kern w:val="0"/>
                <w:sz w:val="24"/>
                <w:szCs w:val="24"/>
                <w:lang w:bidi="ar"/>
              </w:rPr>
              <w:t xml:space="preserve">在数小时内样品不能分析，应在样品瓶中预 </w:t>
            </w:r>
          </w:p>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先加入 CuSO</w:t>
            </w:r>
            <w:r>
              <w:rPr>
                <w:rFonts w:hint="eastAsia" w:ascii="宋体" w:hAnsi="宋体" w:eastAsia="宋体" w:cs="宋体"/>
                <w:color w:val="000000"/>
                <w:kern w:val="0"/>
                <w:sz w:val="24"/>
                <w:szCs w:val="24"/>
                <w:vertAlign w:val="subscript"/>
                <w:lang w:bidi="ar"/>
              </w:rPr>
              <w:t>4</w:t>
            </w:r>
            <w:r>
              <w:rPr>
                <w:rFonts w:hint="eastAsia" w:ascii="宋体" w:hAnsi="宋体" w:eastAsia="宋体" w:cs="宋体"/>
                <w:color w:val="000000"/>
                <w:kern w:val="0"/>
                <w:sz w:val="24"/>
                <w:szCs w:val="24"/>
                <w:lang w:bidi="ar"/>
              </w:rPr>
              <w:t>，加入量为每升 1g，冷藏</w:t>
            </w:r>
          </w:p>
        </w:tc>
        <w:tc>
          <w:tcPr>
            <w:tcW w:w="1342"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45"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r>
              <w:rPr>
                <w:rFonts w:ascii="宋体" w:hAnsi="宋体" w:eastAsia="宋体" w:cs="宋体"/>
                <w:color w:val="000000"/>
                <w:kern w:val="0"/>
                <w:sz w:val="24"/>
                <w:szCs w:val="24"/>
                <w:lang w:bidi="ar"/>
              </w:rPr>
              <w:t>2</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MW00</w:t>
            </w:r>
            <w:r>
              <w:rPr>
                <w:rStyle w:val="31"/>
                <w:rFonts w:hint="default"/>
                <w:color w:val="auto"/>
                <w:sz w:val="24"/>
                <w:szCs w:val="24"/>
                <w:lang w:bidi="ar"/>
              </w:rPr>
              <w:t>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进水口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pH值</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自动</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设计进水水质</w:t>
            </w:r>
            <w:r>
              <w:rPr>
                <w:rFonts w:hint="eastAsia" w:ascii="宋体" w:hAnsi="宋体" w:eastAsia="宋体" w:cs="宋体"/>
                <w:color w:val="auto"/>
                <w:sz w:val="24"/>
                <w:szCs w:val="24"/>
              </w:rPr>
              <w:t>6-9（无量纲）</w:t>
            </w:r>
          </w:p>
        </w:tc>
        <w:tc>
          <w:tcPr>
            <w:tcW w:w="1212" w:type="dxa"/>
            <w:tcBorders>
              <w:tl2br w:val="nil"/>
              <w:tr2bl w:val="nil"/>
            </w:tcBorders>
            <w:shd w:val="clear" w:color="auto" w:fill="auto"/>
            <w:vAlign w:val="center"/>
          </w:tcPr>
          <w:p>
            <w:pPr>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c>
          <w:tcPr>
            <w:tcW w:w="705" w:type="dxa"/>
            <w:tcBorders>
              <w:tl2br w:val="nil"/>
              <w:tr2bl w:val="nil"/>
            </w:tcBorders>
            <w:shd w:val="clear" w:color="auto" w:fill="auto"/>
            <w:vAlign w:val="center"/>
          </w:tcPr>
          <w:p>
            <w:pPr>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w:t>
            </w:r>
          </w:p>
        </w:tc>
        <w:tc>
          <w:tcPr>
            <w:tcW w:w="705" w:type="dxa"/>
            <w:tcBorders>
              <w:tl2br w:val="nil"/>
              <w:tr2bl w:val="nil"/>
            </w:tcBorders>
            <w:shd w:val="clear" w:color="auto" w:fill="auto"/>
            <w:vAlign w:val="center"/>
          </w:tcPr>
          <w:p>
            <w:pPr>
              <w:jc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是</w:t>
            </w:r>
          </w:p>
        </w:tc>
        <w:tc>
          <w:tcPr>
            <w:tcW w:w="1320" w:type="dxa"/>
            <w:tcBorders>
              <w:tl2br w:val="nil"/>
              <w:tr2bl w:val="nil"/>
            </w:tcBorders>
            <w:shd w:val="clear" w:color="auto" w:fill="auto"/>
            <w:vAlign w:val="center"/>
          </w:tcPr>
          <w:p>
            <w:pPr>
              <w:jc w:val="center"/>
              <w:rPr>
                <w:rFonts w:ascii="宋体" w:hAnsi="宋体" w:eastAsia="宋体" w:cs="宋体"/>
                <w:color w:val="000000"/>
                <w:sz w:val="24"/>
                <w:szCs w:val="24"/>
              </w:rPr>
            </w:pPr>
            <w:r>
              <w:rPr>
                <w:rFonts w:hint="eastAsia"/>
                <w:color w:val="000000" w:themeColor="text1"/>
                <w:sz w:val="28"/>
                <w:szCs w:val="28"/>
                <w:lang w:val="en-US" w:eastAsia="zh-CN"/>
                <w14:textFill>
                  <w14:solidFill>
                    <w14:schemeClr w14:val="tx1"/>
                  </w14:solidFill>
                </w14:textFill>
              </w:rPr>
              <w:t>pH</w:t>
            </w:r>
            <w:r>
              <w:rPr>
                <w:rFonts w:hint="eastAsia"/>
                <w:color w:val="000000" w:themeColor="text1"/>
                <w:sz w:val="28"/>
                <w:szCs w:val="28"/>
                <w14:textFill>
                  <w14:solidFill>
                    <w14:schemeClr w14:val="tx1"/>
                  </w14:solidFill>
                </w14:textFill>
              </w:rPr>
              <w:t>/T</w:t>
            </w:r>
          </w:p>
        </w:tc>
        <w:tc>
          <w:tcPr>
            <w:tcW w:w="990" w:type="dxa"/>
            <w:tcBorders>
              <w:tl2br w:val="nil"/>
              <w:tr2bl w:val="nil"/>
            </w:tcBorders>
            <w:shd w:val="clear" w:color="auto" w:fill="auto"/>
            <w:vAlign w:val="center"/>
          </w:tcPr>
          <w:p>
            <w:pPr>
              <w:jc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出水在线监测房</w:t>
            </w:r>
          </w:p>
        </w:tc>
        <w:tc>
          <w:tcPr>
            <w:tcW w:w="1155" w:type="dxa"/>
            <w:tcBorders>
              <w:tl2br w:val="nil"/>
              <w:tr2bl w:val="nil"/>
            </w:tcBorders>
            <w:shd w:val="clear" w:color="auto" w:fill="auto"/>
            <w:vAlign w:val="center"/>
          </w:tcPr>
          <w:p>
            <w:pPr>
              <w:jc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是</w:t>
            </w: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auto"/>
                <w:sz w:val="24"/>
                <w:szCs w:val="24"/>
                <w:lang w:val="en-US" w:eastAsia="zh-CN"/>
              </w:rPr>
              <w:t>瞬时采样至少一个瞬时样</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1559" w:type="dxa"/>
            <w:tcBorders>
              <w:tl2br w:val="nil"/>
              <w:tr2bl w:val="nil"/>
            </w:tcBorders>
            <w:shd w:val="clear" w:color="auto" w:fill="auto"/>
            <w:vAlign w:val="center"/>
          </w:tcPr>
          <w:p>
            <w:pPr>
              <w:widowControl/>
              <w:jc w:val="center"/>
              <w:textAlignment w:val="center"/>
              <w:rPr>
                <w:rFonts w:ascii="宋体" w:hAnsi="宋体" w:eastAsia="宋体" w:cs="宋体"/>
                <w:color w:val="FF0000"/>
                <w:kern w:val="0"/>
                <w:sz w:val="24"/>
                <w:szCs w:val="24"/>
                <w:lang w:bidi="ar"/>
              </w:rPr>
            </w:pPr>
            <w:r>
              <w:rPr>
                <w:rFonts w:hint="eastAsia" w:ascii="宋体" w:hAnsi="宋体" w:eastAsia="宋体" w:cs="宋体"/>
                <w:color w:val="000000"/>
                <w:kern w:val="0"/>
                <w:sz w:val="24"/>
                <w:szCs w:val="24"/>
                <w:lang w:bidi="ar"/>
              </w:rPr>
              <w:t>/</w:t>
            </w:r>
          </w:p>
        </w:tc>
        <w:tc>
          <w:tcPr>
            <w:tcW w:w="992" w:type="dxa"/>
            <w:tcBorders>
              <w:tl2br w:val="nil"/>
              <w:tr2bl w:val="nil"/>
            </w:tcBorders>
            <w:shd w:val="clear" w:color="auto" w:fill="auto"/>
            <w:vAlign w:val="center"/>
          </w:tcPr>
          <w:p>
            <w:pPr>
              <w:widowControl/>
              <w:jc w:val="center"/>
              <w:textAlignment w:val="center"/>
              <w:rPr>
                <w:rFonts w:ascii="宋体" w:hAnsi="宋体" w:eastAsia="宋体" w:cs="宋体"/>
                <w:color w:val="FF0000"/>
                <w:sz w:val="24"/>
                <w:szCs w:val="24"/>
              </w:rPr>
            </w:pPr>
            <w:r>
              <w:rPr>
                <w:rFonts w:hint="eastAsia" w:ascii="宋体" w:hAnsi="宋体" w:eastAsia="宋体" w:cs="宋体"/>
                <w:color w:val="000000"/>
                <w:kern w:val="0"/>
                <w:sz w:val="24"/>
                <w:szCs w:val="24"/>
                <w:lang w:bidi="ar"/>
              </w:rPr>
              <w:t>/</w:t>
            </w:r>
          </w:p>
        </w:tc>
        <w:tc>
          <w:tcPr>
            <w:tcW w:w="1418"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 w:val="24"/>
                <w:szCs w:val="24"/>
                <w:lang w:bidi="ar"/>
              </w:rPr>
              <w:t>/</w:t>
            </w:r>
          </w:p>
        </w:tc>
        <w:tc>
          <w:tcPr>
            <w:tcW w:w="1342"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自动监测设备出现故障时开展手工监测，每</w:t>
            </w:r>
            <w:r>
              <w:rPr>
                <w:rFonts w:hint="eastAsia" w:ascii="宋体" w:hAnsi="宋体" w:eastAsia="宋体" w:cs="宋体"/>
                <w:color w:val="000000"/>
                <w:kern w:val="0"/>
                <w:sz w:val="24"/>
                <w:szCs w:val="24"/>
                <w:lang w:val="en-US" w:eastAsia="zh-CN" w:bidi="ar"/>
              </w:rPr>
              <w:t>6</w:t>
            </w:r>
            <w:r>
              <w:rPr>
                <w:rFonts w:hint="eastAsia" w:ascii="宋体" w:hAnsi="宋体" w:eastAsia="宋体" w:cs="宋体"/>
                <w:color w:val="000000"/>
                <w:kern w:val="0"/>
                <w:sz w:val="24"/>
                <w:szCs w:val="24"/>
                <w:lang w:bidi="ar"/>
              </w:rPr>
              <w:t>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173"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w:t>
            </w:r>
            <w:r>
              <w:rPr>
                <w:rFonts w:ascii="宋体" w:hAnsi="宋体" w:eastAsia="宋体" w:cs="宋体"/>
                <w:color w:val="000000"/>
                <w:kern w:val="0"/>
                <w:sz w:val="24"/>
                <w:szCs w:val="24"/>
                <w:lang w:bidi="ar"/>
              </w:rPr>
              <w:t>3</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MW00</w:t>
            </w:r>
            <w:r>
              <w:rPr>
                <w:rStyle w:val="31"/>
                <w:rFonts w:hint="default"/>
                <w:color w:val="auto"/>
                <w:sz w:val="24"/>
                <w:szCs w:val="24"/>
                <w:lang w:bidi="ar"/>
              </w:rPr>
              <w:t>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进水口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化学需氧量</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自动</w:t>
            </w:r>
          </w:p>
        </w:tc>
        <w:tc>
          <w:tcPr>
            <w:tcW w:w="1859" w:type="dxa"/>
            <w:tcBorders>
              <w:tl2br w:val="nil"/>
              <w:tr2bl w:val="nil"/>
            </w:tcBorders>
            <w:shd w:val="clear" w:color="auto" w:fill="auto"/>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设计进水水质</w:t>
            </w:r>
            <w:r>
              <w:rPr>
                <w:rFonts w:hint="eastAsia" w:ascii="宋体" w:hAnsi="宋体" w:eastAsia="宋体" w:cs="宋体"/>
                <w:color w:val="auto"/>
                <w:sz w:val="24"/>
                <w:szCs w:val="24"/>
              </w:rPr>
              <w:t>≤220mg/L</w:t>
            </w:r>
          </w:p>
        </w:tc>
        <w:tc>
          <w:tcPr>
            <w:tcW w:w="1212" w:type="dxa"/>
            <w:tcBorders>
              <w:tl2br w:val="nil"/>
              <w:tr2bl w:val="nil"/>
            </w:tcBorders>
            <w:shd w:val="clear" w:color="auto" w:fill="auto"/>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c>
          <w:tcPr>
            <w:tcW w:w="705" w:type="dxa"/>
            <w:tcBorders>
              <w:tl2br w:val="nil"/>
              <w:tr2bl w:val="nil"/>
            </w:tcBorders>
            <w:shd w:val="clear" w:color="auto" w:fill="auto"/>
            <w:vAlign w:val="center"/>
          </w:tcPr>
          <w:p>
            <w:pPr>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w:t>
            </w:r>
          </w:p>
        </w:tc>
        <w:tc>
          <w:tcPr>
            <w:tcW w:w="705"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是</w:t>
            </w:r>
          </w:p>
        </w:tc>
        <w:tc>
          <w:tcPr>
            <w:tcW w:w="1320"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COD在线监测设备</w:t>
            </w:r>
          </w:p>
        </w:tc>
        <w:tc>
          <w:tcPr>
            <w:tcW w:w="990"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进水仪表小屋</w:t>
            </w:r>
          </w:p>
        </w:tc>
        <w:tc>
          <w:tcPr>
            <w:tcW w:w="1155"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是</w:t>
            </w: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auto"/>
                <w:sz w:val="24"/>
                <w:szCs w:val="24"/>
                <w:lang w:val="en-US" w:eastAsia="zh-CN"/>
              </w:rPr>
              <w:t>瞬时采样至少一个瞬时样</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1559"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992"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1418"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w:t>
            </w:r>
          </w:p>
        </w:tc>
        <w:tc>
          <w:tcPr>
            <w:tcW w:w="1342" w:type="dxa"/>
            <w:tcBorders>
              <w:tl2br w:val="nil"/>
              <w:tr2bl w:val="nil"/>
            </w:tcBorders>
            <w:shd w:val="clear" w:color="auto" w:fill="auto"/>
            <w:vAlign w:val="center"/>
          </w:tcPr>
          <w:p>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自动监测设备出现故障时开展手工监测，每</w:t>
            </w:r>
            <w:r>
              <w:rPr>
                <w:rFonts w:hint="eastAsia" w:ascii="宋体" w:hAnsi="宋体" w:eastAsia="宋体" w:cs="宋体"/>
                <w:color w:val="000000"/>
                <w:kern w:val="0"/>
                <w:sz w:val="24"/>
                <w:szCs w:val="24"/>
                <w:lang w:val="en-US" w:eastAsia="zh-CN" w:bidi="ar"/>
              </w:rPr>
              <w:t>6</w:t>
            </w:r>
            <w:r>
              <w:rPr>
                <w:rFonts w:hint="eastAsia" w:ascii="宋体" w:hAnsi="宋体" w:eastAsia="宋体" w:cs="宋体"/>
                <w:color w:val="000000"/>
                <w:kern w:val="0"/>
                <w:sz w:val="24"/>
                <w:szCs w:val="24"/>
                <w:lang w:bidi="ar"/>
              </w:rPr>
              <w:t>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75"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24</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MW00</w:t>
            </w:r>
            <w:r>
              <w:rPr>
                <w:rStyle w:val="31"/>
                <w:rFonts w:hint="default"/>
                <w:color w:val="auto"/>
                <w:sz w:val="24"/>
                <w:szCs w:val="24"/>
                <w:highlight w:val="none"/>
                <w:lang w:bidi="ar"/>
              </w:rPr>
              <w:t>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进水口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氨氮（NH3-N）</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自动</w:t>
            </w:r>
          </w:p>
        </w:tc>
        <w:tc>
          <w:tcPr>
            <w:tcW w:w="1859" w:type="dxa"/>
            <w:tcBorders>
              <w:tl2br w:val="nil"/>
              <w:tr2bl w:val="nil"/>
            </w:tcBorders>
            <w:shd w:val="clear" w:color="auto" w:fill="auto"/>
            <w:vAlign w:val="center"/>
          </w:tcPr>
          <w:p>
            <w:pPr>
              <w:jc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bidi="ar"/>
              </w:rPr>
              <w:t>设计进水水质</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mg/L</w:t>
            </w:r>
          </w:p>
        </w:tc>
        <w:tc>
          <w:tcPr>
            <w:tcW w:w="1212" w:type="dxa"/>
            <w:tcBorders>
              <w:tl2br w:val="nil"/>
              <w:tr2bl w:val="nil"/>
            </w:tcBorders>
            <w:shd w:val="clear" w:color="auto" w:fill="auto"/>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705" w:type="dxa"/>
            <w:tcBorders>
              <w:tl2br w:val="nil"/>
              <w:tr2bl w:val="nil"/>
            </w:tcBorders>
            <w:shd w:val="clear" w:color="auto" w:fill="auto"/>
            <w:vAlign w:val="center"/>
          </w:tcPr>
          <w:p>
            <w:pPr>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p>
        </w:tc>
        <w:tc>
          <w:tcPr>
            <w:tcW w:w="70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是</w:t>
            </w:r>
          </w:p>
        </w:tc>
        <w:tc>
          <w:tcPr>
            <w:tcW w:w="132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氨氮在线监测设备</w:t>
            </w:r>
          </w:p>
        </w:tc>
        <w:tc>
          <w:tcPr>
            <w:tcW w:w="99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进水仪表小屋</w:t>
            </w:r>
          </w:p>
        </w:tc>
        <w:tc>
          <w:tcPr>
            <w:tcW w:w="115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是</w:t>
            </w: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sz w:val="24"/>
                <w:szCs w:val="24"/>
                <w:lang w:val="en-US" w:eastAsia="zh-CN"/>
              </w:rPr>
              <w:t>瞬时采样至少一个瞬时样</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lang w:bidi="ar"/>
              </w:rPr>
              <w:t>/</w:t>
            </w:r>
          </w:p>
        </w:tc>
        <w:tc>
          <w:tcPr>
            <w:tcW w:w="1559"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w:t>
            </w:r>
          </w:p>
        </w:tc>
        <w:tc>
          <w:tcPr>
            <w:tcW w:w="992"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紫外可见分光光度计</w:t>
            </w:r>
          </w:p>
        </w:tc>
        <w:tc>
          <w:tcPr>
            <w:tcW w:w="141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w:t>
            </w:r>
          </w:p>
        </w:tc>
        <w:tc>
          <w:tcPr>
            <w:tcW w:w="1342"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自动监测设备出现故障时开展手工监测，每</w:t>
            </w:r>
            <w:r>
              <w:rPr>
                <w:rFonts w:hint="eastAsia" w:ascii="宋体" w:hAnsi="宋体" w:eastAsia="宋体" w:cs="宋体"/>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bidi="ar"/>
              </w:rPr>
              <w:t>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75"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r>
              <w:rPr>
                <w:rFonts w:ascii="宋体" w:hAnsi="宋体" w:eastAsia="宋体" w:cs="宋体"/>
                <w:color w:val="000000"/>
                <w:kern w:val="0"/>
                <w:sz w:val="24"/>
                <w:szCs w:val="24"/>
                <w:lang w:bidi="ar"/>
              </w:rPr>
              <w:t>5</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MW00</w:t>
            </w:r>
            <w:r>
              <w:rPr>
                <w:rStyle w:val="31"/>
                <w:rFonts w:hint="default"/>
                <w:color w:val="auto"/>
                <w:sz w:val="24"/>
                <w:szCs w:val="24"/>
                <w:lang w:bidi="ar"/>
              </w:rPr>
              <w:t>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进水口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流量</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自动</w:t>
            </w:r>
          </w:p>
        </w:tc>
        <w:tc>
          <w:tcPr>
            <w:tcW w:w="1859" w:type="dxa"/>
            <w:tcBorders>
              <w:tl2br w:val="nil"/>
              <w:tr2bl w:val="nil"/>
            </w:tcBorders>
            <w:shd w:val="clear" w:color="auto" w:fill="auto"/>
            <w:vAlign w:val="center"/>
          </w:tcPr>
          <w:p>
            <w:pPr>
              <w:jc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w:t>
            </w:r>
          </w:p>
        </w:tc>
        <w:tc>
          <w:tcPr>
            <w:tcW w:w="705" w:type="dxa"/>
            <w:tcBorders>
              <w:tl2br w:val="nil"/>
              <w:tr2bl w:val="nil"/>
            </w:tcBorders>
            <w:shd w:val="clear" w:color="auto" w:fill="auto"/>
            <w:vAlign w:val="center"/>
          </w:tcPr>
          <w:p>
            <w:pPr>
              <w:jc w:val="center"/>
              <w:rPr>
                <w:rFonts w:hint="eastAsia" w:ascii="宋体" w:hAnsi="宋体" w:eastAsia="宋体" w:cs="宋体"/>
                <w:color w:val="FF0000"/>
                <w:kern w:val="0"/>
                <w:sz w:val="24"/>
                <w:szCs w:val="24"/>
                <w:lang w:val="en-US" w:eastAsia="zh-CN" w:bidi="ar-SA"/>
              </w:rPr>
            </w:pPr>
            <w:r>
              <w:rPr>
                <w:rFonts w:hint="eastAsia" w:ascii="宋体" w:hAnsi="宋体" w:eastAsia="宋体" w:cs="宋体"/>
                <w:color w:val="auto"/>
                <w:kern w:val="0"/>
                <w:sz w:val="24"/>
                <w:szCs w:val="24"/>
                <w:lang w:val="en-US" w:eastAsia="zh-CN"/>
              </w:rPr>
              <w:t>/</w:t>
            </w:r>
          </w:p>
        </w:tc>
        <w:tc>
          <w:tcPr>
            <w:tcW w:w="70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是</w:t>
            </w:r>
          </w:p>
        </w:tc>
        <w:tc>
          <w:tcPr>
            <w:tcW w:w="132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流量计</w:t>
            </w:r>
          </w:p>
        </w:tc>
        <w:tc>
          <w:tcPr>
            <w:tcW w:w="99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进水仪表小屋</w:t>
            </w:r>
          </w:p>
        </w:tc>
        <w:tc>
          <w:tcPr>
            <w:tcW w:w="115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是</w:t>
            </w: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155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992"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141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1342"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75"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r>
              <w:rPr>
                <w:rFonts w:ascii="宋体" w:hAnsi="宋体" w:eastAsia="宋体" w:cs="宋体"/>
                <w:color w:val="000000"/>
                <w:kern w:val="0"/>
                <w:sz w:val="24"/>
                <w:szCs w:val="24"/>
                <w:lang w:bidi="ar"/>
              </w:rPr>
              <w:t>6</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MW00</w:t>
            </w:r>
            <w:r>
              <w:rPr>
                <w:rStyle w:val="31"/>
                <w:rFonts w:hint="default"/>
                <w:color w:val="auto"/>
                <w:sz w:val="24"/>
                <w:szCs w:val="24"/>
                <w:lang w:bidi="ar"/>
              </w:rPr>
              <w:t>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进水口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水温</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自动</w:t>
            </w:r>
          </w:p>
        </w:tc>
        <w:tc>
          <w:tcPr>
            <w:tcW w:w="1859" w:type="dxa"/>
            <w:tcBorders>
              <w:tl2br w:val="nil"/>
              <w:tr2bl w:val="nil"/>
            </w:tcBorders>
            <w:shd w:val="clear" w:color="auto" w:fill="auto"/>
            <w:vAlign w:val="center"/>
          </w:tcPr>
          <w:p>
            <w:pPr>
              <w:jc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rPr>
            </w:pPr>
            <w:r>
              <w:rPr>
                <w:rFonts w:hint="eastAsia" w:ascii="宋体" w:hAnsi="宋体" w:eastAsia="宋体" w:cs="宋体"/>
                <w:color w:val="auto"/>
                <w:kern w:val="0"/>
                <w:sz w:val="24"/>
                <w:szCs w:val="24"/>
                <w:lang w:bidi="ar"/>
              </w:rPr>
              <w:t>/</w:t>
            </w:r>
          </w:p>
        </w:tc>
        <w:tc>
          <w:tcPr>
            <w:tcW w:w="705" w:type="dxa"/>
            <w:tcBorders>
              <w:tl2br w:val="nil"/>
              <w:tr2bl w:val="nil"/>
            </w:tcBorders>
            <w:shd w:val="clear" w:color="auto" w:fill="auto"/>
            <w:vAlign w:val="center"/>
          </w:tcPr>
          <w:p>
            <w:pPr>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w:t>
            </w:r>
          </w:p>
        </w:tc>
        <w:tc>
          <w:tcPr>
            <w:tcW w:w="70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是</w:t>
            </w:r>
          </w:p>
        </w:tc>
        <w:tc>
          <w:tcPr>
            <w:tcW w:w="132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color w:val="000000" w:themeColor="text1"/>
                <w:sz w:val="28"/>
                <w:szCs w:val="28"/>
                <w:lang w:val="en-US" w:eastAsia="zh-CN"/>
                <w14:textFill>
                  <w14:solidFill>
                    <w14:schemeClr w14:val="tx1"/>
                  </w14:solidFill>
                </w14:textFill>
              </w:rPr>
              <w:t>pH</w:t>
            </w:r>
            <w:r>
              <w:rPr>
                <w:rFonts w:hint="eastAsia"/>
                <w:color w:val="000000" w:themeColor="text1"/>
                <w:sz w:val="28"/>
                <w:szCs w:val="28"/>
                <w14:textFill>
                  <w14:solidFill>
                    <w14:schemeClr w14:val="tx1"/>
                  </w14:solidFill>
                </w14:textFill>
              </w:rPr>
              <w:t>/T</w:t>
            </w:r>
          </w:p>
        </w:tc>
        <w:tc>
          <w:tcPr>
            <w:tcW w:w="990"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bidi="ar"/>
              </w:rPr>
              <w:t>进水仪表小屋</w:t>
            </w:r>
          </w:p>
        </w:tc>
        <w:tc>
          <w:tcPr>
            <w:tcW w:w="115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是</w:t>
            </w:r>
          </w:p>
        </w:tc>
        <w:tc>
          <w:tcPr>
            <w:tcW w:w="1035" w:type="dxa"/>
            <w:tcBorders>
              <w:tl2br w:val="nil"/>
              <w:tr2bl w:val="nil"/>
            </w:tcBorders>
            <w:shd w:val="clear" w:color="auto" w:fill="auto"/>
            <w:vAlign w:val="center"/>
          </w:tcPr>
          <w:p>
            <w:pPr>
              <w:widowControl/>
              <w:spacing w:line="240" w:lineRule="auto"/>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sz w:val="24"/>
                <w:szCs w:val="24"/>
                <w:lang w:val="en-US" w:eastAsia="zh-CN"/>
              </w:rPr>
              <w:t>瞬时采样至少一个瞬时样</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155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992"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141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w:t>
            </w:r>
          </w:p>
        </w:tc>
        <w:tc>
          <w:tcPr>
            <w:tcW w:w="1342" w:type="dxa"/>
            <w:tcBorders>
              <w:tl2br w:val="nil"/>
              <w:tr2bl w:val="nil"/>
            </w:tcBorders>
            <w:shd w:val="clear" w:color="auto" w:fill="auto"/>
            <w:vAlign w:val="center"/>
          </w:tcPr>
          <w:p>
            <w:pPr>
              <w:widowControl/>
              <w:jc w:val="left"/>
              <w:textAlignment w:val="center"/>
              <w:rPr>
                <w:rFonts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自动监测设备出现故障时开展手工监测，每</w:t>
            </w:r>
            <w:r>
              <w:rPr>
                <w:rFonts w:hint="eastAsia" w:ascii="宋体" w:hAnsi="宋体" w:eastAsia="宋体" w:cs="宋体"/>
                <w:color w:val="auto"/>
                <w:kern w:val="0"/>
                <w:sz w:val="24"/>
                <w:szCs w:val="24"/>
                <w:lang w:val="en-US" w:eastAsia="zh-CN" w:bidi="ar"/>
              </w:rPr>
              <w:t>6</w:t>
            </w:r>
            <w:r>
              <w:rPr>
                <w:rFonts w:hint="eastAsia" w:ascii="宋体" w:hAnsi="宋体" w:eastAsia="宋体" w:cs="宋体"/>
                <w:color w:val="auto"/>
                <w:kern w:val="0"/>
                <w:sz w:val="24"/>
                <w:szCs w:val="24"/>
                <w:lang w:bidi="ar"/>
              </w:rPr>
              <w:t>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446"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w:t>
            </w:r>
            <w:r>
              <w:rPr>
                <w:rFonts w:ascii="宋体" w:hAnsi="宋体" w:eastAsia="宋体" w:cs="宋体"/>
                <w:color w:val="000000"/>
                <w:kern w:val="0"/>
                <w:sz w:val="24"/>
                <w:szCs w:val="24"/>
                <w:lang w:bidi="ar"/>
              </w:rPr>
              <w:t>7</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MW00</w:t>
            </w:r>
            <w:r>
              <w:rPr>
                <w:rStyle w:val="31"/>
                <w:rFonts w:hint="default"/>
                <w:color w:val="auto"/>
                <w:sz w:val="24"/>
                <w:szCs w:val="24"/>
                <w:highlight w:val="none"/>
                <w:lang w:bidi="ar"/>
              </w:rPr>
              <w:t>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进水口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总氮（以N计）</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设计进水水质</w:t>
            </w:r>
            <w:r>
              <w:rPr>
                <w:rFonts w:hint="eastAsia" w:ascii="宋体" w:hAnsi="宋体" w:eastAsia="宋体" w:cs="宋体"/>
                <w:color w:val="auto"/>
                <w:sz w:val="24"/>
                <w:szCs w:val="24"/>
                <w:highlight w:val="none"/>
              </w:rPr>
              <w:t>≤35</w:t>
            </w:r>
            <w:r>
              <w:rPr>
                <w:rFonts w:hint="eastAsia" w:ascii="宋体" w:hAnsi="宋体" w:eastAsia="宋体" w:cs="宋体"/>
                <w:color w:val="auto"/>
                <w:highlight w:val="none"/>
              </w:rPr>
              <w:t>mg/L</w:t>
            </w:r>
          </w:p>
        </w:tc>
        <w:tc>
          <w:tcPr>
            <w:tcW w:w="1212" w:type="dxa"/>
            <w:tcBorders>
              <w:tl2br w:val="nil"/>
              <w:tr2bl w:val="nil"/>
            </w:tcBorders>
            <w:shd w:val="clear" w:color="auto" w:fill="auto"/>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705" w:type="dxa"/>
            <w:tcBorders>
              <w:tl2br w:val="nil"/>
              <w:tr2bl w:val="nil"/>
            </w:tcBorders>
            <w:shd w:val="clear" w:color="auto" w:fill="auto"/>
            <w:vAlign w:val="center"/>
          </w:tcPr>
          <w:p>
            <w:pPr>
              <w:jc w:val="center"/>
              <w:rPr>
                <w:rFonts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0.05mg/L</w:t>
            </w:r>
          </w:p>
        </w:tc>
        <w:tc>
          <w:tcPr>
            <w:tcW w:w="705"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p>
        </w:tc>
        <w:tc>
          <w:tcPr>
            <w:tcW w:w="132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p>
        </w:tc>
        <w:tc>
          <w:tcPr>
            <w:tcW w:w="99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p>
        </w:tc>
        <w:tc>
          <w:tcPr>
            <w:tcW w:w="1155"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p>
        </w:tc>
        <w:tc>
          <w:tcPr>
            <w:tcW w:w="1035" w:type="dxa"/>
            <w:tcBorders>
              <w:tl2br w:val="nil"/>
              <w:tr2bl w:val="nil"/>
            </w:tcBorders>
            <w:shd w:val="clear" w:color="auto" w:fill="auto"/>
            <w:vAlign w:val="center"/>
          </w:tcPr>
          <w:p>
            <w:pPr>
              <w:widowControl/>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24小时混合样</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1次/日</w:t>
            </w:r>
          </w:p>
        </w:tc>
        <w:tc>
          <w:tcPr>
            <w:tcW w:w="155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《水质 总氮的测定 碱性过硫酸钾消解紫外分光光度法》</w:t>
            </w:r>
          </w:p>
          <w:p>
            <w:pPr>
              <w:widowControl/>
              <w:jc w:val="center"/>
              <w:textAlignment w:val="center"/>
              <w:rPr>
                <w:rFonts w:ascii="宋体" w:hAnsi="宋体" w:eastAsia="宋体" w:cs="宋体"/>
                <w:color w:val="auto"/>
                <w:sz w:val="24"/>
                <w:szCs w:val="24"/>
                <w:highlight w:val="none"/>
              </w:rPr>
            </w:pPr>
            <w:r>
              <w:rPr>
                <w:rStyle w:val="30"/>
                <w:rFonts w:hint="eastAsia" w:ascii="宋体" w:hAnsi="宋体" w:eastAsia="宋体" w:cs="宋体"/>
                <w:color w:val="auto"/>
                <w:sz w:val="24"/>
                <w:szCs w:val="24"/>
                <w:highlight w:val="none"/>
                <w:lang w:bidi="ar"/>
              </w:rPr>
              <w:t>HJ636-2012</w:t>
            </w:r>
          </w:p>
        </w:tc>
        <w:tc>
          <w:tcPr>
            <w:tcW w:w="992" w:type="dxa"/>
            <w:tcBorders>
              <w:tl2br w:val="nil"/>
              <w:tr2bl w:val="nil"/>
            </w:tcBorders>
            <w:shd w:val="clear" w:color="auto" w:fill="auto"/>
            <w:vAlign w:val="center"/>
          </w:tcPr>
          <w:p>
            <w:pPr>
              <w:widowControl/>
              <w:jc w:val="center"/>
              <w:textAlignment w:val="center"/>
              <w:rPr>
                <w:rStyle w:val="30"/>
                <w:rFonts w:ascii="宋体" w:hAnsi="宋体" w:eastAsia="宋体" w:cs="宋体"/>
                <w:color w:val="auto"/>
                <w:sz w:val="24"/>
                <w:szCs w:val="24"/>
                <w:highlight w:val="none"/>
                <w:lang w:bidi="ar"/>
              </w:rPr>
            </w:pPr>
            <w:r>
              <w:rPr>
                <w:rFonts w:hint="eastAsia" w:ascii="宋体" w:hAnsi="宋体" w:eastAsia="宋体" w:cs="宋体"/>
                <w:color w:val="auto"/>
                <w:kern w:val="0"/>
                <w:sz w:val="24"/>
                <w:szCs w:val="24"/>
                <w:highlight w:val="none"/>
                <w:lang w:bidi="ar"/>
              </w:rPr>
              <w:t>紫外可见分光光度计</w:t>
            </w:r>
          </w:p>
        </w:tc>
        <w:tc>
          <w:tcPr>
            <w:tcW w:w="1418" w:type="dxa"/>
            <w:tcBorders>
              <w:tl2br w:val="nil"/>
              <w:tr2bl w:val="nil"/>
            </w:tcBorders>
            <w:shd w:val="clear" w:color="auto" w:fill="auto"/>
            <w:vAlign w:val="center"/>
          </w:tcPr>
          <w:p>
            <w:pPr>
              <w:widowControl/>
              <w:jc w:val="center"/>
              <w:textAlignment w:val="center"/>
              <w:rPr>
                <w:rFonts w:hint="default"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避光、冷藏</w:t>
            </w:r>
          </w:p>
        </w:tc>
        <w:tc>
          <w:tcPr>
            <w:tcW w:w="1342"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6"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w:t>
            </w:r>
            <w:r>
              <w:rPr>
                <w:rFonts w:ascii="宋体" w:hAnsi="宋体" w:eastAsia="宋体" w:cs="宋体"/>
                <w:color w:val="000000"/>
                <w:kern w:val="0"/>
                <w:sz w:val="24"/>
                <w:szCs w:val="24"/>
                <w:lang w:bidi="ar"/>
              </w:rPr>
              <w:t>8</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废水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MW00</w:t>
            </w:r>
            <w:r>
              <w:rPr>
                <w:rStyle w:val="31"/>
                <w:rFonts w:hint="default"/>
                <w:color w:val="auto"/>
                <w:sz w:val="24"/>
                <w:szCs w:val="24"/>
                <w:highlight w:val="none"/>
                <w:lang w:bidi="ar"/>
              </w:rPr>
              <w:t>1</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进水口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总磷（以P计）</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设计进水水质</w:t>
            </w:r>
            <w:r>
              <w:rPr>
                <w:rFonts w:hint="eastAsia" w:ascii="宋体" w:hAnsi="宋体" w:eastAsia="宋体" w:cs="宋体"/>
                <w:color w:val="auto"/>
                <w:sz w:val="24"/>
                <w:szCs w:val="24"/>
                <w:highlight w:val="none"/>
              </w:rPr>
              <w:t>≤3</w:t>
            </w:r>
            <w:r>
              <w:rPr>
                <w:rFonts w:hint="eastAsia" w:ascii="宋体" w:hAnsi="宋体" w:eastAsia="宋体" w:cs="宋体"/>
                <w:color w:val="auto"/>
                <w:highlight w:val="none"/>
              </w:rPr>
              <w:t>mg/L</w:t>
            </w:r>
          </w:p>
        </w:tc>
        <w:tc>
          <w:tcPr>
            <w:tcW w:w="1212" w:type="dxa"/>
            <w:tcBorders>
              <w:tl2br w:val="nil"/>
              <w:tr2bl w:val="nil"/>
            </w:tcBorders>
            <w:shd w:val="clear" w:color="auto" w:fill="auto"/>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705" w:type="dxa"/>
            <w:tcBorders>
              <w:tl2br w:val="nil"/>
              <w:tr2bl w:val="nil"/>
            </w:tcBorders>
            <w:shd w:val="clear" w:color="auto" w:fill="auto"/>
            <w:vAlign w:val="center"/>
          </w:tcPr>
          <w:p>
            <w:pPr>
              <w:jc w:val="center"/>
              <w:rPr>
                <w:rFonts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0.01mg/L</w:t>
            </w:r>
          </w:p>
        </w:tc>
        <w:tc>
          <w:tcPr>
            <w:tcW w:w="705"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p>
        </w:tc>
        <w:tc>
          <w:tcPr>
            <w:tcW w:w="132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p>
        </w:tc>
        <w:tc>
          <w:tcPr>
            <w:tcW w:w="99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p>
        </w:tc>
        <w:tc>
          <w:tcPr>
            <w:tcW w:w="1155"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24小时混合样</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1次/日</w:t>
            </w:r>
          </w:p>
        </w:tc>
        <w:tc>
          <w:tcPr>
            <w:tcW w:w="155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《水质 总磷的测定 钼酸铵分光光度法》</w:t>
            </w:r>
          </w:p>
          <w:p>
            <w:pPr>
              <w:widowControl/>
              <w:jc w:val="center"/>
              <w:textAlignment w:val="center"/>
              <w:rPr>
                <w:rFonts w:ascii="宋体" w:hAnsi="宋体" w:eastAsia="宋体" w:cs="宋体"/>
                <w:color w:val="auto"/>
                <w:sz w:val="24"/>
                <w:szCs w:val="24"/>
                <w:highlight w:val="none"/>
              </w:rPr>
            </w:pPr>
            <w:r>
              <w:rPr>
                <w:rStyle w:val="30"/>
                <w:rFonts w:hint="eastAsia" w:ascii="宋体" w:hAnsi="宋体" w:eastAsia="宋体" w:cs="宋体"/>
                <w:color w:val="auto"/>
                <w:sz w:val="24"/>
                <w:szCs w:val="24"/>
                <w:highlight w:val="none"/>
                <w:lang w:bidi="ar"/>
              </w:rPr>
              <w:t>GB11893-89</w:t>
            </w:r>
          </w:p>
        </w:tc>
        <w:tc>
          <w:tcPr>
            <w:tcW w:w="992" w:type="dxa"/>
            <w:tcBorders>
              <w:tl2br w:val="nil"/>
              <w:tr2bl w:val="nil"/>
            </w:tcBorders>
            <w:shd w:val="clear" w:color="auto" w:fill="auto"/>
            <w:vAlign w:val="center"/>
          </w:tcPr>
          <w:p>
            <w:pPr>
              <w:jc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紫外可见分光光度计</w:t>
            </w:r>
          </w:p>
        </w:tc>
        <w:tc>
          <w:tcPr>
            <w:tcW w:w="1418" w:type="dxa"/>
            <w:tcBorders>
              <w:tl2br w:val="nil"/>
              <w:tr2bl w:val="nil"/>
            </w:tcBorders>
            <w:shd w:val="clear" w:color="auto" w:fill="auto"/>
            <w:vAlign w:val="center"/>
          </w:tcPr>
          <w:p>
            <w:pPr>
              <w:widowControl/>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避光、冷藏</w:t>
            </w:r>
          </w:p>
        </w:tc>
        <w:tc>
          <w:tcPr>
            <w:tcW w:w="1342"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48"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29</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雨水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DW00</w:t>
            </w:r>
            <w:r>
              <w:rPr>
                <w:rStyle w:val="31"/>
                <w:rFonts w:hint="default"/>
                <w:color w:val="auto"/>
                <w:sz w:val="24"/>
                <w:szCs w:val="24"/>
                <w:highlight w:val="none"/>
                <w:lang w:bidi="ar"/>
              </w:rPr>
              <w:t>3</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雨</w:t>
            </w:r>
            <w:r>
              <w:rPr>
                <w:rStyle w:val="31"/>
                <w:rFonts w:hint="default"/>
                <w:color w:val="auto"/>
                <w:sz w:val="24"/>
                <w:szCs w:val="24"/>
                <w:highlight w:val="none"/>
                <w:lang w:bidi="ar"/>
              </w:rPr>
              <w:t>水排放口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pH值</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《污水综合排放标准（GB 8978-1996 ）》中表4其他排污单位的一级标准</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6-9（无量纲）</w:t>
            </w:r>
          </w:p>
        </w:tc>
        <w:tc>
          <w:tcPr>
            <w:tcW w:w="705" w:type="dxa"/>
            <w:tcBorders>
              <w:tl2br w:val="nil"/>
              <w:tr2bl w:val="nil"/>
            </w:tcBorders>
            <w:shd w:val="clear" w:color="auto" w:fill="auto"/>
            <w:vAlign w:val="center"/>
          </w:tcPr>
          <w:p>
            <w:pPr>
              <w:jc w:val="center"/>
              <w:rPr>
                <w:rFonts w:ascii="宋体" w:hAnsi="宋体" w:eastAsia="宋体" w:cs="宋体"/>
                <w:color w:val="FF0000"/>
                <w:kern w:val="2"/>
                <w:sz w:val="24"/>
                <w:szCs w:val="24"/>
                <w:highlight w:val="yellow"/>
                <w:lang w:val="en-US" w:eastAsia="zh-CN" w:bidi="ar-SA"/>
              </w:rPr>
            </w:pPr>
            <w:r>
              <w:rPr>
                <w:rFonts w:hint="eastAsia" w:ascii="宋体" w:hAnsi="宋体" w:eastAsia="宋体" w:cs="宋体"/>
                <w:color w:val="000000" w:themeColor="text1"/>
                <w:kern w:val="0"/>
                <w:sz w:val="24"/>
                <w:szCs w:val="24"/>
                <w14:textFill>
                  <w14:solidFill>
                    <w14:schemeClr w14:val="tx1"/>
                  </w14:solidFill>
                </w14:textFill>
              </w:rPr>
              <w:t>/</w:t>
            </w:r>
          </w:p>
        </w:tc>
        <w:tc>
          <w:tcPr>
            <w:tcW w:w="705"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p>
        </w:tc>
        <w:tc>
          <w:tcPr>
            <w:tcW w:w="132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p>
        </w:tc>
        <w:tc>
          <w:tcPr>
            <w:tcW w:w="99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p>
        </w:tc>
        <w:tc>
          <w:tcPr>
            <w:tcW w:w="1155"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瞬时采样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bidi="ar"/>
              </w:rPr>
              <w:t>个瞬时样</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w:t>
            </w:r>
            <w:r>
              <w:rPr>
                <w:rFonts w:hint="eastAsia" w:ascii="宋体" w:hAnsi="宋体" w:eastAsia="宋体" w:cs="宋体"/>
                <w:color w:val="auto"/>
                <w:kern w:val="0"/>
                <w:sz w:val="24"/>
                <w:szCs w:val="24"/>
                <w:highlight w:val="none"/>
                <w:lang w:val="en-US" w:eastAsia="zh-CN" w:bidi="ar"/>
              </w:rPr>
              <w:t>季度</w:t>
            </w:r>
          </w:p>
        </w:tc>
        <w:tc>
          <w:tcPr>
            <w:tcW w:w="155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《水质 pH值的测定 电极法》</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HJ 1147-2020</w:t>
            </w:r>
          </w:p>
        </w:tc>
        <w:tc>
          <w:tcPr>
            <w:tcW w:w="992"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Style w:val="27"/>
                <w:rFonts w:hint="eastAsia" w:ascii="宋体" w:hAnsi="宋体" w:eastAsia="宋体" w:cs="宋体"/>
                <w:color w:val="auto"/>
                <w:sz w:val="24"/>
                <w:szCs w:val="24"/>
                <w:highlight w:val="none"/>
                <w:lang w:bidi="ar"/>
              </w:rPr>
              <w:t>pH计</w:t>
            </w:r>
          </w:p>
        </w:tc>
        <w:tc>
          <w:tcPr>
            <w:tcW w:w="141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w:t>
            </w:r>
          </w:p>
        </w:tc>
        <w:tc>
          <w:tcPr>
            <w:tcW w:w="1342"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下雨时开展手工监测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6" w:hRule="atLeast"/>
        </w:trPr>
        <w:tc>
          <w:tcPr>
            <w:tcW w:w="525" w:type="dxa"/>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30</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雨水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DW00</w:t>
            </w:r>
            <w:r>
              <w:rPr>
                <w:rFonts w:ascii="宋体" w:hAnsi="宋体" w:eastAsia="宋体" w:cs="宋体"/>
                <w:color w:val="auto"/>
                <w:kern w:val="0"/>
                <w:sz w:val="24"/>
                <w:szCs w:val="24"/>
                <w:highlight w:val="none"/>
                <w:lang w:bidi="ar"/>
              </w:rPr>
              <w:t>3</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雨</w:t>
            </w:r>
            <w:r>
              <w:rPr>
                <w:rStyle w:val="31"/>
                <w:rFonts w:hint="default"/>
                <w:color w:val="auto"/>
                <w:sz w:val="24"/>
                <w:szCs w:val="24"/>
                <w:highlight w:val="none"/>
                <w:lang w:bidi="ar"/>
              </w:rPr>
              <w:t>水排放口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氨氮</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1859" w:type="dxa"/>
            <w:tcBorders>
              <w:tl2br w:val="nil"/>
              <w:tr2bl w:val="nil"/>
            </w:tcBorders>
            <w:shd w:val="clear" w:color="auto" w:fill="auto"/>
            <w:vAlign w:val="center"/>
          </w:tcPr>
          <w:p>
            <w:pPr>
              <w:rPr>
                <w:rFonts w:ascii="宋体" w:hAnsi="宋体" w:eastAsia="宋体" w:cs="宋体"/>
                <w:color w:val="auto"/>
                <w:highlight w:val="none"/>
              </w:rPr>
            </w:pPr>
            <w:r>
              <w:rPr>
                <w:rFonts w:hint="eastAsia" w:ascii="宋体" w:hAnsi="宋体" w:eastAsia="宋体" w:cs="宋体"/>
                <w:color w:val="auto"/>
                <w:sz w:val="24"/>
                <w:szCs w:val="24"/>
                <w:highlight w:val="none"/>
              </w:rPr>
              <w:t>《污水综合排放标准（GB 8978-1996 ）》中表4其他排污单位的一级标准</w:t>
            </w:r>
          </w:p>
        </w:tc>
        <w:tc>
          <w:tcPr>
            <w:tcW w:w="1212" w:type="dxa"/>
            <w:tcBorders>
              <w:tl2br w:val="nil"/>
              <w:tr2bl w:val="nil"/>
            </w:tcBorders>
            <w:shd w:val="clear" w:color="auto" w:fill="auto"/>
            <w:vAlign w:val="center"/>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≤15mg/L</w:t>
            </w:r>
          </w:p>
        </w:tc>
        <w:tc>
          <w:tcPr>
            <w:tcW w:w="705" w:type="dxa"/>
            <w:tcBorders>
              <w:tl2br w:val="nil"/>
              <w:tr2bl w:val="nil"/>
            </w:tcBorders>
            <w:shd w:val="clear" w:color="auto" w:fill="auto"/>
            <w:vAlign w:val="center"/>
          </w:tcPr>
          <w:p>
            <w:pPr>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w:t>
            </w:r>
            <w:r>
              <w:rPr>
                <w:rFonts w:hint="eastAsia" w:ascii="宋体" w:hAnsi="宋体" w:eastAsia="宋体" w:cs="宋体"/>
                <w:color w:val="000000" w:themeColor="text1"/>
                <w:sz w:val="24"/>
                <w:szCs w:val="24"/>
                <w:lang w:val="en-US" w:eastAsia="zh-CN"/>
                <w14:textFill>
                  <w14:solidFill>
                    <w14:schemeClr w14:val="tx1"/>
                  </w14:solidFill>
                </w14:textFill>
              </w:rPr>
              <w:t>3</w:t>
            </w:r>
          </w:p>
          <w:p>
            <w:pPr>
              <w:jc w:val="center"/>
              <w:rPr>
                <w:rFonts w:ascii="宋体" w:hAnsi="宋体" w:eastAsia="宋体" w:cs="宋体"/>
                <w:kern w:val="2"/>
                <w:sz w:val="24"/>
                <w:szCs w:val="24"/>
                <w:highlight w:val="yellow"/>
                <w:lang w:val="en-US" w:eastAsia="zh-CN" w:bidi="ar-SA"/>
              </w:rPr>
            </w:pPr>
            <w:r>
              <w:rPr>
                <w:rFonts w:hint="eastAsia" w:ascii="宋体" w:hAnsi="宋体" w:eastAsia="宋体" w:cs="宋体"/>
                <w:color w:val="000000" w:themeColor="text1"/>
                <w:sz w:val="24"/>
                <w:szCs w:val="24"/>
                <w14:textFill>
                  <w14:solidFill>
                    <w14:schemeClr w14:val="tx1"/>
                  </w14:solidFill>
                </w14:textFill>
              </w:rPr>
              <w:t>mg/L</w:t>
            </w:r>
          </w:p>
        </w:tc>
        <w:tc>
          <w:tcPr>
            <w:tcW w:w="705"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p>
        </w:tc>
        <w:tc>
          <w:tcPr>
            <w:tcW w:w="132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p>
        </w:tc>
        <w:tc>
          <w:tcPr>
            <w:tcW w:w="99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p>
        </w:tc>
        <w:tc>
          <w:tcPr>
            <w:tcW w:w="1155"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瞬时采样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bidi="ar"/>
              </w:rPr>
              <w:t>个瞬时样</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w:t>
            </w:r>
            <w:r>
              <w:rPr>
                <w:rFonts w:hint="eastAsia" w:ascii="宋体" w:hAnsi="宋体" w:eastAsia="宋体" w:cs="宋体"/>
                <w:color w:val="auto"/>
                <w:kern w:val="0"/>
                <w:sz w:val="24"/>
                <w:szCs w:val="24"/>
                <w:highlight w:val="none"/>
                <w:lang w:val="en-US" w:eastAsia="zh-CN" w:bidi="ar"/>
              </w:rPr>
              <w:t>季度</w:t>
            </w:r>
          </w:p>
        </w:tc>
        <w:tc>
          <w:tcPr>
            <w:tcW w:w="1559"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《水质 氨氮的测定 纳氏试剂分光光度法》</w:t>
            </w:r>
          </w:p>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HJ535-2009</w:t>
            </w:r>
          </w:p>
        </w:tc>
        <w:tc>
          <w:tcPr>
            <w:tcW w:w="992"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紫外可见分光光度计</w:t>
            </w:r>
          </w:p>
        </w:tc>
        <w:tc>
          <w:tcPr>
            <w:tcW w:w="1418"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1342"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下雨时开展手工监测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6" w:hRule="atLeast"/>
        </w:trPr>
        <w:tc>
          <w:tcPr>
            <w:tcW w:w="52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3</w:t>
            </w:r>
            <w:r>
              <w:rPr>
                <w:rFonts w:hint="eastAsia" w:ascii="宋体" w:hAnsi="宋体" w:eastAsia="宋体" w:cs="宋体"/>
                <w:color w:val="000000"/>
                <w:kern w:val="0"/>
                <w:sz w:val="24"/>
                <w:szCs w:val="24"/>
                <w:lang w:val="en-US" w:eastAsia="zh-CN" w:bidi="ar"/>
              </w:rPr>
              <w:t>1</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雨水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DW00</w:t>
            </w:r>
            <w:r>
              <w:rPr>
                <w:rFonts w:ascii="宋体" w:hAnsi="宋体" w:eastAsia="宋体" w:cs="宋体"/>
                <w:color w:val="auto"/>
                <w:kern w:val="0"/>
                <w:sz w:val="24"/>
                <w:szCs w:val="24"/>
                <w:highlight w:val="none"/>
                <w:lang w:bidi="ar"/>
              </w:rPr>
              <w:t>3</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雨</w:t>
            </w:r>
            <w:r>
              <w:rPr>
                <w:rStyle w:val="31"/>
                <w:rFonts w:hint="default"/>
                <w:color w:val="auto"/>
                <w:sz w:val="24"/>
                <w:szCs w:val="24"/>
                <w:highlight w:val="none"/>
                <w:lang w:bidi="ar"/>
              </w:rPr>
              <w:t>水排放口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悬浮物</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《污水综合排放标准（GB 8978-1996 ）》中表4其他排污单位的一级标准</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≤70</w:t>
            </w:r>
            <w:r>
              <w:rPr>
                <w:rFonts w:hint="eastAsia" w:ascii="宋体" w:hAnsi="宋体" w:eastAsia="宋体" w:cs="宋体"/>
                <w:color w:val="auto"/>
                <w:highlight w:val="none"/>
              </w:rPr>
              <w:t>mg/L</w:t>
            </w:r>
          </w:p>
        </w:tc>
        <w:tc>
          <w:tcPr>
            <w:tcW w:w="705" w:type="dxa"/>
            <w:tcBorders>
              <w:tl2br w:val="nil"/>
              <w:tr2bl w:val="nil"/>
            </w:tcBorders>
            <w:shd w:val="clear" w:color="auto" w:fill="auto"/>
            <w:vAlign w:val="center"/>
          </w:tcPr>
          <w:p>
            <w:pPr>
              <w:jc w:val="center"/>
              <w:rPr>
                <w:rFonts w:ascii="宋体" w:hAnsi="宋体" w:eastAsia="宋体" w:cs="宋体"/>
                <w:color w:val="000000" w:themeColor="text1"/>
                <w:kern w:val="2"/>
                <w:sz w:val="24"/>
                <w:szCs w:val="24"/>
                <w:highlight w:val="yellow"/>
                <w:lang w:val="en-US" w:eastAsia="zh-CN" w:bidi="ar-SA"/>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5mg/L</w:t>
            </w:r>
          </w:p>
        </w:tc>
        <w:tc>
          <w:tcPr>
            <w:tcW w:w="705"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p>
        </w:tc>
        <w:tc>
          <w:tcPr>
            <w:tcW w:w="132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p>
        </w:tc>
        <w:tc>
          <w:tcPr>
            <w:tcW w:w="99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p>
        </w:tc>
        <w:tc>
          <w:tcPr>
            <w:tcW w:w="1155"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瞬时采样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bidi="ar"/>
              </w:rPr>
              <w:t>个瞬时样</w:t>
            </w:r>
          </w:p>
        </w:tc>
        <w:tc>
          <w:tcPr>
            <w:tcW w:w="116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1次/</w:t>
            </w:r>
            <w:r>
              <w:rPr>
                <w:rFonts w:hint="eastAsia" w:ascii="宋体" w:hAnsi="宋体" w:eastAsia="宋体" w:cs="宋体"/>
                <w:color w:val="auto"/>
                <w:kern w:val="0"/>
                <w:sz w:val="24"/>
                <w:szCs w:val="24"/>
                <w:highlight w:val="none"/>
                <w:lang w:val="en-US" w:eastAsia="zh-CN" w:bidi="ar"/>
              </w:rPr>
              <w:t>季度</w:t>
            </w:r>
          </w:p>
        </w:tc>
        <w:tc>
          <w:tcPr>
            <w:tcW w:w="155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《水质 悬浮物的测定 重量法》</w:t>
            </w:r>
          </w:p>
          <w:p>
            <w:pPr>
              <w:widowControl/>
              <w:jc w:val="center"/>
              <w:textAlignment w:val="center"/>
              <w:rPr>
                <w:rFonts w:ascii="宋体" w:hAnsi="宋体" w:eastAsia="宋体" w:cs="宋体"/>
                <w:color w:val="auto"/>
                <w:sz w:val="24"/>
                <w:szCs w:val="24"/>
                <w:highlight w:val="none"/>
              </w:rPr>
            </w:pPr>
            <w:r>
              <w:rPr>
                <w:rStyle w:val="26"/>
                <w:rFonts w:hint="eastAsia" w:ascii="宋体" w:hAnsi="宋体" w:eastAsia="宋体" w:cs="宋体"/>
                <w:color w:val="auto"/>
                <w:sz w:val="24"/>
                <w:szCs w:val="24"/>
                <w:highlight w:val="none"/>
                <w:lang w:bidi="ar"/>
              </w:rPr>
              <w:t>GB/T 11901-1989</w:t>
            </w:r>
          </w:p>
        </w:tc>
        <w:tc>
          <w:tcPr>
            <w:tcW w:w="992" w:type="dxa"/>
            <w:tcBorders>
              <w:tl2br w:val="nil"/>
              <w:tr2bl w:val="nil"/>
            </w:tcBorders>
            <w:shd w:val="clear" w:color="auto" w:fill="auto"/>
            <w:vAlign w:val="center"/>
          </w:tcPr>
          <w:p>
            <w:pPr>
              <w:widowControl/>
              <w:jc w:val="center"/>
              <w:textAlignment w:val="center"/>
              <w:rPr>
                <w:rFonts w:hint="default" w:ascii="宋体" w:hAnsi="宋体" w:eastAsia="宋体" w:cs="宋体"/>
                <w:color w:val="auto"/>
                <w:kern w:val="0"/>
                <w:sz w:val="24"/>
                <w:szCs w:val="24"/>
                <w:highlight w:val="none"/>
                <w:lang w:val="en-US" w:eastAsia="zh-CN" w:bidi="ar"/>
              </w:rPr>
            </w:pPr>
            <w:r>
              <w:rPr>
                <w:rStyle w:val="27"/>
                <w:rFonts w:hint="eastAsia" w:ascii="宋体" w:hAnsi="宋体" w:eastAsia="宋体" w:cs="宋体"/>
                <w:color w:val="auto"/>
                <w:sz w:val="24"/>
                <w:szCs w:val="24"/>
                <w:highlight w:val="none"/>
                <w:lang w:val="en-US" w:eastAsia="zh-CN" w:bidi="ar"/>
              </w:rPr>
              <w:t>电子天平</w:t>
            </w:r>
            <w:bookmarkStart w:id="3" w:name="_GoBack"/>
            <w:bookmarkEnd w:id="3"/>
          </w:p>
        </w:tc>
        <w:tc>
          <w:tcPr>
            <w:tcW w:w="141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bidi="ar"/>
              </w:rPr>
              <w:t>避光、冷藏</w:t>
            </w:r>
          </w:p>
        </w:tc>
        <w:tc>
          <w:tcPr>
            <w:tcW w:w="1342"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下雨时开展手工监测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80" w:hRule="atLeast"/>
        </w:trPr>
        <w:tc>
          <w:tcPr>
            <w:tcW w:w="525" w:type="dxa"/>
            <w:tcBorders>
              <w:tl2br w:val="nil"/>
              <w:tr2bl w:val="nil"/>
            </w:tcBorders>
            <w:shd w:val="clear" w:color="auto" w:fill="auto"/>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3</w:t>
            </w:r>
            <w:r>
              <w:rPr>
                <w:rFonts w:hint="eastAsia" w:ascii="宋体" w:hAnsi="宋体" w:eastAsia="宋体" w:cs="宋体"/>
                <w:color w:val="000000"/>
                <w:kern w:val="0"/>
                <w:sz w:val="24"/>
                <w:szCs w:val="24"/>
                <w:lang w:val="en-US" w:eastAsia="zh-CN" w:bidi="ar"/>
              </w:rPr>
              <w:t>2</w:t>
            </w:r>
          </w:p>
        </w:tc>
        <w:tc>
          <w:tcPr>
            <w:tcW w:w="844" w:type="dxa"/>
            <w:gridSpan w:val="2"/>
            <w:tcBorders>
              <w:tl2br w:val="nil"/>
              <w:tr2bl w:val="nil"/>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雨水</w:t>
            </w:r>
          </w:p>
        </w:tc>
        <w:tc>
          <w:tcPr>
            <w:tcW w:w="900"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DW00</w:t>
            </w:r>
            <w:r>
              <w:rPr>
                <w:rFonts w:ascii="宋体" w:hAnsi="宋体" w:eastAsia="宋体" w:cs="宋体"/>
                <w:color w:val="auto"/>
                <w:kern w:val="0"/>
                <w:sz w:val="24"/>
                <w:szCs w:val="24"/>
                <w:highlight w:val="none"/>
                <w:lang w:bidi="ar"/>
              </w:rPr>
              <w:t>3</w:t>
            </w:r>
          </w:p>
        </w:tc>
        <w:tc>
          <w:tcPr>
            <w:tcW w:w="1125"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雨</w:t>
            </w:r>
            <w:r>
              <w:rPr>
                <w:rStyle w:val="31"/>
                <w:rFonts w:hint="default"/>
                <w:color w:val="auto"/>
                <w:sz w:val="24"/>
                <w:szCs w:val="24"/>
                <w:highlight w:val="none"/>
                <w:lang w:bidi="ar"/>
              </w:rPr>
              <w:t>水排放口</w:t>
            </w:r>
          </w:p>
        </w:tc>
        <w:tc>
          <w:tcPr>
            <w:tcW w:w="993"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化学需氧量</w:t>
            </w:r>
          </w:p>
        </w:tc>
        <w:tc>
          <w:tcPr>
            <w:tcW w:w="636" w:type="dxa"/>
            <w:tcBorders>
              <w:tl2br w:val="nil"/>
              <w:tr2bl w:val="nil"/>
            </w:tcBorders>
            <w:shd w:val="clear" w:color="auto" w:fill="auto"/>
            <w:vAlign w:val="center"/>
          </w:tcPr>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手工</w:t>
            </w:r>
          </w:p>
        </w:tc>
        <w:tc>
          <w:tcPr>
            <w:tcW w:w="1859"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《污水综合排放标准（GB 8978-1996 ）》中表4其他排污单位的一级标准</w:t>
            </w:r>
          </w:p>
        </w:tc>
        <w:tc>
          <w:tcPr>
            <w:tcW w:w="1212"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r>
              <w:rPr>
                <w:rFonts w:hint="eastAsia" w:ascii="宋体" w:hAnsi="宋体" w:eastAsia="宋体" w:cs="宋体"/>
                <w:color w:val="auto"/>
                <w:highlight w:val="none"/>
              </w:rPr>
              <w:t>mg/L</w:t>
            </w:r>
          </w:p>
        </w:tc>
        <w:tc>
          <w:tcPr>
            <w:tcW w:w="705" w:type="dxa"/>
            <w:tcBorders>
              <w:tl2br w:val="nil"/>
              <w:tr2bl w:val="nil"/>
            </w:tcBorders>
            <w:shd w:val="clear" w:color="auto" w:fill="auto"/>
            <w:vAlign w:val="center"/>
          </w:tcPr>
          <w:p>
            <w:pPr>
              <w:jc w:val="center"/>
              <w:rPr>
                <w:rFonts w:ascii="宋体" w:hAnsi="宋体" w:eastAsia="宋体" w:cs="宋体"/>
                <w:color w:val="000000" w:themeColor="text1"/>
                <w:kern w:val="2"/>
                <w:sz w:val="24"/>
                <w:szCs w:val="24"/>
                <w:highlight w:val="yellow"/>
                <w:lang w:val="en-US" w:eastAsia="zh-CN" w:bidi="ar-SA"/>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4mg/L</w:t>
            </w:r>
          </w:p>
        </w:tc>
        <w:tc>
          <w:tcPr>
            <w:tcW w:w="705"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p>
        </w:tc>
        <w:tc>
          <w:tcPr>
            <w:tcW w:w="132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p>
        </w:tc>
        <w:tc>
          <w:tcPr>
            <w:tcW w:w="990"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p>
        </w:tc>
        <w:tc>
          <w:tcPr>
            <w:tcW w:w="1155" w:type="dxa"/>
            <w:tcBorders>
              <w:tl2br w:val="nil"/>
              <w:tr2bl w:val="nil"/>
            </w:tcBorders>
            <w:shd w:val="clear" w:color="auto" w:fill="auto"/>
            <w:vAlign w:val="center"/>
          </w:tcPr>
          <w:p>
            <w:pPr>
              <w:jc w:val="center"/>
              <w:rPr>
                <w:rFonts w:ascii="宋体" w:hAnsi="宋体" w:eastAsia="宋体" w:cs="宋体"/>
                <w:color w:val="auto"/>
                <w:sz w:val="24"/>
                <w:szCs w:val="24"/>
                <w:highlight w:val="none"/>
              </w:rPr>
            </w:pPr>
          </w:p>
        </w:tc>
        <w:tc>
          <w:tcPr>
            <w:tcW w:w="1035"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瞬时采样 </w:t>
            </w:r>
          </w:p>
          <w:p>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bidi="ar"/>
              </w:rPr>
              <w:t>个瞬时样</w:t>
            </w:r>
          </w:p>
        </w:tc>
        <w:tc>
          <w:tcPr>
            <w:tcW w:w="1165" w:type="dxa"/>
            <w:tcBorders>
              <w:tl2br w:val="nil"/>
              <w:tr2bl w:val="nil"/>
            </w:tcBorders>
            <w:shd w:val="clear" w:color="auto" w:fill="auto"/>
            <w:vAlign w:val="center"/>
          </w:tcPr>
          <w:p>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bidi="ar"/>
              </w:rPr>
              <w:t>1次/</w:t>
            </w:r>
            <w:r>
              <w:rPr>
                <w:rFonts w:hint="eastAsia" w:ascii="宋体" w:hAnsi="宋体" w:eastAsia="宋体" w:cs="宋体"/>
                <w:color w:val="auto"/>
                <w:kern w:val="0"/>
                <w:sz w:val="24"/>
                <w:szCs w:val="24"/>
                <w:highlight w:val="none"/>
                <w:lang w:val="en-US" w:eastAsia="zh-CN" w:bidi="ar"/>
              </w:rPr>
              <w:t>季度</w:t>
            </w:r>
          </w:p>
        </w:tc>
        <w:tc>
          <w:tcPr>
            <w:tcW w:w="1559"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《水质 化学需氧量的测定 重铬酸盐法》</w:t>
            </w:r>
          </w:p>
          <w:p>
            <w:pPr>
              <w:widowControl/>
              <w:jc w:val="center"/>
              <w:textAlignment w:val="center"/>
              <w:rPr>
                <w:rFonts w:ascii="宋体" w:hAnsi="宋体" w:eastAsia="宋体" w:cs="宋体"/>
                <w:color w:val="auto"/>
                <w:sz w:val="24"/>
                <w:szCs w:val="24"/>
                <w:highlight w:val="none"/>
              </w:rPr>
            </w:pPr>
            <w:r>
              <w:rPr>
                <w:rStyle w:val="30"/>
                <w:rFonts w:hint="eastAsia" w:ascii="宋体" w:hAnsi="宋体" w:eastAsia="宋体" w:cs="宋体"/>
                <w:color w:val="auto"/>
                <w:sz w:val="24"/>
                <w:szCs w:val="24"/>
                <w:highlight w:val="none"/>
                <w:lang w:bidi="ar"/>
              </w:rPr>
              <w:t>HJ 828-2017</w:t>
            </w:r>
          </w:p>
        </w:tc>
        <w:tc>
          <w:tcPr>
            <w:tcW w:w="992"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Style w:val="27"/>
                <w:rFonts w:hint="eastAsia" w:ascii="宋体" w:hAnsi="宋体" w:eastAsia="宋体" w:cs="宋体"/>
                <w:color w:val="auto"/>
                <w:sz w:val="24"/>
                <w:szCs w:val="24"/>
                <w:highlight w:val="none"/>
                <w:lang w:bidi="ar"/>
              </w:rPr>
              <w:t>标准 COD消解仪</w:t>
            </w:r>
          </w:p>
        </w:tc>
        <w:tc>
          <w:tcPr>
            <w:tcW w:w="1418" w:type="dxa"/>
            <w:tcBorders>
              <w:tl2br w:val="nil"/>
              <w:tr2bl w:val="nil"/>
            </w:tcBorders>
            <w:shd w:val="clear" w:color="auto" w:fill="auto"/>
            <w:vAlign w:val="center"/>
          </w:tcPr>
          <w:p>
            <w:pPr>
              <w:widowControl/>
              <w:jc w:val="center"/>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w:t>
            </w:r>
          </w:p>
        </w:tc>
        <w:tc>
          <w:tcPr>
            <w:tcW w:w="1342" w:type="dxa"/>
            <w:tcBorders>
              <w:tl2br w:val="nil"/>
              <w:tr2bl w:val="nil"/>
            </w:tcBorders>
            <w:shd w:val="clear" w:color="auto" w:fill="auto"/>
            <w:vAlign w:val="center"/>
          </w:tcPr>
          <w:p>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下雨时开展手工监测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80" w:hRule="atLeast"/>
        </w:trPr>
        <w:tc>
          <w:tcPr>
            <w:tcW w:w="705" w:type="dxa"/>
            <w:gridSpan w:val="2"/>
            <w:tcBorders>
              <w:tl2br w:val="nil"/>
              <w:tr2bl w:val="nil"/>
            </w:tcBorders>
            <w:shd w:val="clear" w:color="auto" w:fill="auto"/>
            <w:vAlign w:val="center"/>
          </w:tcPr>
          <w:p>
            <w:pPr>
              <w:widowControl/>
              <w:jc w:val="left"/>
              <w:textAlignment w:val="center"/>
              <w:rPr>
                <w:rFonts w:hint="eastAsia" w:ascii="宋体" w:hAnsi="宋体" w:eastAsia="宋体" w:cs="宋体"/>
                <w:b w:val="0"/>
                <w:bCs w:val="0"/>
                <w:i w:val="0"/>
                <w:iCs w:val="0"/>
                <w:color w:val="auto"/>
                <w:kern w:val="0"/>
                <w:sz w:val="24"/>
                <w:szCs w:val="24"/>
                <w:u w:val="none"/>
                <w:lang w:val="en-US" w:eastAsia="zh-CN" w:bidi="ar"/>
              </w:rPr>
            </w:pPr>
          </w:p>
        </w:tc>
        <w:tc>
          <w:tcPr>
            <w:tcW w:w="19775" w:type="dxa"/>
            <w:gridSpan w:val="18"/>
            <w:tcBorders>
              <w:tl2br w:val="nil"/>
              <w:tr2bl w:val="nil"/>
            </w:tcBorders>
            <w:shd w:val="clear" w:color="auto" w:fill="auto"/>
            <w:vAlign w:val="center"/>
          </w:tcPr>
          <w:p>
            <w:pPr>
              <w:widowControl/>
              <w:jc w:val="left"/>
              <w:textAlignment w:val="center"/>
              <w:rPr>
                <w:rFonts w:hint="eastAsia" w:ascii="宋体" w:hAnsi="宋体" w:eastAsia="宋体" w:cs="宋体"/>
                <w:color w:val="0000FF"/>
                <w:kern w:val="0"/>
                <w:sz w:val="24"/>
                <w:szCs w:val="24"/>
                <w:highlight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注：雨水排放口有流动水排放时按月监测，如监测一年无异常情况，可放宽至每季度开展一次监测。</w:t>
            </w:r>
          </w:p>
        </w:tc>
      </w:tr>
    </w:tbl>
    <w:p>
      <w:pPr>
        <w:pStyle w:val="7"/>
        <w:numPr>
          <w:ilvl w:val="0"/>
          <w:numId w:val="0"/>
        </w:numPr>
        <w:spacing w:before="0" w:after="0" w:line="240" w:lineRule="auto"/>
        <w:jc w:val="both"/>
        <w:rPr>
          <w:rFonts w:ascii="宋体" w:hAnsi="宋体" w:eastAsia="宋体" w:cs="宋体"/>
          <w:b w:val="0"/>
          <w:bCs w:val="0"/>
          <w:color w:val="auto"/>
          <w:sz w:val="28"/>
          <w:szCs w:val="28"/>
          <w:highlight w:val="none"/>
        </w:rPr>
        <w:sectPr>
          <w:footerReference r:id="rId6" w:type="default"/>
          <w:pgSz w:w="23811" w:h="16838" w:orient="landscape"/>
          <w:pgMar w:top="1803" w:right="1440" w:bottom="1803" w:left="1440" w:header="851" w:footer="992" w:gutter="0"/>
          <w:pgNumType w:fmt="decimal"/>
          <w:cols w:space="0" w:num="1"/>
          <w:docGrid w:type="lines" w:linePitch="319" w:charSpace="0"/>
        </w:sectPr>
      </w:pPr>
      <w:bookmarkStart w:id="2" w:name="SCLZXJCINFO"/>
    </w:p>
    <w:p>
      <w:pPr>
        <w:rPr>
          <w:rFonts w:hint="default" w:eastAsiaTheme="minorEastAsia"/>
          <w:sz w:val="24"/>
          <w:szCs w:val="28"/>
          <w:lang w:val="en-US" w:eastAsia="zh-CN"/>
        </w:rPr>
      </w:pPr>
      <w:r>
        <w:rPr>
          <w:rFonts w:hint="eastAsia"/>
          <w:sz w:val="24"/>
          <w:szCs w:val="28"/>
          <w:lang w:val="en-US" w:eastAsia="zh-CN"/>
        </w:rPr>
        <w:t>3、污泥检测方案</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1"/>
        <w:gridCol w:w="1124"/>
        <w:gridCol w:w="1262"/>
        <w:gridCol w:w="1262"/>
        <w:gridCol w:w="1702"/>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监测指标</w:t>
            </w:r>
          </w:p>
        </w:tc>
        <w:tc>
          <w:tcPr>
            <w:tcW w:w="1124" w:type="dxa"/>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监测频次</w:t>
            </w:r>
          </w:p>
        </w:tc>
        <w:tc>
          <w:tcPr>
            <w:tcW w:w="1262" w:type="dxa"/>
          </w:tcPr>
          <w:p>
            <w:pP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排放限值</w:t>
            </w:r>
          </w:p>
        </w:tc>
        <w:tc>
          <w:tcPr>
            <w:tcW w:w="1262" w:type="dxa"/>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监测方式</w:t>
            </w:r>
          </w:p>
        </w:tc>
        <w:tc>
          <w:tcPr>
            <w:tcW w:w="1702" w:type="dxa"/>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监测方法</w:t>
            </w:r>
          </w:p>
        </w:tc>
        <w:tc>
          <w:tcPr>
            <w:tcW w:w="1702" w:type="dxa"/>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检测设备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dxa"/>
            <w:vAlign w:val="top"/>
          </w:tcPr>
          <w:p>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污泥</w:t>
            </w:r>
            <w:r>
              <w:rPr>
                <w:rFonts w:hint="eastAsia" w:ascii="宋体" w:hAnsi="宋体" w:eastAsia="宋体" w:cs="宋体"/>
                <w:color w:val="auto"/>
                <w:sz w:val="24"/>
                <w:szCs w:val="24"/>
                <w:highlight w:val="none"/>
              </w:rPr>
              <w:t>含水</w:t>
            </w:r>
            <w:r>
              <w:rPr>
                <w:rFonts w:hint="eastAsia" w:ascii="宋体" w:hAnsi="宋体" w:eastAsia="宋体" w:cs="宋体"/>
                <w:color w:val="auto"/>
                <w:sz w:val="24"/>
                <w:szCs w:val="24"/>
                <w:highlight w:val="none"/>
                <w:lang w:val="en-US" w:eastAsia="zh-CN"/>
              </w:rPr>
              <w:t>率</w:t>
            </w:r>
          </w:p>
        </w:tc>
        <w:tc>
          <w:tcPr>
            <w:tcW w:w="1124" w:type="dxa"/>
            <w:vAlign w:val="top"/>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1次/日</w:t>
            </w:r>
          </w:p>
        </w:tc>
        <w:tc>
          <w:tcPr>
            <w:tcW w:w="1262" w:type="dxa"/>
            <w:vAlign w:val="top"/>
          </w:tcPr>
          <w:p>
            <w:pP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≤80%</w:t>
            </w:r>
          </w:p>
        </w:tc>
        <w:tc>
          <w:tcPr>
            <w:tcW w:w="1262" w:type="dxa"/>
            <w:vAlign w:val="top"/>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手工</w:t>
            </w:r>
          </w:p>
        </w:tc>
        <w:tc>
          <w:tcPr>
            <w:tcW w:w="1702" w:type="dxa"/>
            <w:vAlign w:val="top"/>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重量法CJ/T 221-2005\1项</w:t>
            </w:r>
          </w:p>
        </w:tc>
        <w:tc>
          <w:tcPr>
            <w:tcW w:w="1702" w:type="dxa"/>
            <w:vAlign w:val="top"/>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千分之一电子天平</w:t>
            </w:r>
          </w:p>
        </w:tc>
      </w:tr>
    </w:tbl>
    <w:p>
      <w:pPr>
        <w:rPr>
          <w:color w:val="auto"/>
          <w:highlight w:val="none"/>
        </w:rPr>
      </w:pPr>
    </w:p>
    <w:p/>
    <w:p>
      <w:pPr>
        <w:pStyle w:val="7"/>
        <w:spacing w:before="0" w:after="0" w:line="240" w:lineRule="auto"/>
        <w:jc w:val="both"/>
        <w:rPr>
          <w:rFonts w:ascii="宋体" w:hAnsi="宋体" w:eastAsia="宋体" w:cs="宋体"/>
          <w:b w:val="0"/>
          <w:bCs w:val="0"/>
          <w:sz w:val="28"/>
          <w:szCs w:val="28"/>
          <w:highlight w:val="yellow"/>
        </w:rPr>
      </w:pPr>
      <w:r>
        <w:rPr>
          <w:rFonts w:hint="eastAsia" w:ascii="宋体" w:hAnsi="宋体" w:eastAsia="宋体" w:cs="宋体"/>
          <w:b w:val="0"/>
          <w:bCs w:val="0"/>
          <w:sz w:val="28"/>
          <w:szCs w:val="28"/>
          <w:lang w:val="en-US" w:eastAsia="zh-CN"/>
        </w:rPr>
        <w:t>4、</w:t>
      </w:r>
      <w:r>
        <w:rPr>
          <w:rFonts w:hint="eastAsia" w:ascii="宋体" w:hAnsi="宋体" w:eastAsia="宋体" w:cs="宋体"/>
          <w:b w:val="0"/>
          <w:bCs w:val="0"/>
          <w:sz w:val="28"/>
          <w:szCs w:val="28"/>
        </w:rPr>
        <w:t>周边环境监测方案</w:t>
      </w:r>
    </w:p>
    <w:tbl>
      <w:tblPr>
        <w:tblStyle w:val="9"/>
        <w:tblpPr w:leftFromText="180" w:rightFromText="180" w:vertAnchor="text" w:horzAnchor="page" w:tblpX="795" w:tblpY="747"/>
        <w:tblOverlap w:val="never"/>
        <w:tblW w:w="10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2"/>
        <w:gridCol w:w="963"/>
        <w:gridCol w:w="1165"/>
        <w:gridCol w:w="1050"/>
        <w:gridCol w:w="1110"/>
        <w:gridCol w:w="1635"/>
        <w:gridCol w:w="2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202"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监测点位</w:t>
            </w:r>
          </w:p>
        </w:tc>
        <w:tc>
          <w:tcPr>
            <w:tcW w:w="963"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监测指标</w:t>
            </w:r>
          </w:p>
        </w:tc>
        <w:tc>
          <w:tcPr>
            <w:tcW w:w="1165"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排放限值</w:t>
            </w:r>
          </w:p>
        </w:tc>
        <w:tc>
          <w:tcPr>
            <w:tcW w:w="1050"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监测方式</w:t>
            </w:r>
          </w:p>
        </w:tc>
        <w:tc>
          <w:tcPr>
            <w:tcW w:w="1110"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监测频次</w:t>
            </w:r>
          </w:p>
        </w:tc>
        <w:tc>
          <w:tcPr>
            <w:tcW w:w="1635"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监测仪器</w:t>
            </w:r>
          </w:p>
        </w:tc>
        <w:tc>
          <w:tcPr>
            <w:tcW w:w="2415"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202"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地表水（</w:t>
            </w:r>
            <w:r>
              <w:rPr>
                <w:rFonts w:hint="eastAsia" w:ascii="宋体" w:hAnsi="宋体" w:eastAsia="宋体" w:cs="宋体"/>
                <w:color w:val="auto"/>
                <w:kern w:val="0"/>
                <w:sz w:val="24"/>
                <w:szCs w:val="24"/>
                <w:highlight w:val="none"/>
                <w:lang w:val="en-US" w:eastAsia="zh-CN"/>
              </w:rPr>
              <w:t>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琴江河</w:t>
            </w:r>
            <w:r>
              <w:rPr>
                <w:rFonts w:hint="eastAsia" w:ascii="宋体" w:hAnsi="宋体" w:eastAsia="宋体" w:cs="Times New Roman"/>
                <w:color w:val="auto"/>
                <w:kern w:val="0"/>
                <w:sz w:val="24"/>
                <w:szCs w:val="24"/>
                <w:highlight w:val="none"/>
                <w:lang w:eastAsia="zh-CN"/>
              </w:rPr>
              <w:t>）</w:t>
            </w:r>
            <w:r>
              <w:rPr>
                <w:rFonts w:ascii="宋体" w:hAnsi="宋体" w:eastAsia="宋体" w:cs="Times New Roman"/>
                <w:color w:val="auto"/>
                <w:kern w:val="0"/>
                <w:sz w:val="24"/>
                <w:szCs w:val="24"/>
                <w:highlight w:val="none"/>
              </w:rPr>
              <w:t>上游0.5km</w:t>
            </w:r>
            <w:r>
              <w:rPr>
                <w:rFonts w:hint="eastAsia" w:ascii="宋体" w:hAnsi="宋体" w:eastAsia="宋体" w:cs="Times New Roman"/>
                <w:color w:val="auto"/>
                <w:kern w:val="0"/>
                <w:sz w:val="24"/>
                <w:szCs w:val="24"/>
                <w:highlight w:val="none"/>
              </w:rPr>
              <w:t>和下游1.5km）</w:t>
            </w:r>
          </w:p>
        </w:tc>
        <w:tc>
          <w:tcPr>
            <w:tcW w:w="963" w:type="dxa"/>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pH值</w:t>
            </w:r>
          </w:p>
        </w:tc>
        <w:tc>
          <w:tcPr>
            <w:tcW w:w="1165"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6-9</w:t>
            </w:r>
          </w:p>
        </w:tc>
        <w:tc>
          <w:tcPr>
            <w:tcW w:w="1050"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1110"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3次/年</w:t>
            </w:r>
          </w:p>
        </w:tc>
        <w:tc>
          <w:tcPr>
            <w:tcW w:w="1635" w:type="dxa"/>
            <w:vAlign w:val="center"/>
          </w:tcPr>
          <w:p>
            <w:pPr>
              <w:widowControl/>
              <w:jc w:val="center"/>
              <w:textAlignment w:val="center"/>
              <w:rPr>
                <w:rFonts w:ascii="宋体" w:hAnsi="宋体" w:eastAsia="宋体" w:cs="Times New Roman"/>
                <w:color w:val="auto"/>
                <w:kern w:val="0"/>
                <w:sz w:val="24"/>
                <w:szCs w:val="24"/>
                <w:highlight w:val="none"/>
              </w:rPr>
            </w:pPr>
            <w:r>
              <w:rPr>
                <w:rFonts w:hint="eastAsia" w:ascii="Times New Roman" w:hAnsi="Times New Roman"/>
                <w:color w:val="auto"/>
                <w:sz w:val="24"/>
                <w:szCs w:val="24"/>
                <w:highlight w:val="none"/>
              </w:rPr>
              <w:t>便携式多参数分析仪</w:t>
            </w:r>
          </w:p>
        </w:tc>
        <w:tc>
          <w:tcPr>
            <w:tcW w:w="2415" w:type="dxa"/>
            <w:vAlign w:val="center"/>
          </w:tcPr>
          <w:p>
            <w:pPr>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水质 pH值的测定 电极法</w:t>
            </w:r>
          </w:p>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Times New Roman"/>
                <w:color w:val="auto"/>
                <w:kern w:val="0"/>
                <w:sz w:val="24"/>
                <w:szCs w:val="24"/>
                <w:highlight w:val="none"/>
              </w:rPr>
              <w:t>HJ 1147-2020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202" w:type="dxa"/>
            <w:vAlign w:val="center"/>
          </w:tcPr>
          <w:p>
            <w:pPr>
              <w:jc w:val="center"/>
              <w:rPr>
                <w:rFonts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rPr>
              <w:t>地表水（</w:t>
            </w:r>
            <w:r>
              <w:rPr>
                <w:rFonts w:hint="eastAsia" w:ascii="宋体" w:hAnsi="宋体" w:eastAsia="宋体" w:cs="宋体"/>
                <w:color w:val="auto"/>
                <w:kern w:val="0"/>
                <w:sz w:val="24"/>
                <w:szCs w:val="24"/>
                <w:highlight w:val="none"/>
                <w:lang w:val="en-US" w:eastAsia="zh-CN"/>
              </w:rPr>
              <w:t>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琴江河</w:t>
            </w:r>
            <w:r>
              <w:rPr>
                <w:rFonts w:hint="eastAsia" w:ascii="宋体" w:hAnsi="宋体" w:eastAsia="宋体" w:cs="Times New Roman"/>
                <w:color w:val="auto"/>
                <w:kern w:val="0"/>
                <w:sz w:val="24"/>
                <w:szCs w:val="24"/>
                <w:highlight w:val="none"/>
                <w:lang w:eastAsia="zh-CN"/>
              </w:rPr>
              <w:t>）</w:t>
            </w:r>
            <w:r>
              <w:rPr>
                <w:rFonts w:ascii="宋体" w:hAnsi="宋体" w:eastAsia="宋体" w:cs="Times New Roman"/>
                <w:color w:val="auto"/>
                <w:kern w:val="0"/>
                <w:sz w:val="24"/>
                <w:szCs w:val="24"/>
                <w:highlight w:val="none"/>
              </w:rPr>
              <w:t>上游0.5km</w:t>
            </w:r>
            <w:r>
              <w:rPr>
                <w:rFonts w:hint="eastAsia" w:ascii="宋体" w:hAnsi="宋体" w:eastAsia="宋体" w:cs="Times New Roman"/>
                <w:color w:val="auto"/>
                <w:kern w:val="0"/>
                <w:sz w:val="24"/>
                <w:szCs w:val="24"/>
                <w:highlight w:val="none"/>
              </w:rPr>
              <w:t>和下游1.5km）</w:t>
            </w:r>
          </w:p>
        </w:tc>
        <w:tc>
          <w:tcPr>
            <w:tcW w:w="963" w:type="dxa"/>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悬浮物</w:t>
            </w:r>
          </w:p>
        </w:tc>
        <w:tc>
          <w:tcPr>
            <w:tcW w:w="1165"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050"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1110"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3次/年</w:t>
            </w:r>
          </w:p>
        </w:tc>
        <w:tc>
          <w:tcPr>
            <w:tcW w:w="1635" w:type="dxa"/>
            <w:vAlign w:val="center"/>
          </w:tcPr>
          <w:p>
            <w:pPr>
              <w:widowControl/>
              <w:jc w:val="center"/>
              <w:textAlignment w:val="center"/>
              <w:rPr>
                <w:rFonts w:ascii="宋体" w:hAnsi="宋体" w:eastAsia="宋体" w:cs="Times New Roman"/>
                <w:color w:val="auto"/>
                <w:kern w:val="0"/>
                <w:sz w:val="24"/>
                <w:szCs w:val="24"/>
                <w:highlight w:val="none"/>
              </w:rPr>
            </w:pPr>
            <w:r>
              <w:rPr>
                <w:rStyle w:val="27"/>
                <w:rFonts w:hint="eastAsia" w:ascii="宋体" w:hAnsi="宋体" w:eastAsia="宋体" w:cs="宋体"/>
                <w:sz w:val="24"/>
                <w:szCs w:val="24"/>
                <w:highlight w:val="none"/>
                <w:lang w:bidi="ar"/>
              </w:rPr>
              <w:t>电热</w:t>
            </w:r>
            <w:r>
              <w:rPr>
                <w:rStyle w:val="27"/>
                <w:rFonts w:hint="eastAsia" w:ascii="宋体" w:hAnsi="宋体" w:eastAsia="宋体" w:cs="宋体"/>
                <w:sz w:val="24"/>
                <w:szCs w:val="24"/>
                <w:highlight w:val="none"/>
                <w:lang w:val="en-US" w:eastAsia="zh-CN" w:bidi="ar"/>
              </w:rPr>
              <w:t>恒温</w:t>
            </w:r>
            <w:r>
              <w:rPr>
                <w:rStyle w:val="27"/>
                <w:rFonts w:hint="eastAsia" w:ascii="宋体" w:hAnsi="宋体" w:eastAsia="宋体" w:cs="宋体"/>
                <w:sz w:val="24"/>
                <w:szCs w:val="24"/>
                <w:highlight w:val="none"/>
                <w:lang w:bidi="ar"/>
              </w:rPr>
              <w:t>干燥箱</w:t>
            </w:r>
            <w:r>
              <w:rPr>
                <w:rStyle w:val="27"/>
                <w:rFonts w:hint="eastAsia" w:ascii="宋体" w:hAnsi="宋体" w:eastAsia="宋体" w:cs="宋体"/>
                <w:sz w:val="24"/>
                <w:szCs w:val="24"/>
                <w:highlight w:val="none"/>
                <w:lang w:eastAsia="zh-CN" w:bidi="ar"/>
              </w:rPr>
              <w:t>、</w:t>
            </w:r>
            <w:r>
              <w:rPr>
                <w:rStyle w:val="27"/>
                <w:rFonts w:hint="eastAsia" w:ascii="宋体" w:hAnsi="宋体" w:eastAsia="宋体" w:cs="宋体"/>
                <w:sz w:val="24"/>
                <w:szCs w:val="24"/>
                <w:lang w:eastAsia="zh-CN" w:bidi="ar"/>
              </w:rPr>
              <w:t>万分之一天平</w:t>
            </w:r>
          </w:p>
        </w:tc>
        <w:tc>
          <w:tcPr>
            <w:tcW w:w="2415" w:type="dxa"/>
            <w:vAlign w:val="center"/>
          </w:tcPr>
          <w:p>
            <w:pPr>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水质 悬浮物的测定 重量法</w:t>
            </w:r>
          </w:p>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Times New Roman"/>
                <w:color w:val="auto"/>
                <w:kern w:val="0"/>
                <w:sz w:val="24"/>
                <w:szCs w:val="24"/>
                <w:highlight w:val="none"/>
              </w:rPr>
              <w:t>GB</w:t>
            </w:r>
            <w:r>
              <w:rPr>
                <w:rFonts w:hint="eastAsia" w:ascii="宋体" w:hAnsi="宋体" w:eastAsia="宋体" w:cs="Times New Roman"/>
                <w:color w:val="auto"/>
                <w:kern w:val="0"/>
                <w:sz w:val="24"/>
                <w:szCs w:val="24"/>
                <w:highlight w:val="none"/>
                <w:lang w:val="en-US" w:eastAsia="zh-CN"/>
              </w:rPr>
              <w:t>/T</w:t>
            </w:r>
            <w:r>
              <w:rPr>
                <w:rFonts w:hint="eastAsia" w:ascii="宋体" w:hAnsi="宋体" w:eastAsia="宋体" w:cs="Times New Roman"/>
                <w:color w:val="auto"/>
                <w:kern w:val="0"/>
                <w:sz w:val="24"/>
                <w:szCs w:val="24"/>
                <w:highlight w:val="none"/>
              </w:rPr>
              <w:t xml:space="preserve"> </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1901-</w:t>
            </w:r>
            <w:r>
              <w:rPr>
                <w:rFonts w:hint="eastAsia" w:ascii="宋体" w:hAnsi="宋体" w:eastAsia="宋体" w:cs="Times New Roman"/>
                <w:color w:val="auto"/>
                <w:kern w:val="0"/>
                <w:sz w:val="24"/>
                <w:szCs w:val="24"/>
                <w:highlight w:val="none"/>
                <w:lang w:val="en-US" w:eastAsia="zh-CN"/>
              </w:rPr>
              <w:t>19</w:t>
            </w:r>
            <w:r>
              <w:rPr>
                <w:rFonts w:hint="eastAsia" w:ascii="宋体" w:hAnsi="宋体" w:eastAsia="宋体" w:cs="Times New Roman"/>
                <w:color w:val="auto"/>
                <w:kern w:val="0"/>
                <w:sz w:val="24"/>
                <w:szCs w:val="24"/>
                <w:highlight w:val="none"/>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202"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地表水（</w:t>
            </w:r>
            <w:r>
              <w:rPr>
                <w:rFonts w:hint="eastAsia" w:ascii="宋体" w:hAnsi="宋体" w:eastAsia="宋体" w:cs="宋体"/>
                <w:color w:val="auto"/>
                <w:kern w:val="0"/>
                <w:sz w:val="24"/>
                <w:szCs w:val="24"/>
                <w:highlight w:val="none"/>
                <w:lang w:val="en-US" w:eastAsia="zh-CN"/>
              </w:rPr>
              <w:t>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琴江河</w:t>
            </w:r>
            <w:r>
              <w:rPr>
                <w:rFonts w:hint="eastAsia" w:ascii="宋体" w:hAnsi="宋体" w:eastAsia="宋体" w:cs="Times New Roman"/>
                <w:color w:val="auto"/>
                <w:kern w:val="0"/>
                <w:sz w:val="24"/>
                <w:szCs w:val="24"/>
                <w:highlight w:val="none"/>
                <w:lang w:eastAsia="zh-CN"/>
              </w:rPr>
              <w:t>）</w:t>
            </w:r>
            <w:r>
              <w:rPr>
                <w:rFonts w:ascii="宋体" w:hAnsi="宋体" w:eastAsia="宋体" w:cs="Times New Roman"/>
                <w:color w:val="auto"/>
                <w:kern w:val="0"/>
                <w:sz w:val="24"/>
                <w:szCs w:val="24"/>
                <w:highlight w:val="none"/>
              </w:rPr>
              <w:t>上游0.5km</w:t>
            </w:r>
            <w:r>
              <w:rPr>
                <w:rFonts w:hint="eastAsia" w:ascii="宋体" w:hAnsi="宋体" w:eastAsia="宋体" w:cs="Times New Roman"/>
                <w:color w:val="auto"/>
                <w:kern w:val="0"/>
                <w:sz w:val="24"/>
                <w:szCs w:val="24"/>
                <w:highlight w:val="none"/>
              </w:rPr>
              <w:t>和下游1.5km）</w:t>
            </w:r>
          </w:p>
        </w:tc>
        <w:tc>
          <w:tcPr>
            <w:tcW w:w="963" w:type="dxa"/>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化学需氧量</w:t>
            </w:r>
          </w:p>
        </w:tc>
        <w:tc>
          <w:tcPr>
            <w:tcW w:w="1165" w:type="dxa"/>
            <w:vAlign w:val="center"/>
          </w:tcPr>
          <w:p>
            <w:pPr>
              <w:jc w:val="center"/>
              <w:rPr>
                <w:rFonts w:ascii="宋体" w:hAnsi="宋体" w:eastAsia="宋体" w:cs="宋体"/>
                <w:color w:val="auto"/>
                <w:kern w:val="0"/>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0</w:t>
            </w:r>
            <w:r>
              <w:rPr>
                <w:rFonts w:hint="eastAsia" w:ascii="宋体" w:hAnsi="宋体" w:eastAsia="宋体" w:cs="宋体"/>
                <w:color w:val="auto"/>
                <w:sz w:val="24"/>
                <w:szCs w:val="24"/>
                <w:highlight w:val="none"/>
              </w:rPr>
              <w:t>mg/L</w:t>
            </w:r>
          </w:p>
        </w:tc>
        <w:tc>
          <w:tcPr>
            <w:tcW w:w="1050"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1110"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3次/年</w:t>
            </w:r>
          </w:p>
        </w:tc>
        <w:tc>
          <w:tcPr>
            <w:tcW w:w="1635" w:type="dxa"/>
            <w:vAlign w:val="center"/>
          </w:tcPr>
          <w:p>
            <w:pPr>
              <w:widowControl/>
              <w:jc w:val="center"/>
              <w:textAlignment w:val="center"/>
              <w:rPr>
                <w:rFonts w:ascii="宋体" w:hAnsi="宋体" w:eastAsia="宋体" w:cs="Times New Roman"/>
                <w:color w:val="auto"/>
                <w:kern w:val="0"/>
                <w:sz w:val="24"/>
                <w:szCs w:val="24"/>
                <w:highlight w:val="none"/>
              </w:rPr>
            </w:pPr>
            <w:r>
              <w:rPr>
                <w:rFonts w:hint="eastAsia" w:ascii="Times New Roman" w:hAnsi="Times New Roman"/>
                <w:color w:val="auto"/>
                <w:sz w:val="24"/>
                <w:szCs w:val="24"/>
                <w:highlight w:val="none"/>
              </w:rPr>
              <w:t>COD消解器</w:t>
            </w:r>
          </w:p>
        </w:tc>
        <w:tc>
          <w:tcPr>
            <w:tcW w:w="2415" w:type="dxa"/>
            <w:vAlign w:val="center"/>
          </w:tcPr>
          <w:p>
            <w:pPr>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水质 化学需氧量的测定 重铬酸盐法</w:t>
            </w:r>
          </w:p>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Times New Roman"/>
                <w:color w:val="auto"/>
                <w:kern w:val="0"/>
                <w:sz w:val="24"/>
                <w:szCs w:val="24"/>
                <w:highlight w:val="none"/>
              </w:rPr>
              <w:t>HJ 828-2017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202"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地表水（</w:t>
            </w:r>
            <w:r>
              <w:rPr>
                <w:rFonts w:hint="eastAsia" w:ascii="宋体" w:hAnsi="宋体" w:eastAsia="宋体" w:cs="宋体"/>
                <w:color w:val="auto"/>
                <w:kern w:val="0"/>
                <w:sz w:val="24"/>
                <w:szCs w:val="24"/>
                <w:highlight w:val="none"/>
                <w:lang w:val="en-US" w:eastAsia="zh-CN"/>
              </w:rPr>
              <w:t>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琴江河</w:t>
            </w:r>
            <w:r>
              <w:rPr>
                <w:rFonts w:hint="eastAsia" w:ascii="宋体" w:hAnsi="宋体" w:eastAsia="宋体" w:cs="Times New Roman"/>
                <w:color w:val="auto"/>
                <w:kern w:val="0"/>
                <w:sz w:val="24"/>
                <w:szCs w:val="24"/>
                <w:highlight w:val="none"/>
                <w:lang w:eastAsia="zh-CN"/>
              </w:rPr>
              <w:t>）</w:t>
            </w:r>
            <w:r>
              <w:rPr>
                <w:rFonts w:ascii="宋体" w:hAnsi="宋体" w:eastAsia="宋体" w:cs="Times New Roman"/>
                <w:color w:val="auto"/>
                <w:kern w:val="0"/>
                <w:sz w:val="24"/>
                <w:szCs w:val="24"/>
                <w:highlight w:val="none"/>
              </w:rPr>
              <w:t>上游0.5km</w:t>
            </w:r>
            <w:r>
              <w:rPr>
                <w:rFonts w:hint="eastAsia" w:ascii="宋体" w:hAnsi="宋体" w:eastAsia="宋体" w:cs="Times New Roman"/>
                <w:color w:val="auto"/>
                <w:kern w:val="0"/>
                <w:sz w:val="24"/>
                <w:szCs w:val="24"/>
                <w:highlight w:val="none"/>
              </w:rPr>
              <w:t>和下游1.5km）</w:t>
            </w:r>
          </w:p>
        </w:tc>
        <w:tc>
          <w:tcPr>
            <w:tcW w:w="963" w:type="dxa"/>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五日生化需氧量</w:t>
            </w:r>
          </w:p>
        </w:tc>
        <w:tc>
          <w:tcPr>
            <w:tcW w:w="1165" w:type="dxa"/>
            <w:vAlign w:val="center"/>
          </w:tcPr>
          <w:p>
            <w:pPr>
              <w:jc w:val="center"/>
              <w:rPr>
                <w:rFonts w:ascii="宋体" w:hAnsi="宋体" w:eastAsia="宋体" w:cs="宋体"/>
                <w:color w:val="auto"/>
                <w:kern w:val="0"/>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宋体" w:hAnsi="宋体" w:eastAsia="宋体" w:cs="宋体"/>
                <w:color w:val="auto"/>
                <w:sz w:val="24"/>
                <w:szCs w:val="24"/>
                <w:highlight w:val="none"/>
              </w:rPr>
              <w:t>mg/L</w:t>
            </w:r>
          </w:p>
        </w:tc>
        <w:tc>
          <w:tcPr>
            <w:tcW w:w="1050"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1110"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3次/年</w:t>
            </w:r>
          </w:p>
        </w:tc>
        <w:tc>
          <w:tcPr>
            <w:tcW w:w="1635" w:type="dxa"/>
            <w:vAlign w:val="center"/>
          </w:tcPr>
          <w:p>
            <w:pPr>
              <w:widowControl/>
              <w:jc w:val="center"/>
              <w:textAlignment w:val="center"/>
              <w:rPr>
                <w:rFonts w:ascii="宋体" w:hAnsi="宋体" w:eastAsia="宋体" w:cs="Times New Roman"/>
                <w:color w:val="auto"/>
                <w:kern w:val="0"/>
                <w:sz w:val="24"/>
                <w:szCs w:val="24"/>
                <w:highlight w:val="none"/>
              </w:rPr>
            </w:pPr>
            <w:r>
              <w:rPr>
                <w:rFonts w:hint="eastAsia" w:ascii="Times New Roman" w:hAnsi="Times New Roman"/>
                <w:color w:val="auto"/>
                <w:sz w:val="24"/>
                <w:szCs w:val="24"/>
                <w:highlight w:val="none"/>
              </w:rPr>
              <w:t>智能生化培养箱</w:t>
            </w:r>
          </w:p>
        </w:tc>
        <w:tc>
          <w:tcPr>
            <w:tcW w:w="2415" w:type="dxa"/>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Times New Roman"/>
                <w:color w:val="auto"/>
                <w:kern w:val="0"/>
                <w:sz w:val="24"/>
                <w:szCs w:val="24"/>
                <w:highlight w:val="none"/>
              </w:rPr>
              <w:t>水质 五日生化需氧量的测定 稀释与接种法 HJ 505-2009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202"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地表水（</w:t>
            </w:r>
            <w:r>
              <w:rPr>
                <w:rFonts w:hint="eastAsia" w:ascii="宋体" w:hAnsi="宋体" w:eastAsia="宋体" w:cs="宋体"/>
                <w:color w:val="auto"/>
                <w:kern w:val="0"/>
                <w:sz w:val="24"/>
                <w:szCs w:val="24"/>
                <w:highlight w:val="none"/>
                <w:lang w:val="en-US" w:eastAsia="zh-CN"/>
              </w:rPr>
              <w:t>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琴江河</w:t>
            </w:r>
            <w:r>
              <w:rPr>
                <w:rFonts w:hint="eastAsia" w:ascii="宋体" w:hAnsi="宋体" w:eastAsia="宋体" w:cs="Times New Roman"/>
                <w:color w:val="auto"/>
                <w:kern w:val="0"/>
                <w:sz w:val="24"/>
                <w:szCs w:val="24"/>
                <w:highlight w:val="none"/>
                <w:lang w:eastAsia="zh-CN"/>
              </w:rPr>
              <w:t>）</w:t>
            </w:r>
            <w:r>
              <w:rPr>
                <w:rFonts w:ascii="宋体" w:hAnsi="宋体" w:eastAsia="宋体" w:cs="Times New Roman"/>
                <w:color w:val="auto"/>
                <w:kern w:val="0"/>
                <w:sz w:val="24"/>
                <w:szCs w:val="24"/>
                <w:highlight w:val="none"/>
              </w:rPr>
              <w:t>上游0.5km</w:t>
            </w:r>
            <w:r>
              <w:rPr>
                <w:rFonts w:hint="eastAsia" w:ascii="宋体" w:hAnsi="宋体" w:eastAsia="宋体" w:cs="Times New Roman"/>
                <w:color w:val="auto"/>
                <w:kern w:val="0"/>
                <w:sz w:val="24"/>
                <w:szCs w:val="24"/>
                <w:highlight w:val="none"/>
              </w:rPr>
              <w:t>和下游1.5km）</w:t>
            </w:r>
          </w:p>
        </w:tc>
        <w:tc>
          <w:tcPr>
            <w:tcW w:w="963" w:type="dxa"/>
            <w:vAlign w:val="center"/>
          </w:tcPr>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氨氮</w:t>
            </w:r>
          </w:p>
        </w:tc>
        <w:tc>
          <w:tcPr>
            <w:tcW w:w="1165" w:type="dxa"/>
            <w:vAlign w:val="center"/>
          </w:tcPr>
          <w:p>
            <w:pPr>
              <w:jc w:val="center"/>
              <w:rPr>
                <w:rFonts w:ascii="宋体" w:hAnsi="宋体" w:eastAsia="宋体" w:cs="宋体"/>
                <w:color w:val="auto"/>
                <w:kern w:val="0"/>
                <w:sz w:val="24"/>
                <w:szCs w:val="24"/>
                <w:highlight w:val="none"/>
              </w:rPr>
            </w:pPr>
            <w:r>
              <w:rPr>
                <w:rFonts w:hint="eastAsia" w:ascii="仿宋" w:hAnsi="仿宋" w:eastAsia="仿宋" w:cs="仿宋"/>
                <w:color w:val="auto"/>
                <w:sz w:val="24"/>
                <w:szCs w:val="24"/>
                <w:highlight w:val="none"/>
              </w:rPr>
              <w:t>≤1</w:t>
            </w:r>
            <w:r>
              <w:rPr>
                <w:rFonts w:hint="eastAsia" w:ascii="宋体" w:hAnsi="宋体" w:eastAsia="宋体" w:cs="宋体"/>
                <w:color w:val="auto"/>
                <w:sz w:val="24"/>
                <w:szCs w:val="24"/>
                <w:highlight w:val="none"/>
              </w:rPr>
              <w:t>mg/L</w:t>
            </w:r>
          </w:p>
        </w:tc>
        <w:tc>
          <w:tcPr>
            <w:tcW w:w="1050"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1110"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3次/年</w:t>
            </w:r>
          </w:p>
        </w:tc>
        <w:tc>
          <w:tcPr>
            <w:tcW w:w="1635" w:type="dxa"/>
            <w:vAlign w:val="center"/>
          </w:tcPr>
          <w:p>
            <w:pPr>
              <w:widowControl/>
              <w:jc w:val="center"/>
              <w:textAlignment w:val="center"/>
              <w:rPr>
                <w:rFonts w:ascii="宋体" w:hAnsi="宋体" w:eastAsia="宋体" w:cs="Times New Roman"/>
                <w:color w:val="auto"/>
                <w:kern w:val="0"/>
                <w:sz w:val="24"/>
                <w:szCs w:val="24"/>
                <w:highlight w:val="none"/>
              </w:rPr>
            </w:pPr>
            <w:r>
              <w:rPr>
                <w:rFonts w:hint="eastAsia" w:ascii="Times New Roman" w:hAnsi="Times New Roman"/>
                <w:color w:val="auto"/>
                <w:sz w:val="24"/>
                <w:szCs w:val="24"/>
                <w:highlight w:val="none"/>
              </w:rPr>
              <w:t>紫外分光光度计</w:t>
            </w:r>
          </w:p>
        </w:tc>
        <w:tc>
          <w:tcPr>
            <w:tcW w:w="2415" w:type="dxa"/>
            <w:vAlign w:val="center"/>
          </w:tcPr>
          <w:p>
            <w:pPr>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水质 氨氮的测定 纳氏试剂分光光度法</w:t>
            </w:r>
          </w:p>
          <w:p>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Times New Roman"/>
                <w:color w:val="auto"/>
                <w:kern w:val="0"/>
                <w:sz w:val="24"/>
                <w:szCs w:val="24"/>
                <w:highlight w:val="none"/>
              </w:rPr>
              <w:t>HJ 535-2009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202" w:type="dxa"/>
            <w:vAlign w:val="center"/>
          </w:tcPr>
          <w:p>
            <w:pPr>
              <w:jc w:val="center"/>
              <w:rPr>
                <w:rFonts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rPr>
              <w:t>地表水（</w:t>
            </w:r>
            <w:r>
              <w:rPr>
                <w:rFonts w:hint="eastAsia" w:ascii="宋体" w:hAnsi="宋体" w:eastAsia="宋体" w:cs="宋体"/>
                <w:color w:val="auto"/>
                <w:kern w:val="0"/>
                <w:sz w:val="24"/>
                <w:szCs w:val="24"/>
                <w:highlight w:val="none"/>
                <w:lang w:val="en-US" w:eastAsia="zh-CN"/>
              </w:rPr>
              <w:t>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琴江河</w:t>
            </w:r>
            <w:r>
              <w:rPr>
                <w:rFonts w:hint="eastAsia" w:ascii="宋体" w:hAnsi="宋体" w:eastAsia="宋体" w:cs="Times New Roman"/>
                <w:color w:val="auto"/>
                <w:kern w:val="0"/>
                <w:sz w:val="24"/>
                <w:szCs w:val="24"/>
                <w:highlight w:val="none"/>
                <w:lang w:eastAsia="zh-CN"/>
              </w:rPr>
              <w:t>）</w:t>
            </w:r>
            <w:r>
              <w:rPr>
                <w:rFonts w:ascii="宋体" w:hAnsi="宋体" w:eastAsia="宋体" w:cs="Times New Roman"/>
                <w:color w:val="auto"/>
                <w:kern w:val="0"/>
                <w:sz w:val="24"/>
                <w:szCs w:val="24"/>
                <w:highlight w:val="none"/>
              </w:rPr>
              <w:t>上游0.5km</w:t>
            </w:r>
            <w:r>
              <w:rPr>
                <w:rFonts w:hint="eastAsia" w:ascii="宋体" w:hAnsi="宋体" w:eastAsia="宋体" w:cs="Times New Roman"/>
                <w:color w:val="auto"/>
                <w:kern w:val="0"/>
                <w:sz w:val="24"/>
                <w:szCs w:val="24"/>
                <w:highlight w:val="none"/>
              </w:rPr>
              <w:t>和下游1.5km）</w:t>
            </w:r>
          </w:p>
        </w:tc>
        <w:tc>
          <w:tcPr>
            <w:tcW w:w="963" w:type="dxa"/>
            <w:vAlign w:val="center"/>
          </w:tcPr>
          <w:p>
            <w:pPr>
              <w:widowControl/>
              <w:jc w:val="center"/>
              <w:textAlignment w:val="center"/>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总磷</w:t>
            </w:r>
          </w:p>
        </w:tc>
        <w:tc>
          <w:tcPr>
            <w:tcW w:w="1165" w:type="dxa"/>
            <w:vAlign w:val="center"/>
          </w:tcPr>
          <w:p>
            <w:pPr>
              <w:jc w:val="center"/>
              <w:rPr>
                <w:rFonts w:ascii="宋体" w:hAnsi="宋体" w:eastAsia="宋体" w:cs="宋体"/>
                <w:color w:val="auto"/>
                <w:kern w:val="0"/>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2</w:t>
            </w:r>
            <w:r>
              <w:rPr>
                <w:rFonts w:hint="eastAsia" w:ascii="宋体" w:hAnsi="宋体" w:eastAsia="宋体" w:cs="宋体"/>
                <w:color w:val="auto"/>
                <w:sz w:val="24"/>
                <w:szCs w:val="24"/>
                <w:highlight w:val="none"/>
              </w:rPr>
              <w:t>mg/L</w:t>
            </w:r>
          </w:p>
        </w:tc>
        <w:tc>
          <w:tcPr>
            <w:tcW w:w="1050"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1110"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3次/年</w:t>
            </w:r>
          </w:p>
        </w:tc>
        <w:tc>
          <w:tcPr>
            <w:tcW w:w="1635" w:type="dxa"/>
            <w:vAlign w:val="center"/>
          </w:tcPr>
          <w:p>
            <w:pPr>
              <w:jc w:val="center"/>
              <w:rPr>
                <w:rFonts w:ascii="宋体" w:hAnsi="宋体" w:eastAsia="宋体" w:cs="Times New Roman"/>
                <w:color w:val="auto"/>
                <w:kern w:val="0"/>
                <w:sz w:val="24"/>
                <w:szCs w:val="24"/>
                <w:highlight w:val="none"/>
              </w:rPr>
            </w:pPr>
            <w:r>
              <w:rPr>
                <w:rFonts w:hint="eastAsia" w:ascii="Times New Roman" w:hAnsi="Times New Roman"/>
                <w:color w:val="auto"/>
                <w:sz w:val="24"/>
                <w:szCs w:val="24"/>
                <w:highlight w:val="none"/>
              </w:rPr>
              <w:t>紫外分光光度计</w:t>
            </w:r>
          </w:p>
        </w:tc>
        <w:tc>
          <w:tcPr>
            <w:tcW w:w="2415" w:type="dxa"/>
            <w:vAlign w:val="center"/>
          </w:tcPr>
          <w:p>
            <w:pPr>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水质 总磷的测定 钼酸铵分光光度法</w:t>
            </w:r>
          </w:p>
          <w:p>
            <w:pPr>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GB</w:t>
            </w:r>
            <w:r>
              <w:rPr>
                <w:rFonts w:hint="eastAsia" w:ascii="宋体" w:hAnsi="宋体" w:eastAsia="宋体" w:cs="Times New Roman"/>
                <w:color w:val="auto"/>
                <w:kern w:val="0"/>
                <w:sz w:val="24"/>
                <w:szCs w:val="24"/>
                <w:highlight w:val="none"/>
                <w:lang w:val="en-US" w:eastAsia="zh-CN"/>
              </w:rPr>
              <w:t>/T</w:t>
            </w:r>
            <w:r>
              <w:rPr>
                <w:rFonts w:hint="eastAsia" w:ascii="宋体" w:hAnsi="宋体" w:eastAsia="宋体" w:cs="Times New Roman"/>
                <w:color w:val="auto"/>
                <w:kern w:val="0"/>
                <w:sz w:val="24"/>
                <w:szCs w:val="24"/>
                <w:highlight w:val="none"/>
              </w:rPr>
              <w:t xml:space="preserve"> 11893-</w:t>
            </w:r>
            <w:r>
              <w:rPr>
                <w:rFonts w:hint="eastAsia" w:ascii="宋体" w:hAnsi="宋体" w:eastAsia="宋体" w:cs="Times New Roman"/>
                <w:color w:val="auto"/>
                <w:kern w:val="0"/>
                <w:sz w:val="24"/>
                <w:szCs w:val="24"/>
                <w:highlight w:val="none"/>
                <w:lang w:val="en-US" w:eastAsia="zh-CN"/>
              </w:rPr>
              <w:t>19</w:t>
            </w:r>
            <w:r>
              <w:rPr>
                <w:rFonts w:hint="eastAsia" w:ascii="宋体" w:hAnsi="宋体" w:eastAsia="宋体" w:cs="Times New Roman"/>
                <w:color w:val="auto"/>
                <w:kern w:val="0"/>
                <w:sz w:val="24"/>
                <w:szCs w:val="24"/>
                <w:highlight w:val="none"/>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202" w:type="dxa"/>
            <w:vAlign w:val="center"/>
          </w:tcPr>
          <w:p>
            <w:pPr>
              <w:rPr>
                <w:rFonts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rPr>
              <w:t>地表水（</w:t>
            </w:r>
            <w:r>
              <w:rPr>
                <w:rFonts w:hint="eastAsia" w:ascii="宋体" w:hAnsi="宋体" w:eastAsia="宋体" w:cs="宋体"/>
                <w:color w:val="auto"/>
                <w:kern w:val="0"/>
                <w:sz w:val="24"/>
                <w:szCs w:val="24"/>
                <w:highlight w:val="none"/>
                <w:lang w:val="en-US" w:eastAsia="zh-CN"/>
              </w:rPr>
              <w:t>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琴江河</w:t>
            </w:r>
            <w:r>
              <w:rPr>
                <w:rFonts w:hint="eastAsia" w:ascii="宋体" w:hAnsi="宋体" w:eastAsia="宋体" w:cs="Times New Roman"/>
                <w:color w:val="auto"/>
                <w:kern w:val="0"/>
                <w:sz w:val="24"/>
                <w:szCs w:val="24"/>
                <w:highlight w:val="none"/>
                <w:lang w:eastAsia="zh-CN"/>
              </w:rPr>
              <w:t>）</w:t>
            </w:r>
            <w:r>
              <w:rPr>
                <w:rFonts w:ascii="宋体" w:hAnsi="宋体" w:eastAsia="宋体" w:cs="Times New Roman"/>
                <w:color w:val="auto"/>
                <w:kern w:val="0"/>
                <w:sz w:val="24"/>
                <w:szCs w:val="24"/>
                <w:highlight w:val="none"/>
              </w:rPr>
              <w:t>上游0.5km</w:t>
            </w:r>
            <w:r>
              <w:rPr>
                <w:rFonts w:hint="eastAsia" w:ascii="宋体" w:hAnsi="宋体" w:eastAsia="宋体" w:cs="Times New Roman"/>
                <w:color w:val="auto"/>
                <w:kern w:val="0"/>
                <w:sz w:val="24"/>
                <w:szCs w:val="24"/>
                <w:highlight w:val="none"/>
              </w:rPr>
              <w:t>和下游1.5km）</w:t>
            </w:r>
          </w:p>
        </w:tc>
        <w:tc>
          <w:tcPr>
            <w:tcW w:w="963" w:type="dxa"/>
            <w:vAlign w:val="center"/>
          </w:tcPr>
          <w:p>
            <w:pPr>
              <w:widowControl/>
              <w:jc w:val="center"/>
              <w:textAlignment w:val="center"/>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总氮</w:t>
            </w:r>
          </w:p>
        </w:tc>
        <w:tc>
          <w:tcPr>
            <w:tcW w:w="1165" w:type="dxa"/>
            <w:vAlign w:val="center"/>
          </w:tcPr>
          <w:p>
            <w:pPr>
              <w:jc w:val="center"/>
              <w:rPr>
                <w:rFonts w:ascii="宋体" w:hAnsi="宋体" w:eastAsia="宋体" w:cs="宋体"/>
                <w:color w:val="auto"/>
                <w:kern w:val="0"/>
                <w:sz w:val="24"/>
                <w:szCs w:val="24"/>
                <w:highlight w:val="none"/>
              </w:rPr>
            </w:pPr>
            <w:r>
              <w:rPr>
                <w:rFonts w:hint="eastAsia" w:ascii="仿宋" w:hAnsi="仿宋" w:eastAsia="仿宋" w:cs="仿宋"/>
                <w:color w:val="auto"/>
                <w:sz w:val="24"/>
                <w:szCs w:val="24"/>
                <w:highlight w:val="none"/>
              </w:rPr>
              <w:t>≤1</w:t>
            </w:r>
            <w:r>
              <w:rPr>
                <w:rFonts w:hint="eastAsia" w:ascii="宋体" w:hAnsi="宋体" w:eastAsia="宋体" w:cs="宋体"/>
                <w:color w:val="auto"/>
                <w:sz w:val="24"/>
                <w:szCs w:val="24"/>
                <w:highlight w:val="none"/>
              </w:rPr>
              <w:t>mg/L</w:t>
            </w:r>
          </w:p>
        </w:tc>
        <w:tc>
          <w:tcPr>
            <w:tcW w:w="1050"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1110"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3次/年</w:t>
            </w:r>
          </w:p>
        </w:tc>
        <w:tc>
          <w:tcPr>
            <w:tcW w:w="1635" w:type="dxa"/>
            <w:vAlign w:val="center"/>
          </w:tcPr>
          <w:p>
            <w:pPr>
              <w:jc w:val="center"/>
              <w:rPr>
                <w:rFonts w:ascii="宋体" w:hAnsi="宋体" w:eastAsia="宋体" w:cs="Times New Roman"/>
                <w:color w:val="auto"/>
                <w:kern w:val="0"/>
                <w:sz w:val="24"/>
                <w:szCs w:val="24"/>
                <w:highlight w:val="none"/>
              </w:rPr>
            </w:pPr>
            <w:r>
              <w:rPr>
                <w:rFonts w:hint="eastAsia" w:ascii="Times New Roman" w:hAnsi="Times New Roman"/>
                <w:color w:val="auto"/>
                <w:sz w:val="24"/>
                <w:szCs w:val="24"/>
                <w:highlight w:val="none"/>
              </w:rPr>
              <w:t>紫外分光光度计</w:t>
            </w:r>
          </w:p>
        </w:tc>
        <w:tc>
          <w:tcPr>
            <w:tcW w:w="2415" w:type="dxa"/>
            <w:vAlign w:val="center"/>
          </w:tcPr>
          <w:p>
            <w:pPr>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水质 总氮的测定 碱性过硫酸钾消解紫外分光光度法 H</w:t>
            </w:r>
            <w:r>
              <w:rPr>
                <w:rFonts w:ascii="宋体" w:hAnsi="宋体" w:eastAsia="宋体" w:cs="Times New Roman"/>
                <w:color w:val="auto"/>
                <w:kern w:val="0"/>
                <w:sz w:val="24"/>
                <w:szCs w:val="24"/>
                <w:highlight w:val="none"/>
              </w:rPr>
              <w:t xml:space="preserve">J </w:t>
            </w:r>
            <w:r>
              <w:rPr>
                <w:rFonts w:hint="eastAsia" w:ascii="宋体" w:hAnsi="宋体" w:eastAsia="宋体" w:cs="Times New Roman"/>
                <w:color w:val="auto"/>
                <w:kern w:val="0"/>
                <w:sz w:val="24"/>
                <w:szCs w:val="24"/>
                <w:highlight w:val="none"/>
              </w:rPr>
              <w:t>636</w:t>
            </w:r>
            <w:r>
              <w:rPr>
                <w:rFonts w:ascii="宋体" w:hAnsi="宋体" w:eastAsia="宋体" w:cs="Times New Roman"/>
                <w:color w:val="auto"/>
                <w:kern w:val="0"/>
                <w:sz w:val="24"/>
                <w:szCs w:val="24"/>
                <w:highlight w:val="none"/>
              </w:rPr>
              <w:t>-201</w:t>
            </w:r>
            <w:r>
              <w:rPr>
                <w:rFonts w:hint="eastAsia" w:ascii="宋体" w:hAnsi="宋体" w:eastAsia="宋体" w:cs="Times New Roman"/>
                <w:color w:val="auto"/>
                <w:kern w:val="0"/>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202"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地表水（</w:t>
            </w:r>
            <w:r>
              <w:rPr>
                <w:rFonts w:hint="eastAsia" w:ascii="宋体" w:hAnsi="宋体" w:eastAsia="宋体" w:cs="宋体"/>
                <w:color w:val="auto"/>
                <w:kern w:val="0"/>
                <w:sz w:val="24"/>
                <w:szCs w:val="24"/>
                <w:highlight w:val="none"/>
                <w:lang w:val="en-US" w:eastAsia="zh-CN"/>
              </w:rPr>
              <w:t>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琴江河</w:t>
            </w:r>
            <w:r>
              <w:rPr>
                <w:rFonts w:hint="eastAsia" w:ascii="宋体" w:hAnsi="宋体" w:eastAsia="宋体" w:cs="Times New Roman"/>
                <w:color w:val="auto"/>
                <w:kern w:val="0"/>
                <w:sz w:val="24"/>
                <w:szCs w:val="24"/>
                <w:highlight w:val="none"/>
                <w:lang w:eastAsia="zh-CN"/>
              </w:rPr>
              <w:t>）</w:t>
            </w:r>
            <w:r>
              <w:rPr>
                <w:rFonts w:ascii="宋体" w:hAnsi="宋体" w:eastAsia="宋体" w:cs="Times New Roman"/>
                <w:color w:val="auto"/>
                <w:kern w:val="0"/>
                <w:sz w:val="24"/>
                <w:szCs w:val="24"/>
                <w:highlight w:val="none"/>
              </w:rPr>
              <w:t>上游0.5km</w:t>
            </w:r>
            <w:r>
              <w:rPr>
                <w:rFonts w:hint="eastAsia" w:ascii="宋体" w:hAnsi="宋体" w:eastAsia="宋体" w:cs="Times New Roman"/>
                <w:color w:val="auto"/>
                <w:kern w:val="0"/>
                <w:sz w:val="24"/>
                <w:szCs w:val="24"/>
                <w:highlight w:val="none"/>
              </w:rPr>
              <w:t>和下游1.5km）</w:t>
            </w:r>
          </w:p>
        </w:tc>
        <w:tc>
          <w:tcPr>
            <w:tcW w:w="963" w:type="dxa"/>
            <w:vAlign w:val="center"/>
          </w:tcPr>
          <w:p>
            <w:pPr>
              <w:widowControl/>
              <w:jc w:val="center"/>
              <w:textAlignment w:val="center"/>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石油类</w:t>
            </w:r>
          </w:p>
        </w:tc>
        <w:tc>
          <w:tcPr>
            <w:tcW w:w="1165" w:type="dxa"/>
            <w:vAlign w:val="center"/>
          </w:tcPr>
          <w:p>
            <w:pPr>
              <w:jc w:val="both"/>
              <w:rPr>
                <w:rFonts w:ascii="宋体" w:hAnsi="宋体" w:eastAsia="宋体" w:cs="宋体"/>
                <w:color w:val="auto"/>
                <w:kern w:val="0"/>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5</w:t>
            </w:r>
            <w:r>
              <w:rPr>
                <w:rFonts w:hint="eastAsia" w:ascii="宋体" w:hAnsi="宋体" w:eastAsia="宋体" w:cs="宋体"/>
                <w:color w:val="auto"/>
                <w:sz w:val="24"/>
                <w:szCs w:val="24"/>
                <w:highlight w:val="none"/>
              </w:rPr>
              <w:t>mg/L</w:t>
            </w:r>
          </w:p>
        </w:tc>
        <w:tc>
          <w:tcPr>
            <w:tcW w:w="1050"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1110"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3次/年</w:t>
            </w:r>
          </w:p>
        </w:tc>
        <w:tc>
          <w:tcPr>
            <w:tcW w:w="1635" w:type="dxa"/>
            <w:vAlign w:val="center"/>
          </w:tcPr>
          <w:p>
            <w:pPr>
              <w:jc w:val="center"/>
              <w:rPr>
                <w:rFonts w:ascii="宋体" w:hAnsi="宋体" w:eastAsia="宋体" w:cs="Times New Roman"/>
                <w:color w:val="auto"/>
                <w:kern w:val="0"/>
                <w:sz w:val="24"/>
                <w:szCs w:val="24"/>
                <w:highlight w:val="none"/>
              </w:rPr>
            </w:pPr>
            <w:r>
              <w:rPr>
                <w:rFonts w:hint="eastAsia" w:ascii="Times New Roman" w:hAnsi="Times New Roman"/>
                <w:color w:val="auto"/>
                <w:sz w:val="24"/>
                <w:szCs w:val="24"/>
                <w:highlight w:val="none"/>
              </w:rPr>
              <w:t>紫外分光光度计</w:t>
            </w:r>
          </w:p>
        </w:tc>
        <w:tc>
          <w:tcPr>
            <w:tcW w:w="2415" w:type="dxa"/>
            <w:vAlign w:val="center"/>
          </w:tcPr>
          <w:p>
            <w:pPr>
              <w:jc w:val="center"/>
              <w:rPr>
                <w:rFonts w:hint="eastAsia" w:ascii="宋体" w:hAnsi="宋体" w:eastAsia="宋体" w:cs="Times New Roman"/>
                <w:color w:val="auto"/>
                <w:kern w:val="0"/>
                <w:sz w:val="24"/>
                <w:szCs w:val="24"/>
                <w:highlight w:val="none"/>
                <w:lang w:eastAsia="zh-CN"/>
              </w:rPr>
            </w:pPr>
            <w:r>
              <w:rPr>
                <w:rFonts w:hint="eastAsia" w:ascii="宋体" w:hAnsi="宋体" w:eastAsia="宋体" w:cs="Times New Roman"/>
                <w:color w:val="auto"/>
                <w:kern w:val="0"/>
                <w:sz w:val="24"/>
                <w:szCs w:val="24"/>
                <w:highlight w:val="none"/>
              </w:rPr>
              <w:t xml:space="preserve">水质 石油类的测定 紫外分光光度法 HJ </w:t>
            </w:r>
            <w:r>
              <w:rPr>
                <w:rFonts w:ascii="宋体" w:hAnsi="宋体" w:eastAsia="宋体" w:cs="Times New Roman"/>
                <w:color w:val="auto"/>
                <w:kern w:val="0"/>
                <w:sz w:val="24"/>
                <w:szCs w:val="24"/>
                <w:highlight w:val="none"/>
              </w:rPr>
              <w:t>970</w:t>
            </w:r>
            <w:r>
              <w:rPr>
                <w:rFonts w:hint="eastAsia" w:ascii="宋体" w:hAnsi="宋体" w:eastAsia="宋体" w:cs="Times New Roman"/>
                <w:color w:val="auto"/>
                <w:kern w:val="0"/>
                <w:sz w:val="24"/>
                <w:szCs w:val="24"/>
                <w:highlight w:val="none"/>
              </w:rPr>
              <w:t>-2018（地表水和地下水为该方法</w:t>
            </w:r>
            <w:r>
              <w:rPr>
                <w:rFonts w:hint="eastAsia" w:ascii="宋体" w:hAnsi="宋体" w:eastAsia="宋体" w:cs="Times New Roman"/>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2202"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地表水（</w:t>
            </w:r>
            <w:r>
              <w:rPr>
                <w:rFonts w:hint="eastAsia" w:ascii="宋体" w:hAnsi="宋体" w:eastAsia="宋体" w:cs="宋体"/>
                <w:color w:val="auto"/>
                <w:kern w:val="0"/>
                <w:sz w:val="24"/>
                <w:szCs w:val="24"/>
                <w:highlight w:val="none"/>
                <w:lang w:val="en-US" w:eastAsia="zh-CN"/>
              </w:rPr>
              <w:t>入河排</w:t>
            </w:r>
            <w:r>
              <w:rPr>
                <w:rFonts w:ascii="宋体" w:hAnsi="宋体" w:eastAsia="宋体" w:cs="Times New Roman"/>
                <w:color w:val="auto"/>
                <w:kern w:val="0"/>
                <w:sz w:val="24"/>
                <w:szCs w:val="24"/>
                <w:highlight w:val="none"/>
              </w:rPr>
              <w:t>污口</w:t>
            </w: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lang w:val="en-US" w:eastAsia="zh-CN"/>
              </w:rPr>
              <w:t>琴江河</w:t>
            </w:r>
            <w:r>
              <w:rPr>
                <w:rFonts w:hint="eastAsia" w:ascii="宋体" w:hAnsi="宋体" w:eastAsia="宋体" w:cs="Times New Roman"/>
                <w:color w:val="auto"/>
                <w:kern w:val="0"/>
                <w:sz w:val="24"/>
                <w:szCs w:val="24"/>
                <w:highlight w:val="none"/>
                <w:lang w:eastAsia="zh-CN"/>
              </w:rPr>
              <w:t>）</w:t>
            </w:r>
            <w:r>
              <w:rPr>
                <w:rFonts w:ascii="宋体" w:hAnsi="宋体" w:eastAsia="宋体" w:cs="Times New Roman"/>
                <w:color w:val="auto"/>
                <w:kern w:val="0"/>
                <w:sz w:val="24"/>
                <w:szCs w:val="24"/>
                <w:highlight w:val="none"/>
              </w:rPr>
              <w:t>上游0.5km</w:t>
            </w:r>
            <w:r>
              <w:rPr>
                <w:rFonts w:hint="eastAsia" w:ascii="宋体" w:hAnsi="宋体" w:eastAsia="宋体" w:cs="Times New Roman"/>
                <w:color w:val="auto"/>
                <w:kern w:val="0"/>
                <w:sz w:val="24"/>
                <w:szCs w:val="24"/>
                <w:highlight w:val="none"/>
              </w:rPr>
              <w:t>和下游1.5km）</w:t>
            </w:r>
          </w:p>
        </w:tc>
        <w:tc>
          <w:tcPr>
            <w:tcW w:w="963" w:type="dxa"/>
            <w:vAlign w:val="center"/>
          </w:tcPr>
          <w:p>
            <w:pPr>
              <w:widowControl/>
              <w:jc w:val="center"/>
              <w:textAlignment w:val="center"/>
              <w:rPr>
                <w:rFonts w:ascii="宋体" w:hAnsi="宋体" w:eastAsia="宋体" w:cs="Times New Roman"/>
                <w:color w:val="auto"/>
                <w:spacing w:val="4"/>
                <w:kern w:val="0"/>
                <w:sz w:val="24"/>
                <w:szCs w:val="24"/>
                <w:highlight w:val="none"/>
              </w:rPr>
            </w:pPr>
            <w:r>
              <w:rPr>
                <w:rFonts w:hint="eastAsia" w:ascii="宋体" w:hAnsi="宋体" w:eastAsia="宋体" w:cs="Times New Roman"/>
                <w:color w:val="auto"/>
                <w:spacing w:val="4"/>
                <w:kern w:val="0"/>
                <w:sz w:val="24"/>
                <w:szCs w:val="24"/>
                <w:highlight w:val="none"/>
              </w:rPr>
              <w:t>余氯</w:t>
            </w:r>
          </w:p>
        </w:tc>
        <w:tc>
          <w:tcPr>
            <w:tcW w:w="1165" w:type="dxa"/>
            <w:vAlign w:val="center"/>
          </w:tcPr>
          <w:p>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c>
          <w:tcPr>
            <w:tcW w:w="1050"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1110" w:type="dxa"/>
            <w:vAlign w:val="center"/>
          </w:tcPr>
          <w:p>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3次/年</w:t>
            </w:r>
          </w:p>
        </w:tc>
        <w:tc>
          <w:tcPr>
            <w:tcW w:w="1635" w:type="dxa"/>
            <w:vAlign w:val="center"/>
          </w:tcPr>
          <w:p>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19"/>
                <w:szCs w:val="19"/>
                <w:lang w:val="en-US" w:eastAsia="zh-CN" w:bidi="ar"/>
                <w14:textFill>
                  <w14:solidFill>
                    <w14:schemeClr w14:val="tx1"/>
                  </w14:solidFill>
                </w14:textFill>
              </w:rPr>
              <w:t xml:space="preserve">分光光度计 </w:t>
            </w:r>
          </w:p>
          <w:p>
            <w:pPr>
              <w:jc w:val="center"/>
              <w:rPr>
                <w:rFonts w:hint="eastAsia" w:ascii="Times New Roman" w:hAnsi="Times New Roman" w:eastAsiaTheme="minorEastAsia"/>
                <w:color w:val="000000" w:themeColor="text1"/>
                <w:sz w:val="24"/>
                <w:szCs w:val="24"/>
                <w:highlight w:val="none"/>
                <w:lang w:eastAsia="zh-CN"/>
                <w14:textFill>
                  <w14:solidFill>
                    <w14:schemeClr w14:val="tx1"/>
                  </w14:solidFill>
                </w14:textFill>
              </w:rPr>
            </w:pPr>
          </w:p>
        </w:tc>
        <w:tc>
          <w:tcPr>
            <w:tcW w:w="2415" w:type="dxa"/>
            <w:vAlign w:val="center"/>
          </w:tcPr>
          <w:p>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19"/>
                <w:szCs w:val="19"/>
                <w:lang w:val="en-US" w:eastAsia="zh-CN" w:bidi="ar"/>
                <w14:textFill>
                  <w14:solidFill>
                    <w14:schemeClr w14:val="tx1"/>
                  </w14:solidFill>
                </w14:textFill>
              </w:rPr>
              <w:t xml:space="preserve">水质 游离氯和总氯的测定 N,N-二乙基 </w:t>
            </w:r>
          </w:p>
          <w:p>
            <w:pPr>
              <w:keepNext w:val="0"/>
              <w:keepLines w:val="0"/>
              <w:widowControl/>
              <w:suppressLineNumbers w:val="0"/>
              <w:jc w:val="left"/>
              <w:rPr>
                <w:color w:val="000000" w:themeColor="text1"/>
                <w14:textFill>
                  <w14:solidFill>
                    <w14:schemeClr w14:val="tx1"/>
                  </w14:solidFill>
                </w14:textFill>
              </w:rPr>
            </w:pPr>
            <w:r>
              <w:rPr>
                <w:rFonts w:hint="eastAsia" w:ascii="宋体" w:hAnsi="宋体" w:eastAsia="宋体" w:cs="宋体"/>
                <w:color w:val="000000" w:themeColor="text1"/>
                <w:kern w:val="0"/>
                <w:sz w:val="19"/>
                <w:szCs w:val="19"/>
                <w:lang w:val="en-US" w:eastAsia="zh-CN" w:bidi="ar"/>
                <w14:textFill>
                  <w14:solidFill>
                    <w14:schemeClr w14:val="tx1"/>
                  </w14:solidFill>
                </w14:textFill>
              </w:rPr>
              <w:t>-1,4-苯二胺分光光度法 ( HJ 586-2010)</w:t>
            </w:r>
          </w:p>
          <w:p>
            <w:pPr>
              <w:jc w:val="center"/>
              <w:rPr>
                <w:rFonts w:hint="default" w:ascii="宋体" w:hAnsi="宋体" w:eastAsia="宋体" w:cs="Times New Roman"/>
                <w:color w:val="000000" w:themeColor="text1"/>
                <w:kern w:val="0"/>
                <w:sz w:val="24"/>
                <w:szCs w:val="24"/>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40" w:type="dxa"/>
            <w:gridSpan w:val="7"/>
            <w:vAlign w:val="center"/>
          </w:tcPr>
          <w:p>
            <w:pPr>
              <w:jc w:val="left"/>
            </w:pPr>
            <w:r>
              <w:rPr>
                <w:rFonts w:hint="eastAsia"/>
              </w:rPr>
              <w:t>备注：1.采用含氯化学品对污水进行消毒的，需要监测余氯；</w:t>
            </w:r>
          </w:p>
          <w:p>
            <w:pPr>
              <w:numPr>
                <w:ilvl w:val="0"/>
                <w:numId w:val="3"/>
              </w:numPr>
              <w:ind w:firstLine="630" w:firstLineChars="300"/>
              <w:jc w:val="left"/>
              <w:rPr>
                <w:rFonts w:hint="eastAsia"/>
              </w:rPr>
            </w:pPr>
            <w:r>
              <w:rPr>
                <w:rFonts w:hint="eastAsia"/>
              </w:rPr>
              <w:t>监测频次为丰水期、枯水期、平水期各一次。</w:t>
            </w:r>
          </w:p>
          <w:p>
            <w:pPr>
              <w:ind w:firstLine="630" w:firstLineChars="300"/>
              <w:jc w:val="left"/>
            </w:pPr>
            <w:r>
              <w:rPr>
                <w:rFonts w:hint="eastAsia"/>
                <w:lang w:val="en-US" w:eastAsia="zh-CN"/>
              </w:rPr>
              <w:t>3.排放标准参照</w:t>
            </w:r>
            <w:r>
              <w:rPr>
                <w:rFonts w:hint="eastAsia"/>
              </w:rPr>
              <w:t>（GB 3838-2002）受纳水体</w:t>
            </w:r>
            <w:r>
              <w:rPr>
                <w:rFonts w:hint="eastAsia"/>
                <w:lang w:val="en-US" w:eastAsia="zh-CN"/>
              </w:rPr>
              <w:t>三类水</w:t>
            </w:r>
            <w:r>
              <w:rPr>
                <w:rFonts w:hint="eastAsia"/>
              </w:rPr>
              <w:t>）</w:t>
            </w:r>
          </w:p>
        </w:tc>
      </w:tr>
    </w:tbl>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宋体" w:hAnsi="宋体" w:eastAsia="宋体" w:cs="宋体"/>
          <w:kern w:val="28"/>
          <w:sz w:val="28"/>
          <w:szCs w:val="28"/>
        </w:rPr>
      </w:pPr>
      <w:r>
        <w:rPr>
          <w:rFonts w:hint="eastAsia" w:ascii="宋体" w:hAnsi="宋体" w:eastAsia="宋体" w:cs="宋体"/>
          <w:kern w:val="28"/>
          <w:sz w:val="28"/>
          <w:szCs w:val="28"/>
          <w:lang w:val="en-US" w:eastAsia="zh-CN"/>
        </w:rPr>
        <w:t>5、</w:t>
      </w:r>
      <w:r>
        <w:rPr>
          <w:rFonts w:hint="eastAsia" w:ascii="宋体" w:hAnsi="宋体" w:eastAsia="宋体" w:cs="宋体"/>
          <w:kern w:val="28"/>
          <w:sz w:val="28"/>
          <w:szCs w:val="28"/>
        </w:rPr>
        <w:t>厂界噪声监测方案</w:t>
      </w:r>
    </w:p>
    <w:tbl>
      <w:tblPr>
        <w:tblStyle w:val="9"/>
        <w:tblW w:w="10650" w:type="dxa"/>
        <w:tblInd w:w="-1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0"/>
        <w:gridCol w:w="1470"/>
        <w:gridCol w:w="1440"/>
        <w:gridCol w:w="1425"/>
        <w:gridCol w:w="870"/>
        <w:gridCol w:w="1320"/>
        <w:gridCol w:w="2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trPr>
        <w:tc>
          <w:tcPr>
            <w:tcW w:w="1410" w:type="dxa"/>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监测点位</w:t>
            </w:r>
          </w:p>
        </w:tc>
        <w:tc>
          <w:tcPr>
            <w:tcW w:w="1470" w:type="dxa"/>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监测指标</w:t>
            </w:r>
          </w:p>
        </w:tc>
        <w:tc>
          <w:tcPr>
            <w:tcW w:w="1440" w:type="dxa"/>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排放标准</w:t>
            </w:r>
          </w:p>
        </w:tc>
        <w:tc>
          <w:tcPr>
            <w:tcW w:w="1425" w:type="dxa"/>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排放限值</w:t>
            </w:r>
          </w:p>
        </w:tc>
        <w:tc>
          <w:tcPr>
            <w:tcW w:w="870" w:type="dxa"/>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监测方式</w:t>
            </w:r>
          </w:p>
        </w:tc>
        <w:tc>
          <w:tcPr>
            <w:tcW w:w="1320" w:type="dxa"/>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监测频次</w:t>
            </w:r>
          </w:p>
        </w:tc>
        <w:tc>
          <w:tcPr>
            <w:tcW w:w="2715" w:type="dxa"/>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 w:type="dxa"/>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东(</w:t>
            </w:r>
            <w:r>
              <w:rPr>
                <w:rFonts w:ascii="宋体" w:hAnsi="宋体" w:eastAsia="宋体" w:cs="宋体"/>
                <w:color w:val="auto"/>
                <w:sz w:val="24"/>
                <w:szCs w:val="24"/>
                <w:highlight w:val="none"/>
              </w:rPr>
              <w:t>ZS-01)</w:t>
            </w:r>
          </w:p>
        </w:tc>
        <w:tc>
          <w:tcPr>
            <w:tcW w:w="1470" w:type="dxa"/>
          </w:tcPr>
          <w:p>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等效连续A声级</w:t>
            </w:r>
          </w:p>
        </w:tc>
        <w:tc>
          <w:tcPr>
            <w:tcW w:w="1440" w:type="dxa"/>
            <w:vAlign w:val="center"/>
          </w:tcPr>
          <w:p>
            <w:pPr>
              <w:snapToGrid w:val="0"/>
              <w:contextualSpacing/>
              <w:jc w:val="center"/>
              <w:rPr>
                <w:rFonts w:ascii="宋体" w:hAnsi="宋体" w:eastAsia="宋体" w:cs="宋体"/>
                <w:color w:val="auto"/>
                <w:sz w:val="24"/>
                <w:szCs w:val="24"/>
                <w:highlight w:val="none"/>
              </w:rPr>
            </w:pPr>
            <w:r>
              <w:rPr>
                <w:rFonts w:hint="eastAsia" w:ascii="宋体" w:hAnsi="宋体" w:eastAsia="宋体" w:cs="宋体"/>
                <w:color w:val="auto"/>
                <w:szCs w:val="21"/>
                <w:highlight w:val="none"/>
              </w:rPr>
              <w:t xml:space="preserve">工业企业厂界环境噪声排放标准 GB 12348-2008 </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类排放标准</w:t>
            </w:r>
          </w:p>
        </w:tc>
        <w:tc>
          <w:tcPr>
            <w:tcW w:w="1425" w:type="dxa"/>
            <w:vAlign w:val="center"/>
          </w:tcPr>
          <w:p>
            <w:pPr>
              <w:snapToGrid w:val="0"/>
              <w:contextualSpacing/>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昼间60dB夜间50dB</w:t>
            </w:r>
          </w:p>
        </w:tc>
        <w:tc>
          <w:tcPr>
            <w:tcW w:w="870" w:type="dxa"/>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手工</w:t>
            </w:r>
          </w:p>
        </w:tc>
        <w:tc>
          <w:tcPr>
            <w:tcW w:w="1320" w:type="dxa"/>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1次/1季度</w:t>
            </w:r>
          </w:p>
        </w:tc>
        <w:tc>
          <w:tcPr>
            <w:tcW w:w="2715" w:type="dxa"/>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 GB 12348-2008中</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 w:type="dxa"/>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南（</w:t>
            </w:r>
            <w:r>
              <w:rPr>
                <w:rFonts w:ascii="宋体" w:hAnsi="宋体" w:eastAsia="宋体" w:cs="宋体"/>
                <w:color w:val="auto"/>
                <w:sz w:val="24"/>
                <w:szCs w:val="24"/>
                <w:highlight w:val="none"/>
              </w:rPr>
              <w:t>ZS-02）</w:t>
            </w:r>
          </w:p>
        </w:tc>
        <w:tc>
          <w:tcPr>
            <w:tcW w:w="1470" w:type="dxa"/>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等效连续A声级</w:t>
            </w:r>
          </w:p>
        </w:tc>
        <w:tc>
          <w:tcPr>
            <w:tcW w:w="1440" w:type="dxa"/>
          </w:tcPr>
          <w:p>
            <w:pPr>
              <w:jc w:val="center"/>
              <w:rPr>
                <w:rFonts w:ascii="宋体" w:hAnsi="宋体" w:eastAsia="宋体" w:cs="宋体"/>
                <w:color w:val="auto"/>
                <w:sz w:val="24"/>
                <w:szCs w:val="24"/>
                <w:highlight w:val="none"/>
              </w:rPr>
            </w:pPr>
            <w:r>
              <w:rPr>
                <w:rFonts w:hint="eastAsia" w:ascii="宋体" w:hAnsi="宋体" w:eastAsia="宋体" w:cs="宋体"/>
                <w:color w:val="auto"/>
                <w:szCs w:val="21"/>
                <w:highlight w:val="none"/>
              </w:rPr>
              <w:t xml:space="preserve">工业企业厂界环境噪声排放标准 GB 12348-2008 </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类排放标准</w:t>
            </w:r>
          </w:p>
        </w:tc>
        <w:tc>
          <w:tcPr>
            <w:tcW w:w="1425" w:type="dxa"/>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昼间60dB夜间50dB</w:t>
            </w:r>
          </w:p>
        </w:tc>
        <w:tc>
          <w:tcPr>
            <w:tcW w:w="870" w:type="dxa"/>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手工</w:t>
            </w:r>
          </w:p>
        </w:tc>
        <w:tc>
          <w:tcPr>
            <w:tcW w:w="1320" w:type="dxa"/>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1次/1季度</w:t>
            </w:r>
          </w:p>
        </w:tc>
        <w:tc>
          <w:tcPr>
            <w:tcW w:w="2715" w:type="dxa"/>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 GB 12348-2008</w:t>
            </w:r>
            <w:r>
              <w:rPr>
                <w:rFonts w:hint="eastAsia" w:ascii="宋体" w:hAnsi="宋体" w:eastAsia="宋体" w:cs="宋体"/>
                <w:color w:val="auto"/>
                <w:sz w:val="24"/>
                <w:szCs w:val="24"/>
                <w:highlight w:val="none"/>
                <w:lang w:val="en-US" w:eastAsia="zh-CN"/>
              </w:rPr>
              <w:t>中2</w:t>
            </w:r>
            <w:r>
              <w:rPr>
                <w:rFonts w:hint="eastAsia" w:ascii="宋体" w:hAnsi="宋体" w:eastAsia="宋体" w:cs="宋体"/>
                <w:color w:val="auto"/>
                <w:sz w:val="24"/>
                <w:szCs w:val="24"/>
                <w:highlight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 w:type="dxa"/>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西(</w:t>
            </w:r>
            <w:r>
              <w:rPr>
                <w:rFonts w:ascii="宋体" w:hAnsi="宋体" w:eastAsia="宋体" w:cs="宋体"/>
                <w:color w:val="auto"/>
                <w:sz w:val="24"/>
                <w:szCs w:val="24"/>
                <w:highlight w:val="none"/>
              </w:rPr>
              <w:t>ZS-03)</w:t>
            </w:r>
          </w:p>
        </w:tc>
        <w:tc>
          <w:tcPr>
            <w:tcW w:w="1470" w:type="dxa"/>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等效连续A声级</w:t>
            </w:r>
          </w:p>
        </w:tc>
        <w:tc>
          <w:tcPr>
            <w:tcW w:w="1440" w:type="dxa"/>
          </w:tcPr>
          <w:p>
            <w:pPr>
              <w:jc w:val="center"/>
              <w:rPr>
                <w:rFonts w:ascii="宋体" w:hAnsi="宋体" w:eastAsia="宋体" w:cs="宋体"/>
                <w:color w:val="auto"/>
                <w:sz w:val="24"/>
                <w:szCs w:val="24"/>
                <w:highlight w:val="none"/>
              </w:rPr>
            </w:pPr>
            <w:r>
              <w:rPr>
                <w:rFonts w:hint="eastAsia" w:ascii="宋体" w:hAnsi="宋体" w:eastAsia="宋体" w:cs="宋体"/>
                <w:color w:val="auto"/>
                <w:szCs w:val="21"/>
                <w:highlight w:val="none"/>
              </w:rPr>
              <w:t xml:space="preserve">工业企业厂界环境噪声排放标准 GB 12348-2008 </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类排放标准</w:t>
            </w:r>
          </w:p>
        </w:tc>
        <w:tc>
          <w:tcPr>
            <w:tcW w:w="1425" w:type="dxa"/>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昼间60dB夜间50dB</w:t>
            </w:r>
          </w:p>
        </w:tc>
        <w:tc>
          <w:tcPr>
            <w:tcW w:w="870" w:type="dxa"/>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手工</w:t>
            </w:r>
          </w:p>
        </w:tc>
        <w:tc>
          <w:tcPr>
            <w:tcW w:w="1320" w:type="dxa"/>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1次/1季度</w:t>
            </w:r>
          </w:p>
        </w:tc>
        <w:tc>
          <w:tcPr>
            <w:tcW w:w="2715" w:type="dxa"/>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 GB 12348-2008中</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0" w:type="dxa"/>
          </w:tcPr>
          <w:p>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北(</w:t>
            </w:r>
            <w:r>
              <w:rPr>
                <w:rFonts w:ascii="宋体" w:hAnsi="宋体" w:eastAsia="宋体" w:cs="宋体"/>
                <w:color w:val="auto"/>
                <w:sz w:val="24"/>
                <w:szCs w:val="24"/>
                <w:highlight w:val="none"/>
              </w:rPr>
              <w:t>ZS-04)</w:t>
            </w:r>
          </w:p>
        </w:tc>
        <w:tc>
          <w:tcPr>
            <w:tcW w:w="1470" w:type="dxa"/>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等效连续A声级</w:t>
            </w:r>
          </w:p>
        </w:tc>
        <w:tc>
          <w:tcPr>
            <w:tcW w:w="1440" w:type="dxa"/>
          </w:tcPr>
          <w:p>
            <w:pPr>
              <w:jc w:val="center"/>
              <w:rPr>
                <w:rFonts w:ascii="宋体" w:hAnsi="宋体" w:eastAsia="宋体" w:cs="宋体"/>
                <w:color w:val="auto"/>
                <w:sz w:val="24"/>
                <w:szCs w:val="24"/>
                <w:highlight w:val="none"/>
              </w:rPr>
            </w:pPr>
            <w:r>
              <w:rPr>
                <w:rFonts w:hint="eastAsia" w:ascii="宋体" w:hAnsi="宋体" w:eastAsia="宋体" w:cs="宋体"/>
                <w:color w:val="auto"/>
                <w:szCs w:val="21"/>
                <w:highlight w:val="none"/>
              </w:rPr>
              <w:t xml:space="preserve">工业企业厂界环境噪声排放标准 GB 12348-2008 </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类排放标准</w:t>
            </w:r>
          </w:p>
        </w:tc>
        <w:tc>
          <w:tcPr>
            <w:tcW w:w="1425" w:type="dxa"/>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昼间60dB夜间50dB</w:t>
            </w:r>
          </w:p>
        </w:tc>
        <w:tc>
          <w:tcPr>
            <w:tcW w:w="870" w:type="dxa"/>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手工</w:t>
            </w:r>
          </w:p>
        </w:tc>
        <w:tc>
          <w:tcPr>
            <w:tcW w:w="1320" w:type="dxa"/>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1次/1季度</w:t>
            </w:r>
          </w:p>
        </w:tc>
        <w:tc>
          <w:tcPr>
            <w:tcW w:w="2715" w:type="dxa"/>
            <w:vAlign w:val="center"/>
          </w:tcPr>
          <w:p>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 GB 12348-2008中</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类标准</w:t>
            </w:r>
          </w:p>
        </w:tc>
      </w:tr>
    </w:tbl>
    <w:p>
      <w:pPr>
        <w:pStyle w:val="3"/>
      </w:pPr>
    </w:p>
    <w:p/>
    <w:bookmarkEnd w:id="2"/>
    <w:p>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outlineLvl w:val="0"/>
        <w:rPr>
          <w:rFonts w:ascii="宋体" w:hAnsi="宋体"/>
          <w:b/>
          <w:bCs/>
          <w:sz w:val="28"/>
          <w:szCs w:val="28"/>
        </w:rPr>
      </w:pPr>
      <w:r>
        <w:rPr>
          <w:rFonts w:hint="eastAsia" w:ascii="宋体" w:hAnsi="宋体"/>
          <w:b/>
          <w:bCs/>
          <w:sz w:val="28"/>
          <w:szCs w:val="28"/>
          <w:lang w:val="en-US" w:eastAsia="zh-CN"/>
        </w:rPr>
        <w:t>四、</w:t>
      </w:r>
      <w:r>
        <w:rPr>
          <w:rFonts w:hint="eastAsia" w:ascii="宋体" w:hAnsi="宋体"/>
          <w:b/>
          <w:bCs/>
          <w:sz w:val="28"/>
          <w:szCs w:val="28"/>
        </w:rPr>
        <w:t>企业在线监测设备信息</w:t>
      </w:r>
    </w:p>
    <w:p>
      <w:pPr>
        <w:pStyle w:val="18"/>
        <w:spacing w:line="240" w:lineRule="auto"/>
        <w:ind w:left="-420" w:leftChars="-200" w:firstLine="0" w:firstLineChars="0"/>
        <w:rPr>
          <w:rFonts w:ascii="宋体" w:hAnsi="宋体"/>
          <w:color w:val="auto"/>
          <w:sz w:val="28"/>
          <w:szCs w:val="28"/>
          <w:highlight w:val="none"/>
        </w:rPr>
      </w:pPr>
      <w:r>
        <w:rPr>
          <w:rFonts w:hint="eastAsia" w:ascii="宋体" w:hAnsi="宋体"/>
          <w:color w:val="auto"/>
          <w:sz w:val="28"/>
          <w:szCs w:val="28"/>
          <w:highlight w:val="none"/>
          <w:lang w:val="en-US"/>
        </w:rPr>
        <w:t>1、</w:t>
      </w:r>
      <w:r>
        <w:rPr>
          <w:rFonts w:hint="eastAsia" w:ascii="宋体" w:hAnsi="宋体"/>
          <w:color w:val="auto"/>
          <w:sz w:val="28"/>
          <w:szCs w:val="28"/>
          <w:highlight w:val="none"/>
        </w:rPr>
        <w:t>自动监测设备</w:t>
      </w:r>
    </w:p>
    <w:tbl>
      <w:tblPr>
        <w:tblStyle w:val="9"/>
        <w:tblW w:w="9874" w:type="dxa"/>
        <w:tblInd w:w="-4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1855"/>
        <w:gridCol w:w="958"/>
        <w:gridCol w:w="855"/>
        <w:gridCol w:w="4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088"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监测设备名称</w:t>
            </w:r>
          </w:p>
        </w:tc>
        <w:tc>
          <w:tcPr>
            <w:tcW w:w="1855"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型号</w:t>
            </w:r>
          </w:p>
        </w:tc>
        <w:tc>
          <w:tcPr>
            <w:tcW w:w="958"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数量</w:t>
            </w:r>
          </w:p>
        </w:tc>
        <w:tc>
          <w:tcPr>
            <w:tcW w:w="855"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单位</w:t>
            </w:r>
          </w:p>
        </w:tc>
        <w:tc>
          <w:tcPr>
            <w:tcW w:w="4118"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生产厂家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出水</w:t>
            </w:r>
            <w:r>
              <w:rPr>
                <w:rFonts w:hint="eastAsia" w:ascii="宋体" w:hAnsi="宋体" w:eastAsia="宋体" w:cs="宋体"/>
                <w:b w:val="0"/>
                <w:bCs w:val="0"/>
                <w:color w:val="auto"/>
                <w:sz w:val="24"/>
                <w:szCs w:val="24"/>
                <w:highlight w:val="none"/>
              </w:rPr>
              <w:t>氨氮在线</w:t>
            </w:r>
            <w:r>
              <w:rPr>
                <w:rFonts w:hint="eastAsia" w:ascii="宋体" w:hAnsi="宋体" w:eastAsia="宋体" w:cs="宋体"/>
                <w:b w:val="0"/>
                <w:bCs w:val="0"/>
                <w:color w:val="auto"/>
                <w:sz w:val="24"/>
                <w:szCs w:val="24"/>
                <w:highlight w:val="none"/>
                <w:lang w:val="en-US" w:eastAsia="zh-CN"/>
              </w:rPr>
              <w:t>分析仪</w:t>
            </w:r>
          </w:p>
        </w:tc>
        <w:tc>
          <w:tcPr>
            <w:tcW w:w="1855"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NHN4210</w:t>
            </w:r>
          </w:p>
        </w:tc>
        <w:tc>
          <w:tcPr>
            <w:tcW w:w="958"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w:t>
            </w:r>
          </w:p>
        </w:tc>
        <w:tc>
          <w:tcPr>
            <w:tcW w:w="855"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台</w:t>
            </w:r>
          </w:p>
        </w:tc>
        <w:tc>
          <w:tcPr>
            <w:tcW w:w="4118"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岛津仪器(苏州)有限公司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088"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eastAsia="zh-CN"/>
              </w:rPr>
              <w:t>出水</w:t>
            </w:r>
            <w:r>
              <w:rPr>
                <w:rFonts w:hint="eastAsia" w:ascii="宋体" w:hAnsi="宋体" w:eastAsia="宋体" w:cs="宋体"/>
                <w:b w:val="0"/>
                <w:bCs w:val="0"/>
                <w:color w:val="auto"/>
                <w:sz w:val="24"/>
                <w:szCs w:val="24"/>
                <w:highlight w:val="none"/>
              </w:rPr>
              <w:t>PH在线</w:t>
            </w:r>
            <w:r>
              <w:rPr>
                <w:rFonts w:hint="eastAsia" w:ascii="宋体" w:hAnsi="宋体" w:eastAsia="宋体" w:cs="宋体"/>
                <w:b w:val="0"/>
                <w:bCs w:val="0"/>
                <w:color w:val="auto"/>
                <w:sz w:val="24"/>
                <w:szCs w:val="24"/>
                <w:highlight w:val="none"/>
                <w:lang w:val="en-US" w:eastAsia="zh-CN"/>
              </w:rPr>
              <w:t>分析仪</w:t>
            </w:r>
          </w:p>
        </w:tc>
        <w:tc>
          <w:tcPr>
            <w:tcW w:w="1855"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SC100</w:t>
            </w:r>
          </w:p>
        </w:tc>
        <w:tc>
          <w:tcPr>
            <w:tcW w:w="958"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855"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台</w:t>
            </w:r>
          </w:p>
        </w:tc>
        <w:tc>
          <w:tcPr>
            <w:tcW w:w="4118"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rPr>
              <w:t>上海世禄仪器有限公司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eastAsia="zh-CN"/>
              </w:rPr>
              <w:t>出水</w:t>
            </w:r>
            <w:r>
              <w:rPr>
                <w:rFonts w:hint="eastAsia" w:ascii="宋体" w:hAnsi="宋体" w:eastAsia="宋体" w:cs="宋体"/>
                <w:b w:val="0"/>
                <w:bCs w:val="0"/>
                <w:color w:val="auto"/>
                <w:sz w:val="24"/>
                <w:szCs w:val="24"/>
                <w:highlight w:val="none"/>
              </w:rPr>
              <w:t>总磷总氮在线</w:t>
            </w:r>
            <w:r>
              <w:rPr>
                <w:rFonts w:hint="eastAsia" w:ascii="宋体" w:hAnsi="宋体" w:eastAsia="宋体" w:cs="宋体"/>
                <w:b w:val="0"/>
                <w:bCs w:val="0"/>
                <w:color w:val="auto"/>
                <w:sz w:val="24"/>
                <w:szCs w:val="24"/>
                <w:highlight w:val="none"/>
                <w:lang w:val="en-US" w:eastAsia="zh-CN"/>
              </w:rPr>
              <w:t>分析仪</w:t>
            </w:r>
          </w:p>
        </w:tc>
        <w:tc>
          <w:tcPr>
            <w:tcW w:w="1855"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NPW-160</w:t>
            </w:r>
          </w:p>
        </w:tc>
        <w:tc>
          <w:tcPr>
            <w:tcW w:w="958"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855"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台</w:t>
            </w:r>
          </w:p>
        </w:tc>
        <w:tc>
          <w:tcPr>
            <w:tcW w:w="4118"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rPr>
              <w:t>上海世禄仪器有限公司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088"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eastAsia="zh-CN"/>
              </w:rPr>
              <w:t>出水</w:t>
            </w:r>
            <w:r>
              <w:rPr>
                <w:rFonts w:hint="eastAsia" w:ascii="宋体" w:hAnsi="宋体" w:eastAsia="宋体" w:cs="宋体"/>
                <w:b w:val="0"/>
                <w:bCs w:val="0"/>
                <w:color w:val="auto"/>
                <w:sz w:val="24"/>
                <w:szCs w:val="24"/>
                <w:highlight w:val="none"/>
              </w:rPr>
              <w:t>COD在线</w:t>
            </w:r>
            <w:r>
              <w:rPr>
                <w:rFonts w:hint="eastAsia" w:ascii="宋体" w:hAnsi="宋体" w:eastAsia="宋体" w:cs="宋体"/>
                <w:b w:val="0"/>
                <w:bCs w:val="0"/>
                <w:color w:val="auto"/>
                <w:sz w:val="24"/>
                <w:szCs w:val="24"/>
                <w:highlight w:val="none"/>
                <w:lang w:val="en-US" w:eastAsia="zh-CN"/>
              </w:rPr>
              <w:t>分析仪</w:t>
            </w:r>
          </w:p>
        </w:tc>
        <w:tc>
          <w:tcPr>
            <w:tcW w:w="1855"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CODMax II</w:t>
            </w:r>
          </w:p>
        </w:tc>
        <w:tc>
          <w:tcPr>
            <w:tcW w:w="958"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855"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台</w:t>
            </w:r>
          </w:p>
        </w:tc>
        <w:tc>
          <w:tcPr>
            <w:tcW w:w="4118"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rPr>
              <w:t>上海世禄仪器有限公司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2088"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eastAsia="zh-CN"/>
              </w:rPr>
              <w:t>进水</w:t>
            </w:r>
            <w:r>
              <w:rPr>
                <w:rFonts w:hint="eastAsia" w:ascii="宋体" w:hAnsi="宋体" w:eastAsia="宋体" w:cs="宋体"/>
                <w:b w:val="0"/>
                <w:bCs w:val="0"/>
                <w:color w:val="auto"/>
                <w:sz w:val="24"/>
                <w:szCs w:val="24"/>
                <w:highlight w:val="none"/>
              </w:rPr>
              <w:t>氨氮在线</w:t>
            </w:r>
            <w:r>
              <w:rPr>
                <w:rFonts w:hint="eastAsia" w:ascii="宋体" w:hAnsi="宋体" w:eastAsia="宋体" w:cs="宋体"/>
                <w:b w:val="0"/>
                <w:bCs w:val="0"/>
                <w:color w:val="auto"/>
                <w:sz w:val="24"/>
                <w:szCs w:val="24"/>
                <w:highlight w:val="none"/>
                <w:lang w:val="en-US" w:eastAsia="zh-CN"/>
              </w:rPr>
              <w:t>分析仪</w:t>
            </w:r>
          </w:p>
        </w:tc>
        <w:tc>
          <w:tcPr>
            <w:tcW w:w="1855"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CA80AM</w:t>
            </w:r>
          </w:p>
        </w:tc>
        <w:tc>
          <w:tcPr>
            <w:tcW w:w="958"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855"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台</w:t>
            </w:r>
          </w:p>
        </w:tc>
        <w:tc>
          <w:tcPr>
            <w:tcW w:w="4118"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恩德斯豪斯分析仪器（苏州）有限公司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2088"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left"/>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进</w:t>
            </w:r>
            <w:r>
              <w:rPr>
                <w:rFonts w:hint="eastAsia" w:ascii="宋体" w:hAnsi="宋体" w:eastAsia="宋体" w:cs="宋体"/>
                <w:b w:val="0"/>
                <w:bCs w:val="0"/>
                <w:color w:val="auto"/>
                <w:sz w:val="24"/>
                <w:szCs w:val="24"/>
                <w:highlight w:val="none"/>
                <w:lang w:eastAsia="zh-CN"/>
              </w:rPr>
              <w:t>水</w:t>
            </w:r>
            <w:r>
              <w:rPr>
                <w:rFonts w:hint="eastAsia" w:ascii="宋体" w:hAnsi="宋体" w:eastAsia="宋体" w:cs="宋体"/>
                <w:b w:val="0"/>
                <w:bCs w:val="0"/>
                <w:color w:val="auto"/>
                <w:sz w:val="24"/>
                <w:szCs w:val="24"/>
                <w:highlight w:val="none"/>
              </w:rPr>
              <w:t>COD在线监</w:t>
            </w:r>
            <w:r>
              <w:rPr>
                <w:rFonts w:hint="eastAsia" w:ascii="宋体" w:hAnsi="宋体" w:eastAsia="宋体" w:cs="宋体"/>
                <w:b w:val="0"/>
                <w:bCs w:val="0"/>
                <w:color w:val="auto"/>
                <w:sz w:val="24"/>
                <w:szCs w:val="24"/>
                <w:highlight w:val="none"/>
                <w:lang w:val="en-US" w:eastAsia="zh-CN"/>
              </w:rPr>
              <w:t>分析仪</w:t>
            </w:r>
          </w:p>
        </w:tc>
        <w:tc>
          <w:tcPr>
            <w:tcW w:w="1855"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CA80 COD</w:t>
            </w:r>
          </w:p>
        </w:tc>
        <w:tc>
          <w:tcPr>
            <w:tcW w:w="958"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w:t>
            </w:r>
          </w:p>
        </w:tc>
        <w:tc>
          <w:tcPr>
            <w:tcW w:w="855"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台</w:t>
            </w:r>
          </w:p>
        </w:tc>
        <w:tc>
          <w:tcPr>
            <w:tcW w:w="4118"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恩德斯豪斯分析仪器（苏州）有限公司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2088"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进</w:t>
            </w:r>
            <w:r>
              <w:rPr>
                <w:rFonts w:hint="eastAsia" w:ascii="宋体" w:hAnsi="宋体" w:eastAsia="宋体" w:cs="宋体"/>
                <w:b w:val="0"/>
                <w:bCs w:val="0"/>
                <w:color w:val="auto"/>
                <w:sz w:val="24"/>
                <w:szCs w:val="24"/>
                <w:highlight w:val="none"/>
                <w:lang w:eastAsia="zh-CN"/>
              </w:rPr>
              <w:t>水</w:t>
            </w:r>
            <w:r>
              <w:rPr>
                <w:rFonts w:hint="eastAsia" w:ascii="宋体" w:hAnsi="宋体" w:eastAsia="宋体" w:cs="宋体"/>
                <w:b w:val="0"/>
                <w:bCs w:val="0"/>
                <w:color w:val="auto"/>
                <w:sz w:val="24"/>
                <w:szCs w:val="24"/>
                <w:highlight w:val="none"/>
              </w:rPr>
              <w:t>PH在线</w:t>
            </w:r>
            <w:r>
              <w:rPr>
                <w:rFonts w:hint="eastAsia" w:ascii="宋体" w:hAnsi="宋体" w:eastAsia="宋体" w:cs="宋体"/>
                <w:b w:val="0"/>
                <w:bCs w:val="0"/>
                <w:color w:val="auto"/>
                <w:sz w:val="24"/>
                <w:szCs w:val="24"/>
                <w:highlight w:val="none"/>
                <w:lang w:val="en-US" w:eastAsia="zh-CN"/>
              </w:rPr>
              <w:t>分析仪</w:t>
            </w:r>
          </w:p>
        </w:tc>
        <w:tc>
          <w:tcPr>
            <w:tcW w:w="1855"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SC200</w:t>
            </w:r>
          </w:p>
        </w:tc>
        <w:tc>
          <w:tcPr>
            <w:tcW w:w="958"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855"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台</w:t>
            </w:r>
          </w:p>
        </w:tc>
        <w:tc>
          <w:tcPr>
            <w:tcW w:w="4118"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default" w:ascii="宋体" w:hAnsi="宋体" w:eastAsia="宋体" w:cs="宋体"/>
                <w:b w:val="0"/>
                <w:bCs w:val="0"/>
                <w:color w:val="ED7D31" w:themeColor="accent2"/>
                <w:sz w:val="24"/>
                <w:szCs w:val="24"/>
                <w:highlight w:val="none"/>
                <w:lang w:val="en-US" w:eastAsia="zh-CN"/>
                <w14:textFill>
                  <w14:solidFill>
                    <w14:schemeClr w14:val="accent2"/>
                  </w14:solidFill>
                </w14:textFill>
              </w:rPr>
            </w:pPr>
            <w:r>
              <w:rPr>
                <w:rFonts w:hint="eastAsia" w:ascii="宋体" w:hAnsi="宋体" w:eastAsia="宋体" w:cs="宋体"/>
                <w:color w:val="auto"/>
                <w:sz w:val="24"/>
                <w:szCs w:val="24"/>
              </w:rPr>
              <w:t>上海世禄仪器有限公司</w:t>
            </w:r>
          </w:p>
        </w:tc>
      </w:tr>
    </w:tbl>
    <w:p>
      <w:pPr>
        <w:pStyle w:val="7"/>
        <w:keepNext w:val="0"/>
        <w:keepLines w:val="0"/>
        <w:pageBreakBefore w:val="0"/>
        <w:kinsoku/>
        <w:wordWrap/>
        <w:overflowPunct/>
        <w:topLinePunct w:val="0"/>
        <w:autoSpaceDE/>
        <w:autoSpaceDN/>
        <w:bidi w:val="0"/>
        <w:spacing w:line="240" w:lineRule="auto"/>
        <w:jc w:val="both"/>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lang w:val="en-US" w:eastAsia="zh-CN"/>
        </w:rPr>
        <w:t>2、</w:t>
      </w:r>
      <w:r>
        <w:rPr>
          <w:rFonts w:hint="eastAsia" w:ascii="宋体" w:hAnsi="宋体" w:eastAsia="宋体" w:cs="宋体"/>
          <w:b w:val="0"/>
          <w:bCs w:val="0"/>
          <w:color w:val="auto"/>
          <w:sz w:val="28"/>
          <w:szCs w:val="28"/>
          <w:highlight w:val="none"/>
        </w:rPr>
        <w:t>手工监测设备</w:t>
      </w:r>
    </w:p>
    <w:tbl>
      <w:tblPr>
        <w:tblStyle w:val="9"/>
        <w:tblW w:w="9848" w:type="dxa"/>
        <w:tblInd w:w="-4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4"/>
        <w:gridCol w:w="1536"/>
        <w:gridCol w:w="869"/>
        <w:gridCol w:w="840"/>
        <w:gridCol w:w="4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4" w:type="dxa"/>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监测设备名称</w:t>
            </w:r>
          </w:p>
        </w:tc>
        <w:tc>
          <w:tcPr>
            <w:tcW w:w="1536" w:type="dxa"/>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型号</w:t>
            </w:r>
          </w:p>
        </w:tc>
        <w:tc>
          <w:tcPr>
            <w:tcW w:w="869"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eastAsia="zh-CN"/>
              </w:rPr>
              <w:t>数量</w:t>
            </w:r>
          </w:p>
        </w:tc>
        <w:tc>
          <w:tcPr>
            <w:tcW w:w="840"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单位</w:t>
            </w:r>
          </w:p>
        </w:tc>
        <w:tc>
          <w:tcPr>
            <w:tcW w:w="4159"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生产厂家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444"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color w:val="auto"/>
                <w:kern w:val="0"/>
                <w:sz w:val="24"/>
                <w:szCs w:val="24"/>
                <w:highlight w:val="none"/>
                <w:u w:val="none"/>
                <w:lang w:val="en-US" w:eastAsia="zh-CN" w:bidi="ar"/>
              </w:rPr>
              <w:t>生化培养箱</w:t>
            </w:r>
          </w:p>
        </w:tc>
        <w:tc>
          <w:tcPr>
            <w:tcW w:w="1536"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color w:val="auto"/>
                <w:kern w:val="0"/>
                <w:sz w:val="24"/>
                <w:szCs w:val="24"/>
                <w:highlight w:val="none"/>
                <w:u w:val="none"/>
                <w:lang w:val="en-US" w:eastAsia="zh-CN" w:bidi="ar"/>
              </w:rPr>
              <w:t>SHP-250</w:t>
            </w:r>
          </w:p>
        </w:tc>
        <w:tc>
          <w:tcPr>
            <w:tcW w:w="869"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840" w:type="dxa"/>
            <w:vAlign w:val="top"/>
          </w:tcPr>
          <w:p>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台</w:t>
            </w:r>
          </w:p>
        </w:tc>
        <w:tc>
          <w:tcPr>
            <w:tcW w:w="4159"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上海鸿都电子科技有限公司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4"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color w:val="auto"/>
                <w:kern w:val="0"/>
                <w:sz w:val="24"/>
                <w:szCs w:val="24"/>
                <w:highlight w:val="none"/>
                <w:u w:val="none"/>
                <w:lang w:val="en-US" w:eastAsia="zh-CN" w:bidi="ar"/>
              </w:rPr>
              <w:t>高温灭菌器</w:t>
            </w:r>
          </w:p>
        </w:tc>
        <w:tc>
          <w:tcPr>
            <w:tcW w:w="1536"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BXM-30R</w:t>
            </w:r>
          </w:p>
        </w:tc>
        <w:tc>
          <w:tcPr>
            <w:tcW w:w="869"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1</w:t>
            </w:r>
          </w:p>
        </w:tc>
        <w:tc>
          <w:tcPr>
            <w:tcW w:w="840"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color w:val="auto"/>
                <w:kern w:val="0"/>
                <w:sz w:val="24"/>
                <w:szCs w:val="24"/>
                <w:highlight w:val="none"/>
                <w:u w:val="none"/>
                <w:lang w:val="en-US" w:eastAsia="zh-CN" w:bidi="ar"/>
              </w:rPr>
              <w:t>台</w:t>
            </w:r>
          </w:p>
        </w:tc>
        <w:tc>
          <w:tcPr>
            <w:tcW w:w="4159"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eastAsia="zh-CN"/>
              </w:rPr>
              <w:t>上海博讯实业有限公司医疗设备厂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444"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color w:val="auto"/>
                <w:kern w:val="0"/>
                <w:sz w:val="24"/>
                <w:szCs w:val="24"/>
                <w:highlight w:val="none"/>
                <w:u w:val="none"/>
                <w:lang w:val="en-US" w:eastAsia="zh-CN" w:bidi="ar"/>
              </w:rPr>
              <w:t>COD消解装置</w:t>
            </w:r>
          </w:p>
        </w:tc>
        <w:tc>
          <w:tcPr>
            <w:tcW w:w="1536"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SH12S</w:t>
            </w:r>
          </w:p>
        </w:tc>
        <w:tc>
          <w:tcPr>
            <w:tcW w:w="869"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1</w:t>
            </w:r>
          </w:p>
        </w:tc>
        <w:tc>
          <w:tcPr>
            <w:tcW w:w="840"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color w:val="auto"/>
                <w:kern w:val="0"/>
                <w:sz w:val="24"/>
                <w:szCs w:val="24"/>
                <w:highlight w:val="none"/>
                <w:u w:val="none"/>
                <w:lang w:val="en-US" w:eastAsia="zh-CN" w:bidi="ar"/>
              </w:rPr>
              <w:t>台</w:t>
            </w:r>
          </w:p>
        </w:tc>
        <w:tc>
          <w:tcPr>
            <w:tcW w:w="4159"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eastAsia="zh-CN"/>
              </w:rPr>
              <w:t>江苏盛奥华环保科技有限公司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4"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color w:val="auto"/>
                <w:kern w:val="0"/>
                <w:sz w:val="24"/>
                <w:szCs w:val="24"/>
                <w:highlight w:val="none"/>
                <w:u w:val="none"/>
                <w:lang w:val="en-US" w:eastAsia="zh-CN" w:bidi="ar"/>
              </w:rPr>
              <w:t>显微镜</w:t>
            </w:r>
          </w:p>
        </w:tc>
        <w:tc>
          <w:tcPr>
            <w:tcW w:w="1536"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XSP-2CA</w:t>
            </w:r>
          </w:p>
        </w:tc>
        <w:tc>
          <w:tcPr>
            <w:tcW w:w="869"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1</w:t>
            </w:r>
          </w:p>
        </w:tc>
        <w:tc>
          <w:tcPr>
            <w:tcW w:w="840"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color w:val="auto"/>
                <w:kern w:val="0"/>
                <w:sz w:val="24"/>
                <w:szCs w:val="24"/>
                <w:highlight w:val="none"/>
                <w:u w:val="none"/>
                <w:lang w:val="en-US" w:eastAsia="zh-CN" w:bidi="ar"/>
              </w:rPr>
              <w:t>台</w:t>
            </w:r>
          </w:p>
        </w:tc>
        <w:tc>
          <w:tcPr>
            <w:tcW w:w="4159"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eastAsia="zh-CN"/>
              </w:rPr>
              <w:t>上海光学仪器六厂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4"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color w:val="auto"/>
                <w:kern w:val="0"/>
                <w:sz w:val="24"/>
                <w:szCs w:val="24"/>
                <w:highlight w:val="none"/>
                <w:u w:val="none"/>
                <w:lang w:val="en-US" w:eastAsia="zh-CN" w:bidi="ar"/>
              </w:rPr>
              <w:t>紫外可见光光度计</w:t>
            </w:r>
          </w:p>
        </w:tc>
        <w:tc>
          <w:tcPr>
            <w:tcW w:w="1536"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Uv-5100</w:t>
            </w:r>
          </w:p>
        </w:tc>
        <w:tc>
          <w:tcPr>
            <w:tcW w:w="869"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1</w:t>
            </w:r>
          </w:p>
        </w:tc>
        <w:tc>
          <w:tcPr>
            <w:tcW w:w="840"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color w:val="auto"/>
                <w:kern w:val="0"/>
                <w:sz w:val="24"/>
                <w:szCs w:val="24"/>
                <w:highlight w:val="none"/>
                <w:u w:val="none"/>
                <w:lang w:val="en-US" w:eastAsia="zh-CN" w:bidi="ar"/>
              </w:rPr>
              <w:t>台</w:t>
            </w:r>
          </w:p>
        </w:tc>
        <w:tc>
          <w:tcPr>
            <w:tcW w:w="4159"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eastAsia="zh-CN"/>
              </w:rPr>
              <w:t>上海元析仪器有限公司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4"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color w:val="auto"/>
                <w:kern w:val="0"/>
                <w:sz w:val="24"/>
                <w:szCs w:val="24"/>
                <w:highlight w:val="none"/>
                <w:u w:val="none"/>
                <w:lang w:val="en-US" w:eastAsia="zh-CN" w:bidi="ar"/>
              </w:rPr>
              <w:t>万分之一分析天平</w:t>
            </w:r>
          </w:p>
        </w:tc>
        <w:tc>
          <w:tcPr>
            <w:tcW w:w="1536"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FA2104</w:t>
            </w:r>
          </w:p>
        </w:tc>
        <w:tc>
          <w:tcPr>
            <w:tcW w:w="869"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1</w:t>
            </w:r>
          </w:p>
        </w:tc>
        <w:tc>
          <w:tcPr>
            <w:tcW w:w="840"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color w:val="auto"/>
                <w:kern w:val="0"/>
                <w:sz w:val="24"/>
                <w:szCs w:val="24"/>
                <w:highlight w:val="none"/>
                <w:u w:val="none"/>
                <w:lang w:val="en-US" w:eastAsia="zh-CN" w:bidi="ar"/>
              </w:rPr>
              <w:t>台</w:t>
            </w:r>
          </w:p>
        </w:tc>
        <w:tc>
          <w:tcPr>
            <w:tcW w:w="4159"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上海良平仪器仪表有限公司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4"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color w:val="auto"/>
                <w:kern w:val="0"/>
                <w:sz w:val="24"/>
                <w:szCs w:val="24"/>
                <w:highlight w:val="none"/>
                <w:u w:val="none"/>
                <w:lang w:val="en-US" w:eastAsia="zh-CN" w:bidi="ar"/>
              </w:rPr>
              <w:t>电热恒温干燥箱</w:t>
            </w:r>
          </w:p>
        </w:tc>
        <w:tc>
          <w:tcPr>
            <w:tcW w:w="1536"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DHG-92021-1</w:t>
            </w:r>
          </w:p>
        </w:tc>
        <w:tc>
          <w:tcPr>
            <w:tcW w:w="869"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1</w:t>
            </w:r>
          </w:p>
        </w:tc>
        <w:tc>
          <w:tcPr>
            <w:tcW w:w="840"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color w:val="auto"/>
                <w:kern w:val="0"/>
                <w:sz w:val="24"/>
                <w:szCs w:val="24"/>
                <w:highlight w:val="none"/>
                <w:u w:val="none"/>
                <w:lang w:val="en-US" w:eastAsia="zh-CN" w:bidi="ar"/>
              </w:rPr>
              <w:t>台</w:t>
            </w:r>
          </w:p>
        </w:tc>
        <w:tc>
          <w:tcPr>
            <w:tcW w:w="4159"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上海鸿都电子科技有限公司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4"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color w:val="auto"/>
                <w:kern w:val="0"/>
                <w:sz w:val="24"/>
                <w:szCs w:val="24"/>
                <w:highlight w:val="none"/>
                <w:u w:val="none"/>
                <w:lang w:val="en-US" w:eastAsia="zh-CN" w:bidi="ar"/>
              </w:rPr>
              <w:t>pH计</w:t>
            </w:r>
          </w:p>
        </w:tc>
        <w:tc>
          <w:tcPr>
            <w:tcW w:w="1536"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PHB-4</w:t>
            </w:r>
          </w:p>
        </w:tc>
        <w:tc>
          <w:tcPr>
            <w:tcW w:w="869"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1</w:t>
            </w:r>
          </w:p>
        </w:tc>
        <w:tc>
          <w:tcPr>
            <w:tcW w:w="840"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color w:val="auto"/>
                <w:kern w:val="0"/>
                <w:sz w:val="24"/>
                <w:szCs w:val="24"/>
                <w:highlight w:val="none"/>
                <w:u w:val="none"/>
                <w:lang w:val="en-US" w:eastAsia="zh-CN" w:bidi="ar"/>
              </w:rPr>
              <w:t>台</w:t>
            </w:r>
          </w:p>
        </w:tc>
        <w:tc>
          <w:tcPr>
            <w:tcW w:w="4159"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上海仪电科学仪器股份有限公司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4"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color w:val="auto"/>
                <w:kern w:val="0"/>
                <w:sz w:val="24"/>
                <w:szCs w:val="24"/>
                <w:highlight w:val="none"/>
                <w:u w:val="none"/>
                <w:lang w:val="en-US" w:eastAsia="zh-CN" w:bidi="ar"/>
              </w:rPr>
              <w:t>箱式电阻炉</w:t>
            </w:r>
          </w:p>
        </w:tc>
        <w:tc>
          <w:tcPr>
            <w:tcW w:w="1536"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SX2-4-10</w:t>
            </w:r>
          </w:p>
        </w:tc>
        <w:tc>
          <w:tcPr>
            <w:tcW w:w="869"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1</w:t>
            </w:r>
          </w:p>
        </w:tc>
        <w:tc>
          <w:tcPr>
            <w:tcW w:w="840"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color w:val="auto"/>
                <w:kern w:val="0"/>
                <w:sz w:val="24"/>
                <w:szCs w:val="24"/>
                <w:highlight w:val="none"/>
                <w:u w:val="none"/>
                <w:lang w:val="en-US" w:eastAsia="zh-CN" w:bidi="ar"/>
              </w:rPr>
              <w:t>台</w:t>
            </w:r>
          </w:p>
        </w:tc>
        <w:tc>
          <w:tcPr>
            <w:tcW w:w="4159"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eastAsia="zh-CN"/>
              </w:rPr>
              <w:t>龙口市文太电炉制造公司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4"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磁力搅拌器</w:t>
            </w:r>
          </w:p>
        </w:tc>
        <w:tc>
          <w:tcPr>
            <w:tcW w:w="1536"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CJ-4</w:t>
            </w:r>
          </w:p>
        </w:tc>
        <w:tc>
          <w:tcPr>
            <w:tcW w:w="869"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1</w:t>
            </w:r>
          </w:p>
        </w:tc>
        <w:tc>
          <w:tcPr>
            <w:tcW w:w="840"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color w:val="auto"/>
                <w:kern w:val="0"/>
                <w:sz w:val="24"/>
                <w:szCs w:val="24"/>
                <w:highlight w:val="none"/>
                <w:u w:val="none"/>
                <w:lang w:val="en-US" w:eastAsia="zh-CN" w:bidi="ar"/>
              </w:rPr>
              <w:t>台</w:t>
            </w:r>
          </w:p>
        </w:tc>
        <w:tc>
          <w:tcPr>
            <w:tcW w:w="4159"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金坛市大地市自动化仪器厂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4"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超纯水机</w:t>
            </w:r>
          </w:p>
        </w:tc>
        <w:tc>
          <w:tcPr>
            <w:tcW w:w="1536"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FST-IV-20</w:t>
            </w:r>
          </w:p>
        </w:tc>
        <w:tc>
          <w:tcPr>
            <w:tcW w:w="869"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1</w:t>
            </w:r>
          </w:p>
        </w:tc>
        <w:tc>
          <w:tcPr>
            <w:tcW w:w="840"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color w:val="auto"/>
                <w:kern w:val="0"/>
                <w:sz w:val="24"/>
                <w:szCs w:val="24"/>
                <w:highlight w:val="none"/>
                <w:u w:val="none"/>
                <w:lang w:val="en-US" w:eastAsia="zh-CN" w:bidi="ar"/>
              </w:rPr>
              <w:t>台</w:t>
            </w:r>
          </w:p>
        </w:tc>
        <w:tc>
          <w:tcPr>
            <w:tcW w:w="4159"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上海富诗特一起有限公司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4"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default"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千分之一天平</w:t>
            </w:r>
          </w:p>
        </w:tc>
        <w:tc>
          <w:tcPr>
            <w:tcW w:w="1536" w:type="dxa"/>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TS-223A</w:t>
            </w:r>
          </w:p>
        </w:tc>
        <w:tc>
          <w:tcPr>
            <w:tcW w:w="869" w:type="dxa"/>
            <w:vAlign w:val="top"/>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840" w:type="dxa"/>
            <w:vAlign w:val="top"/>
          </w:tcPr>
          <w:p>
            <w:pPr>
              <w:keepNext w:val="0"/>
              <w:keepLines w:val="0"/>
              <w:pageBreakBefore w:val="0"/>
              <w:kinsoku/>
              <w:wordWrap/>
              <w:overflowPunct/>
              <w:topLinePunct w:val="0"/>
              <w:autoSpaceDE/>
              <w:autoSpaceDN/>
              <w:bidi w:val="0"/>
              <w:spacing w:line="240" w:lineRule="auto"/>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台</w:t>
            </w:r>
          </w:p>
        </w:tc>
        <w:tc>
          <w:tcPr>
            <w:tcW w:w="4159" w:type="dxa"/>
            <w:vAlign w:val="top"/>
          </w:tcPr>
          <w:p>
            <w:pPr>
              <w:keepNext w:val="0"/>
              <w:keepLines w:val="0"/>
              <w:pageBreakBefore w:val="0"/>
              <w:kinsoku/>
              <w:wordWrap/>
              <w:overflowPunct/>
              <w:topLinePunct w:val="0"/>
              <w:autoSpaceDE/>
              <w:autoSpaceDN/>
              <w:bidi w:val="0"/>
              <w:spacing w:line="240" w:lineRule="auto"/>
              <w:jc w:val="left"/>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福州华科电子仪器有限公司</w:t>
            </w:r>
          </w:p>
        </w:tc>
      </w:tr>
    </w:tbl>
    <w:p>
      <w:pPr>
        <w:pStyle w:val="18"/>
        <w:keepNext w:val="0"/>
        <w:keepLines w:val="0"/>
        <w:pageBreakBefore w:val="0"/>
        <w:kinsoku/>
        <w:wordWrap/>
        <w:overflowPunct/>
        <w:topLinePunct w:val="0"/>
        <w:autoSpaceDE/>
        <w:autoSpaceDN/>
        <w:bidi w:val="0"/>
        <w:spacing w:line="240" w:lineRule="auto"/>
        <w:ind w:firstLine="0" w:firstLineChars="0"/>
        <w:rPr>
          <w:rFonts w:hint="eastAsia" w:ascii="宋体" w:hAnsi="宋体" w:cs="宋体"/>
          <w:b/>
          <w:bCs/>
          <w:color w:val="auto"/>
          <w:sz w:val="28"/>
          <w:szCs w:val="28"/>
          <w:highlight w:val="none"/>
          <w:lang w:val="en-US" w:eastAsia="zh-CN"/>
        </w:rPr>
      </w:pPr>
    </w:p>
    <w:p>
      <w:pPr>
        <w:pStyle w:val="18"/>
        <w:keepNext w:val="0"/>
        <w:keepLines w:val="0"/>
        <w:pageBreakBefore w:val="0"/>
        <w:kinsoku/>
        <w:wordWrap/>
        <w:overflowPunct/>
        <w:topLinePunct w:val="0"/>
        <w:autoSpaceDE/>
        <w:autoSpaceDN/>
        <w:bidi w:val="0"/>
        <w:spacing w:line="240" w:lineRule="auto"/>
        <w:ind w:firstLine="0" w:firstLineChars="0"/>
        <w:rPr>
          <w:rFonts w:hint="eastAsia" w:ascii="宋体" w:hAnsi="宋体" w:cs="宋体"/>
          <w:b/>
          <w:bCs/>
          <w:color w:val="auto"/>
          <w:sz w:val="28"/>
          <w:szCs w:val="28"/>
          <w:highlight w:val="none"/>
          <w:lang w:val="en-US" w:eastAsia="zh-CN"/>
        </w:rPr>
      </w:pPr>
    </w:p>
    <w:p>
      <w:pPr>
        <w:pStyle w:val="18"/>
        <w:keepNext w:val="0"/>
        <w:keepLines w:val="0"/>
        <w:pageBreakBefore w:val="0"/>
        <w:kinsoku/>
        <w:wordWrap/>
        <w:overflowPunct/>
        <w:topLinePunct w:val="0"/>
        <w:autoSpaceDE/>
        <w:autoSpaceDN/>
        <w:bidi w:val="0"/>
        <w:spacing w:line="240" w:lineRule="auto"/>
        <w:ind w:firstLine="0" w:firstLineChars="0"/>
        <w:rPr>
          <w:rFonts w:hint="eastAsia" w:ascii="宋体" w:hAnsi="宋体" w:cs="宋体"/>
          <w:b/>
          <w:bCs/>
          <w:color w:val="auto"/>
          <w:sz w:val="28"/>
          <w:szCs w:val="28"/>
          <w:highlight w:val="none"/>
          <w:lang w:val="en-US" w:eastAsia="zh-CN"/>
        </w:rPr>
      </w:pPr>
    </w:p>
    <w:p>
      <w:pPr>
        <w:pStyle w:val="18"/>
        <w:keepNext w:val="0"/>
        <w:keepLines w:val="0"/>
        <w:pageBreakBefore w:val="0"/>
        <w:kinsoku/>
        <w:wordWrap/>
        <w:overflowPunct/>
        <w:topLinePunct w:val="0"/>
        <w:autoSpaceDE/>
        <w:autoSpaceDN/>
        <w:bidi w:val="0"/>
        <w:spacing w:line="240" w:lineRule="auto"/>
        <w:ind w:firstLine="0" w:firstLineChars="0"/>
        <w:rPr>
          <w:rFonts w:hint="eastAsia" w:ascii="宋体" w:hAnsi="宋体" w:eastAsia="宋体" w:cs="宋体"/>
          <w:b/>
          <w:bCs/>
          <w:color w:val="auto"/>
          <w:sz w:val="28"/>
          <w:szCs w:val="28"/>
          <w:highlight w:val="none"/>
          <w:lang w:eastAsia="zh-CN"/>
        </w:rPr>
      </w:pPr>
      <w:r>
        <w:rPr>
          <w:rFonts w:hint="eastAsia" w:ascii="宋体" w:hAnsi="宋体" w:cs="宋体"/>
          <w:b/>
          <w:bCs/>
          <w:color w:val="auto"/>
          <w:sz w:val="28"/>
          <w:szCs w:val="28"/>
          <w:highlight w:val="none"/>
          <w:lang w:val="en-US" w:eastAsia="zh-CN"/>
        </w:rPr>
        <w:t>五</w:t>
      </w:r>
      <w:r>
        <w:rPr>
          <w:rFonts w:hint="eastAsia" w:ascii="宋体" w:hAnsi="宋体" w:eastAsia="宋体" w:cs="宋体"/>
          <w:b/>
          <w:bCs/>
          <w:color w:val="auto"/>
          <w:sz w:val="28"/>
          <w:szCs w:val="28"/>
          <w:highlight w:val="none"/>
          <w:lang w:val="en-US" w:eastAsia="zh-CN"/>
        </w:rPr>
        <w:t>、</w:t>
      </w:r>
      <w:r>
        <w:rPr>
          <w:rFonts w:hint="eastAsia" w:ascii="宋体" w:hAnsi="宋体" w:eastAsia="宋体" w:cs="宋体"/>
          <w:b/>
          <w:bCs/>
          <w:color w:val="auto"/>
          <w:sz w:val="28"/>
          <w:szCs w:val="28"/>
          <w:highlight w:val="none"/>
          <w:lang w:eastAsia="zh-CN"/>
        </w:rPr>
        <w:t>企业治理设施</w:t>
      </w:r>
    </w:p>
    <w:tbl>
      <w:tblPr>
        <w:tblStyle w:val="9"/>
        <w:tblpPr w:leftFromText="180" w:rightFromText="180" w:vertAnchor="text" w:horzAnchor="page" w:tblpX="1425" w:tblpY="1300"/>
        <w:tblOverlap w:val="never"/>
        <w:tblW w:w="92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55"/>
        <w:gridCol w:w="1631"/>
        <w:gridCol w:w="1631"/>
        <w:gridCol w:w="2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3455" w:type="dxa"/>
          </w:tcPr>
          <w:p>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设施名称</w:t>
            </w:r>
          </w:p>
        </w:tc>
        <w:tc>
          <w:tcPr>
            <w:tcW w:w="1631" w:type="dxa"/>
          </w:tcPr>
          <w:p>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所在排放设备</w:t>
            </w:r>
          </w:p>
        </w:tc>
        <w:tc>
          <w:tcPr>
            <w:tcW w:w="1631" w:type="dxa"/>
          </w:tcPr>
          <w:p>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设施类别</w:t>
            </w:r>
          </w:p>
        </w:tc>
        <w:tc>
          <w:tcPr>
            <w:tcW w:w="2582" w:type="dxa"/>
          </w:tcPr>
          <w:p>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处理工艺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3455"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rPr>
              <w:t>恶臭气体处理DA001</w:t>
            </w:r>
          </w:p>
        </w:tc>
        <w:tc>
          <w:tcPr>
            <w:tcW w:w="1631" w:type="dxa"/>
            <w:vAlign w:val="top"/>
          </w:tcPr>
          <w:p>
            <w:pPr>
              <w:keepNext w:val="0"/>
              <w:keepLines w:val="0"/>
              <w:suppressLineNumbers w:val="0"/>
              <w:spacing w:before="0" w:beforeAutospacing="0" w:after="0" w:afterAutospacing="0"/>
              <w:ind w:left="0" w:leftChars="0" w:right="0" w:rightChars="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rPr>
              <w:t>粗格栅、提升泵房</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细格栅脱水机房</w:t>
            </w:r>
          </w:p>
        </w:tc>
        <w:tc>
          <w:tcPr>
            <w:tcW w:w="1631" w:type="dxa"/>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工艺设备</w:t>
            </w:r>
          </w:p>
        </w:tc>
        <w:tc>
          <w:tcPr>
            <w:tcW w:w="2582"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生物土壤除臭</w:t>
            </w:r>
          </w:p>
        </w:tc>
      </w:tr>
    </w:tbl>
    <w:p>
      <w:pPr>
        <w:keepNext w:val="0"/>
        <w:keepLines w:val="0"/>
        <w:pageBreakBefore w:val="0"/>
        <w:kinsoku/>
        <w:wordWrap/>
        <w:overflowPunct/>
        <w:topLinePunct w:val="0"/>
        <w:autoSpaceDE/>
        <w:autoSpaceDN/>
        <w:bidi w:val="0"/>
        <w:spacing w:line="240" w:lineRule="auto"/>
        <w:rPr>
          <w:rFonts w:hint="eastAsia" w:ascii="宋体" w:hAnsi="宋体" w:eastAsia="宋体" w:cs="宋体"/>
          <w:b w:val="0"/>
          <w:bCs w:val="0"/>
          <w:color w:val="auto"/>
          <w:kern w:val="2"/>
          <w:sz w:val="28"/>
          <w:szCs w:val="28"/>
          <w:highlight w:val="none"/>
          <w:lang w:val="zh-CN" w:eastAsia="zh-CN" w:bidi="ar-SA"/>
        </w:rPr>
      </w:pPr>
      <w:r>
        <w:rPr>
          <w:rFonts w:hint="eastAsia" w:ascii="宋体" w:hAnsi="宋体" w:eastAsia="宋体" w:cs="宋体"/>
          <w:b w:val="0"/>
          <w:bCs w:val="0"/>
          <w:color w:val="auto"/>
          <w:kern w:val="2"/>
          <w:sz w:val="28"/>
          <w:szCs w:val="28"/>
          <w:highlight w:val="none"/>
          <w:lang w:val="en-US" w:eastAsia="zh-CN" w:bidi="ar-SA"/>
        </w:rPr>
        <w:t>1、</w:t>
      </w:r>
      <w:r>
        <w:rPr>
          <w:rFonts w:hint="eastAsia" w:ascii="宋体" w:hAnsi="宋体" w:eastAsia="宋体" w:cs="宋体"/>
          <w:b w:val="0"/>
          <w:bCs w:val="0"/>
          <w:color w:val="auto"/>
          <w:kern w:val="2"/>
          <w:sz w:val="28"/>
          <w:szCs w:val="28"/>
          <w:highlight w:val="none"/>
          <w:lang w:val="zh-CN" w:eastAsia="zh-CN" w:bidi="ar-SA"/>
        </w:rPr>
        <w:t>废气治理设施</w:t>
      </w:r>
    </w:p>
    <w:p>
      <w:pPr>
        <w:pStyle w:val="7"/>
        <w:keepNext w:val="0"/>
        <w:keepLines w:val="0"/>
        <w:pageBreakBefore w:val="0"/>
        <w:kinsoku/>
        <w:wordWrap/>
        <w:overflowPunct/>
        <w:topLinePunct w:val="0"/>
        <w:autoSpaceDE/>
        <w:autoSpaceDN/>
        <w:bidi w:val="0"/>
        <w:spacing w:line="240" w:lineRule="auto"/>
        <w:jc w:val="both"/>
        <w:rPr>
          <w:rFonts w:hint="eastAsia" w:ascii="宋体" w:hAnsi="宋体" w:eastAsia="宋体" w:cs="宋体"/>
          <w:b w:val="0"/>
          <w:bCs w:val="0"/>
          <w:color w:val="auto"/>
          <w:sz w:val="28"/>
          <w:szCs w:val="28"/>
          <w:highlight w:val="none"/>
          <w:lang w:val="en-US" w:eastAsia="zh-CN"/>
        </w:rPr>
      </w:pPr>
    </w:p>
    <w:p>
      <w:pPr>
        <w:pStyle w:val="7"/>
        <w:keepNext w:val="0"/>
        <w:keepLines w:val="0"/>
        <w:pageBreakBefore w:val="0"/>
        <w:kinsoku/>
        <w:wordWrap/>
        <w:overflowPunct/>
        <w:topLinePunct w:val="0"/>
        <w:autoSpaceDE/>
        <w:autoSpaceDN/>
        <w:bidi w:val="0"/>
        <w:spacing w:line="240" w:lineRule="auto"/>
        <w:jc w:val="both"/>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lang w:val="en-US" w:eastAsia="zh-CN"/>
        </w:rPr>
        <w:t>2、</w:t>
      </w:r>
      <w:r>
        <w:rPr>
          <w:rFonts w:hint="eastAsia" w:ascii="宋体" w:hAnsi="宋体" w:eastAsia="宋体" w:cs="宋体"/>
          <w:b w:val="0"/>
          <w:bCs w:val="0"/>
          <w:color w:val="auto"/>
          <w:sz w:val="28"/>
          <w:szCs w:val="28"/>
          <w:highlight w:val="none"/>
        </w:rPr>
        <w:t>废水治理设施</w:t>
      </w:r>
    </w:p>
    <w:tbl>
      <w:tblPr>
        <w:tblStyle w:val="9"/>
        <w:tblW w:w="9379" w:type="dxa"/>
        <w:tblInd w:w="-3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
        <w:gridCol w:w="1939"/>
        <w:gridCol w:w="1800"/>
        <w:gridCol w:w="3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987" w:type="dxa"/>
            <w:vAlign w:val="center"/>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设施名称</w:t>
            </w:r>
          </w:p>
        </w:tc>
        <w:tc>
          <w:tcPr>
            <w:tcW w:w="1939" w:type="dxa"/>
            <w:vAlign w:val="center"/>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处理方法</w:t>
            </w:r>
          </w:p>
        </w:tc>
        <w:tc>
          <w:tcPr>
            <w:tcW w:w="1800" w:type="dxa"/>
            <w:vAlign w:val="center"/>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处理能力</w:t>
            </w:r>
          </w:p>
        </w:tc>
        <w:tc>
          <w:tcPr>
            <w:tcW w:w="3653" w:type="dxa"/>
            <w:vAlign w:val="center"/>
          </w:tcPr>
          <w:p>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处理工艺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3" w:hRule="atLeast"/>
        </w:trPr>
        <w:tc>
          <w:tcPr>
            <w:tcW w:w="1987"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粗格栅、细格栅、提升泵房、沉砂池、氧化沟、配水井、二沉池、二次泵房、高效沉淀池、反硝化深床滤池，接触消毒池</w:t>
            </w:r>
          </w:p>
        </w:tc>
        <w:tc>
          <w:tcPr>
            <w:tcW w:w="1939"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物理处理法+生物处理法+化学处理法</w:t>
            </w:r>
          </w:p>
        </w:tc>
        <w:tc>
          <w:tcPr>
            <w:tcW w:w="1800"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2.25万吨/日</w:t>
            </w:r>
          </w:p>
        </w:tc>
        <w:tc>
          <w:tcPr>
            <w:tcW w:w="3653"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氧化沟+二沉池+高效沉淀池+反硝化深床滤池+接触消毒池</w:t>
            </w:r>
          </w:p>
        </w:tc>
      </w:tr>
    </w:tbl>
    <w:p>
      <w:pPr>
        <w:pStyle w:val="18"/>
        <w:spacing w:line="240" w:lineRule="auto"/>
        <w:ind w:left="-420" w:leftChars="-200" w:firstLine="560"/>
        <w:outlineLvl w:val="1"/>
        <w:rPr>
          <w:rFonts w:ascii="宋体" w:hAnsi="宋体"/>
          <w:b/>
          <w:bCs/>
          <w:sz w:val="28"/>
          <w:szCs w:val="28"/>
          <w:highlight w:val="none"/>
          <w:lang w:val="en-US"/>
        </w:rPr>
      </w:pPr>
      <w:r>
        <w:rPr>
          <w:rFonts w:hint="eastAsia" w:ascii="宋体" w:hAnsi="宋体"/>
          <w:b/>
          <w:bCs/>
          <w:sz w:val="28"/>
          <w:szCs w:val="28"/>
          <w:highlight w:val="none"/>
          <w:lang w:val="en-US"/>
        </w:rPr>
        <w:t>六、样品采集和保存</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1、样品的采样按照《污水监测技术规范》HJ91.1-2019执行。</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1.1采样时应保证采样点的位置准确。</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1.2认真填写采样记录表，字迹应端正清晰，保证采样按时、准确、安全。</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1.3测定油类的水样，应在水面至水面下300 毫米采集柱状水样，并单独采样，全部用于测定。采样瓶不能用采集的水样冲洗。</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1.4测溶解氧、五日生化需氧量和有机污染物等项目时的水样，必须注满容器，不留空间，并用蒸馏水封口。</w:t>
      </w:r>
    </w:p>
    <w:p>
      <w:pPr>
        <w:pStyle w:val="18"/>
        <w:spacing w:line="240" w:lineRule="auto"/>
        <w:ind w:left="-420" w:leftChars="-200" w:firstLine="560"/>
        <w:outlineLvl w:val="1"/>
        <w:rPr>
          <w:rFonts w:hint="eastAsia" w:ascii="宋体" w:hAnsi="宋体"/>
          <w:sz w:val="28"/>
          <w:szCs w:val="28"/>
          <w:lang w:val="en-US"/>
        </w:rPr>
      </w:pPr>
      <w:r>
        <w:rPr>
          <w:rFonts w:hint="eastAsia" w:ascii="宋体" w:hAnsi="宋体"/>
          <w:sz w:val="28"/>
          <w:szCs w:val="28"/>
          <w:lang w:val="en-US"/>
        </w:rPr>
        <w:t>1.5测</w:t>
      </w:r>
      <w:r>
        <w:rPr>
          <w:rFonts w:hint="eastAsia" w:ascii="宋体" w:hAnsi="宋体"/>
          <w:sz w:val="28"/>
          <w:szCs w:val="28"/>
          <w:highlight w:val="none"/>
          <w:lang w:val="en-US"/>
        </w:rPr>
        <w:t>定</w:t>
      </w:r>
      <w:r>
        <w:rPr>
          <w:rFonts w:hint="eastAsia" w:ascii="宋体" w:hAnsi="宋体"/>
          <w:sz w:val="28"/>
          <w:szCs w:val="28"/>
          <w:highlight w:val="none"/>
          <w:lang w:val="en-US" w:eastAsia="zh-CN"/>
        </w:rPr>
        <w:t>水温、pH值、色度、</w:t>
      </w:r>
      <w:r>
        <w:rPr>
          <w:rFonts w:hint="eastAsia" w:ascii="宋体" w:hAnsi="宋体"/>
          <w:sz w:val="28"/>
          <w:szCs w:val="28"/>
          <w:highlight w:val="none"/>
          <w:lang w:val="en-US"/>
        </w:rPr>
        <w:t>油类、五日生化需氧量、溶解氧、硫化物、余氯、粪大肠菌群、悬浮物、放射性等项目要单独采样</w:t>
      </w:r>
      <w:r>
        <w:rPr>
          <w:rFonts w:hint="eastAsia" w:ascii="宋体" w:hAnsi="宋体"/>
          <w:sz w:val="28"/>
          <w:szCs w:val="28"/>
          <w:lang w:val="en-US"/>
        </w:rPr>
        <w:t>。</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1.6在采样期间必须避免样品受到污染。应该考虑到所有可能的污染来源，必须采取适当的控制措施以避免污染。</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2、样品的保存按照HJ91.1-2019执行。</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2.1各种水质的水样，从采集到分析这段时间内，由于物理的、化学的、生物的作用会发生不同程度的变化，这些变化使得进行分析时的样品已不再是采样时的样品，为了使这种变化降低到最小的程度，必须在采样时对样品加以保护。</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2.2最大限度地防止容器及瓶塞对样品的污染。</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2.3容器壁应易于清洗、处理，以减少如重金属或放射性核类的微量元素对容器的表面污染。</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2.4容器或容器塞的化学和生物性质应该是惰性的，以防止容器与样品组分发生反应。如测氟时，水样不能贮于玻璃瓶中，因为玻璃与氟化物发生反应。</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2.5防止容器吸收或吸附待测组分，引起待测组分浓度的变化。微量金属易于受这些因素的影响，其他如清洁剂、杀虫剂、磷酸盐同样也受到影响。</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3、地表水与废气的采集及保存方法</w:t>
      </w:r>
    </w:p>
    <w:p>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3.1、地表水的采集按照</w:t>
      </w:r>
      <w:r>
        <w:rPr>
          <w:rFonts w:hint="eastAsia" w:ascii="宋体" w:hAnsi="宋体"/>
          <w:sz w:val="28"/>
          <w:szCs w:val="28"/>
          <w:highlight w:val="none"/>
          <w:lang w:val="en-US"/>
        </w:rPr>
        <w:t>《地表水</w:t>
      </w:r>
      <w:r>
        <w:rPr>
          <w:rFonts w:hint="eastAsia" w:ascii="宋体" w:hAnsi="宋体"/>
          <w:sz w:val="28"/>
          <w:szCs w:val="28"/>
          <w:highlight w:val="none"/>
          <w:lang w:val="en-US" w:eastAsia="zh-CN"/>
        </w:rPr>
        <w:t>环境质量监测技术规范</w:t>
      </w:r>
      <w:r>
        <w:rPr>
          <w:rFonts w:hint="eastAsia" w:ascii="宋体" w:hAnsi="宋体"/>
          <w:sz w:val="28"/>
          <w:szCs w:val="28"/>
          <w:highlight w:val="none"/>
          <w:lang w:val="en-US"/>
        </w:rPr>
        <w:t>》HJ 91</w:t>
      </w:r>
      <w:r>
        <w:rPr>
          <w:rFonts w:hint="eastAsia" w:ascii="宋体" w:hAnsi="宋体"/>
          <w:sz w:val="28"/>
          <w:szCs w:val="28"/>
          <w:highlight w:val="none"/>
          <w:lang w:val="en-US" w:eastAsia="zh-CN"/>
        </w:rPr>
        <w:t>.2</w:t>
      </w:r>
      <w:r>
        <w:rPr>
          <w:rFonts w:hint="eastAsia" w:ascii="宋体" w:hAnsi="宋体"/>
          <w:sz w:val="28"/>
          <w:szCs w:val="28"/>
          <w:highlight w:val="none"/>
          <w:lang w:val="en-US"/>
        </w:rPr>
        <w:t>-20</w:t>
      </w:r>
      <w:r>
        <w:rPr>
          <w:rFonts w:hint="eastAsia" w:ascii="宋体" w:hAnsi="宋体"/>
          <w:sz w:val="28"/>
          <w:szCs w:val="28"/>
          <w:highlight w:val="none"/>
          <w:lang w:val="en-US" w:eastAsia="zh-CN"/>
        </w:rPr>
        <w:t>2</w:t>
      </w:r>
      <w:r>
        <w:rPr>
          <w:rFonts w:hint="eastAsia" w:ascii="宋体" w:hAnsi="宋体"/>
          <w:sz w:val="28"/>
          <w:szCs w:val="28"/>
          <w:highlight w:val="none"/>
          <w:lang w:val="en-US"/>
        </w:rPr>
        <w:t>2</w:t>
      </w:r>
      <w:r>
        <w:rPr>
          <w:rFonts w:hint="eastAsia" w:ascii="宋体" w:hAnsi="宋体"/>
          <w:sz w:val="28"/>
          <w:szCs w:val="28"/>
          <w:highlight w:val="none"/>
        </w:rPr>
        <w:t xml:space="preserve"> 执行，采样方法按照以下要求执行</w:t>
      </w:r>
      <w:r>
        <w:rPr>
          <w:rFonts w:hint="eastAsia" w:ascii="宋体" w:hAnsi="宋体"/>
          <w:sz w:val="28"/>
          <w:szCs w:val="28"/>
        </w:rPr>
        <w:t>。</w:t>
      </w:r>
    </w:p>
    <w:p>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3.1.1、</w:t>
      </w:r>
      <w:r>
        <w:rPr>
          <w:rFonts w:hint="eastAsia" w:ascii="宋体" w:hAnsi="宋体"/>
          <w:sz w:val="28"/>
          <w:szCs w:val="28"/>
        </w:rPr>
        <w:t>在同一监测断面分层采样时，应自上而下进行，避免不同层次水体混扰；</w:t>
      </w:r>
    </w:p>
    <w:p>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3.1.2、</w:t>
      </w:r>
      <w:r>
        <w:rPr>
          <w:rFonts w:hint="eastAsia" w:ascii="宋体" w:hAnsi="宋体"/>
          <w:sz w:val="28"/>
          <w:szCs w:val="28"/>
        </w:rPr>
        <w:t>除标准分析方法有特殊要求的监测项目外，采样器、静置容器和样品瓶在使用前应先用水样分别荡洗2～3次；</w:t>
      </w:r>
    </w:p>
    <w:p>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3.1.3、</w:t>
      </w:r>
      <w:r>
        <w:rPr>
          <w:rFonts w:hint="eastAsia" w:ascii="宋体" w:hAnsi="宋体"/>
          <w:sz w:val="28"/>
          <w:szCs w:val="28"/>
        </w:rPr>
        <w:t>采样时不可搅动水底的沉积物。除标准分析方法有特殊要求的监测项目外，采集的水样倒入静置容器中，保证足够用量，自然静置30 min。自然静置时，使用防尘盖遮挡，避免灰尘污染；</w:t>
      </w:r>
    </w:p>
    <w:p>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3.1.4、</w:t>
      </w:r>
      <w:r>
        <w:rPr>
          <w:rFonts w:hint="eastAsia" w:ascii="宋体" w:hAnsi="宋体"/>
          <w:sz w:val="28"/>
          <w:szCs w:val="28"/>
        </w:rPr>
        <w:t>使用虹吸装置取上层不含沉降性固体的水样，移入样品瓶，虹吸装置进水尖嘴应保持插至水样表层50 mm以下位置。</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3.2、废气采集方法。</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3.2.1、有组织排放废气采样</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3.2.1.1、采样位置</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3.2.1.1.1、采样位置应避开对测试人员操作有危险的场所。</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3.2.1.1.2、采样位置应优先选择在垂直管段，应避开气道弯头和断面急剧变化的部位。采样位置应设置在距弯头、阀门、变径管下游方向不小于6倍直径，和距上述部件上游方向不小于3倍直径处。采样断面的气流速度最好在5m/s以上。</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3.2.1.1.3、测试现场空间位置有限，很难满足上述要求时，可选比较适宜的管段采样，但采样断面与弯头等的距离至少是气道直径的1.5倍。</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3.2.1.1.4、对气态污染物，由于混合比较均匀，其采样位置可不受上述规定限制，但应避开涡流区。如果同时测定排气流量，采样位置仍按3.2.1.1.2选取位置。</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3.2.1.1.5、必要时应设置采样平台，采样平台应有足够的工作面积使工作人员安全、方便地操作。平台面积应不小于1.5m</w:t>
      </w:r>
      <w:r>
        <w:rPr>
          <w:rFonts w:hint="eastAsia" w:ascii="宋体" w:hAnsi="宋体"/>
          <w:sz w:val="28"/>
          <w:szCs w:val="28"/>
          <w:vertAlign w:val="superscript"/>
          <w:lang w:val="en-US"/>
        </w:rPr>
        <w:t>2</w:t>
      </w:r>
      <w:r>
        <w:rPr>
          <w:rFonts w:hint="eastAsia" w:ascii="宋体" w:hAnsi="宋体"/>
          <w:sz w:val="28"/>
          <w:szCs w:val="28"/>
          <w:lang w:val="en-US"/>
        </w:rPr>
        <w:t>，并设有高1.1 m的护栏和不低于10cm的脚部挡板，采样平台的承重应不小于200kg/m</w:t>
      </w:r>
      <w:r>
        <w:rPr>
          <w:rFonts w:hint="eastAsia" w:ascii="宋体" w:hAnsi="宋体"/>
          <w:sz w:val="28"/>
          <w:szCs w:val="28"/>
          <w:vertAlign w:val="superscript"/>
          <w:lang w:val="en-US"/>
        </w:rPr>
        <w:t>2</w:t>
      </w:r>
      <w:r>
        <w:rPr>
          <w:rFonts w:hint="eastAsia" w:ascii="宋体" w:hAnsi="宋体"/>
          <w:sz w:val="28"/>
          <w:szCs w:val="28"/>
          <w:lang w:val="en-US"/>
        </w:rPr>
        <w:t>，采样孔距平台面约为1.2m-1.3m。</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3.2.1.2、采样孔</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3.2.1.2.1、在选定的测定位置上开设采样孔，采样孔的内径应不小于80毫米，采样孔管长应不大于50毫米，不使用时应用盖板、堵管或管帽封闭。当采样孔仅用于采集气态污染物时，其内径应不小于40毫米。</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3.2.1.2.2、对正压下输送高温或有毒气体的气道，应采用带有闸板阀的密封采样孔。</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3.2.1.3、采样要求</w:t>
      </w:r>
    </w:p>
    <w:p>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3.2.1.3</w:t>
      </w:r>
      <w:r>
        <w:rPr>
          <w:rFonts w:hint="eastAsia" w:ascii="宋体" w:hAnsi="宋体"/>
          <w:sz w:val="28"/>
          <w:szCs w:val="28"/>
        </w:rPr>
        <w:t>.1、采样前检查气密性时要接干燥瓶，吸收瓶不能接以防倒吸。</w:t>
      </w:r>
    </w:p>
    <w:p>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3.2.1.3</w:t>
      </w:r>
      <w:r>
        <w:rPr>
          <w:rFonts w:hint="eastAsia" w:ascii="宋体" w:hAnsi="宋体"/>
          <w:sz w:val="28"/>
          <w:szCs w:val="28"/>
        </w:rPr>
        <w:t>.2、采样结束后，取下样品，将气体吸收装置进、出口密封，按相应项目的标准监测分析方法要求运送和保存待测样品。</w:t>
      </w:r>
    </w:p>
    <w:p>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3.2.1.3</w:t>
      </w:r>
      <w:r>
        <w:rPr>
          <w:rFonts w:hint="eastAsia" w:ascii="宋体" w:hAnsi="宋体"/>
          <w:sz w:val="28"/>
          <w:szCs w:val="28"/>
        </w:rPr>
        <w:t>.3、用超细玻璃纤维滤膜采样时，应对光线检查滤膜是否有损坏，如有损坏，停止使用。</w:t>
      </w:r>
    </w:p>
    <w:p>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3.2.1.3</w:t>
      </w:r>
      <w:r>
        <w:rPr>
          <w:rFonts w:hint="eastAsia" w:ascii="宋体" w:hAnsi="宋体"/>
          <w:sz w:val="28"/>
          <w:szCs w:val="28"/>
        </w:rPr>
        <w:t>.4、采集气体样品时，注意吸收瓶溶液的颜色，如果未采样已变色，则该样品作废。</w:t>
      </w:r>
    </w:p>
    <w:p>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3.2.1.3</w:t>
      </w:r>
      <w:r>
        <w:rPr>
          <w:rFonts w:hint="eastAsia" w:ascii="宋体" w:hAnsi="宋体"/>
          <w:sz w:val="28"/>
          <w:szCs w:val="28"/>
        </w:rPr>
        <w:t>.5、现场空白样的放置：启动采样气路时，同时将空白样的吸收瓶封口膜打开，气路采样结束时，同时将空白样封口；准备空白滤膜装入切割头中放置在空气中，采样后结束后按照滤膜采样同样方法放入滤膜袋中，运回实验室检测，空白滤膜前后两次称量质量之差应远小于采样滤膜上的颗粒物负载量，否则次批次采样监测数据无效。</w:t>
      </w:r>
    </w:p>
    <w:p>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3.2.1.3</w:t>
      </w:r>
      <w:r>
        <w:rPr>
          <w:rFonts w:hint="eastAsia" w:ascii="宋体" w:hAnsi="宋体"/>
          <w:sz w:val="28"/>
          <w:szCs w:val="28"/>
        </w:rPr>
        <w:t>.6、向采样器中放置和取出滤膜时，应佩戴聚乙烯手套等实验室专用手套（和实验室人员称量滤膜所带的手套相同），使用无锯齿状镊子。</w:t>
      </w:r>
    </w:p>
    <w:p>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3.2.1.3</w:t>
      </w:r>
      <w:r>
        <w:rPr>
          <w:rFonts w:hint="eastAsia" w:ascii="宋体" w:hAnsi="宋体"/>
          <w:sz w:val="28"/>
          <w:szCs w:val="28"/>
        </w:rPr>
        <w:t>.7、采样进气口必须暴露在空气中（箱体盖子可以不盖，几乎不影响吸收液温度）。</w:t>
      </w:r>
    </w:p>
    <w:p>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3.2.1.3</w:t>
      </w:r>
      <w:r>
        <w:rPr>
          <w:rFonts w:hint="eastAsia" w:ascii="宋体" w:hAnsi="宋体"/>
          <w:sz w:val="28"/>
          <w:szCs w:val="28"/>
        </w:rPr>
        <w:t>.8、夏天仪器应尽量避免放置在太阳下暴晒，以防止吸收液蒸发，可将仪器放置于树荫处或适当遮盖。</w:t>
      </w:r>
    </w:p>
    <w:p>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3.2.1.3</w:t>
      </w:r>
      <w:r>
        <w:rPr>
          <w:rFonts w:hint="eastAsia" w:ascii="宋体" w:hAnsi="宋体"/>
          <w:sz w:val="28"/>
          <w:szCs w:val="28"/>
        </w:rPr>
        <w:t>.9、采样器显示的气温和气压未经过校准，不能直接读取，现场气温、气压应由校准过的设备读取。</w:t>
      </w:r>
    </w:p>
    <w:p>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3.2.1.3</w:t>
      </w:r>
      <w:r>
        <w:rPr>
          <w:rFonts w:hint="eastAsia" w:ascii="宋体" w:hAnsi="宋体"/>
          <w:sz w:val="28"/>
          <w:szCs w:val="28"/>
        </w:rPr>
        <w:t>.10、现场记录实况，标况需根据实况计算，实况和标况都要在原始记录中体现。</w:t>
      </w:r>
    </w:p>
    <w:p>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3.2.1.3</w:t>
      </w:r>
      <w:r>
        <w:rPr>
          <w:rFonts w:hint="eastAsia" w:ascii="宋体" w:hAnsi="宋体"/>
          <w:sz w:val="28"/>
          <w:szCs w:val="28"/>
        </w:rPr>
        <w:t>.11、采样记录单上采样人员签字应为2人，其中1人为监督人员。</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3.2.2、</w:t>
      </w:r>
      <w:r>
        <w:rPr>
          <w:rFonts w:hint="eastAsia" w:ascii="宋体" w:hAnsi="宋体"/>
          <w:sz w:val="28"/>
          <w:szCs w:val="28"/>
        </w:rPr>
        <w:t>无组织废气采样按《</w:t>
      </w:r>
      <w:r>
        <w:rPr>
          <w:rFonts w:hint="eastAsia" w:ascii="宋体" w:hAnsi="宋体"/>
          <w:sz w:val="28"/>
          <w:szCs w:val="28"/>
          <w:lang w:val="en-US"/>
        </w:rPr>
        <w:t>大气污染物无组织排放监测技术导则</w:t>
      </w:r>
      <w:r>
        <w:rPr>
          <w:rFonts w:hint="eastAsia" w:ascii="宋体" w:hAnsi="宋体"/>
          <w:sz w:val="28"/>
          <w:szCs w:val="28"/>
        </w:rPr>
        <w:t>》HJ/T 55—2000执行。</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rPr>
        <w:t>3.3、</w:t>
      </w:r>
      <w:r>
        <w:rPr>
          <w:rFonts w:hint="eastAsia" w:ascii="宋体" w:hAnsi="宋体"/>
          <w:sz w:val="28"/>
          <w:szCs w:val="28"/>
          <w:lang w:val="en-US"/>
        </w:rPr>
        <w:t>地表水与废气的保存方法</w:t>
      </w:r>
    </w:p>
    <w:tbl>
      <w:tblPr>
        <w:tblStyle w:val="8"/>
        <w:tblW w:w="8100" w:type="dxa"/>
        <w:tblInd w:w="93" w:type="dxa"/>
        <w:tblLayout w:type="autofit"/>
        <w:tblCellMar>
          <w:top w:w="0" w:type="dxa"/>
          <w:left w:w="108" w:type="dxa"/>
          <w:bottom w:w="0" w:type="dxa"/>
          <w:right w:w="108" w:type="dxa"/>
        </w:tblCellMar>
      </w:tblPr>
      <w:tblGrid>
        <w:gridCol w:w="1796"/>
        <w:gridCol w:w="2391"/>
        <w:gridCol w:w="3913"/>
      </w:tblGrid>
      <w:tr>
        <w:trPr>
          <w:trHeight w:val="285" w:hRule="atLeast"/>
        </w:trPr>
        <w:tc>
          <w:tcPr>
            <w:tcW w:w="1796" w:type="dxa"/>
            <w:tcBorders>
              <w:top w:val="single" w:color="000000" w:sz="8" w:space="0"/>
              <w:left w:val="single" w:color="000000" w:sz="8" w:space="0"/>
              <w:bottom w:val="nil"/>
              <w:right w:val="single" w:color="000000" w:sz="8"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样品类别</w:t>
            </w:r>
          </w:p>
        </w:tc>
        <w:tc>
          <w:tcPr>
            <w:tcW w:w="2391" w:type="dxa"/>
            <w:tcBorders>
              <w:top w:val="single" w:color="000000" w:sz="8" w:space="0"/>
              <w:left w:val="single" w:color="000000" w:sz="8" w:space="0"/>
              <w:bottom w:val="nil"/>
              <w:right w:val="single" w:color="000000" w:sz="8"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检测项目</w:t>
            </w:r>
          </w:p>
        </w:tc>
        <w:tc>
          <w:tcPr>
            <w:tcW w:w="3913" w:type="dxa"/>
            <w:tcBorders>
              <w:top w:val="single" w:color="000000" w:sz="8" w:space="0"/>
              <w:left w:val="single" w:color="000000" w:sz="8" w:space="0"/>
              <w:bottom w:val="nil"/>
              <w:right w:val="single" w:color="000000" w:sz="8" w:space="0"/>
            </w:tcBorders>
            <w:shd w:val="clear" w:color="auto" w:fill="auto"/>
          </w:tcPr>
          <w:p>
            <w:pPr>
              <w:widowControl/>
              <w:ind w:firstLine="480" w:firstLineChars="200"/>
              <w:jc w:val="center"/>
              <w:textAlignment w:val="top"/>
              <w:rPr>
                <w:rFonts w:ascii="宋体" w:hAnsi="宋体" w:eastAsia="宋体" w:cs="宋体"/>
                <w:color w:val="000000"/>
                <w:sz w:val="24"/>
                <w:szCs w:val="24"/>
              </w:rPr>
            </w:pPr>
            <w:r>
              <w:rPr>
                <w:rFonts w:hint="eastAsia" w:ascii="宋体" w:hAnsi="宋体" w:eastAsia="宋体" w:cs="宋体"/>
                <w:color w:val="000000"/>
                <w:kern w:val="0"/>
                <w:sz w:val="24"/>
                <w:szCs w:val="24"/>
              </w:rPr>
              <w:t>保存方式</w:t>
            </w:r>
          </w:p>
        </w:tc>
      </w:tr>
      <w:tr>
        <w:tblPrEx>
          <w:tblCellMar>
            <w:top w:w="0" w:type="dxa"/>
            <w:left w:w="108" w:type="dxa"/>
            <w:bottom w:w="0" w:type="dxa"/>
            <w:right w:w="108" w:type="dxa"/>
          </w:tblCellMar>
        </w:tblPrEx>
        <w:trPr>
          <w:trHeight w:val="285" w:hRule="atLeast"/>
        </w:trPr>
        <w:tc>
          <w:tcPr>
            <w:tcW w:w="17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地表水</w:t>
            </w: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PH值</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rFonts w:ascii="宋体" w:hAnsi="宋体" w:eastAsia="宋体" w:cs="宋体"/>
                <w:color w:val="000000"/>
                <w:sz w:val="24"/>
                <w:szCs w:val="24"/>
              </w:rPr>
            </w:pPr>
            <w:r>
              <w:rPr>
                <w:rFonts w:hint="eastAsia" w:ascii="宋体" w:hAnsi="宋体" w:eastAsia="宋体" w:cs="宋体"/>
                <w:color w:val="000000"/>
                <w:kern w:val="0"/>
                <w:sz w:val="24"/>
                <w:szCs w:val="24"/>
              </w:rPr>
              <w:t>采集后立即密封保存，尽量现场测定</w:t>
            </w:r>
          </w:p>
        </w:tc>
      </w:tr>
      <w:tr>
        <w:tblPrEx>
          <w:tblCellMar>
            <w:top w:w="0" w:type="dxa"/>
            <w:left w:w="108" w:type="dxa"/>
            <w:bottom w:w="0" w:type="dxa"/>
            <w:right w:w="108" w:type="dxa"/>
          </w:tblCellMar>
        </w:tblPrEx>
        <w:trPr>
          <w:trHeight w:val="28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rFonts w:ascii="宋体" w:hAnsi="宋体" w:eastAsia="宋体" w:cs="宋体"/>
                <w:color w:val="000000"/>
                <w:sz w:val="24"/>
                <w:szCs w:val="24"/>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悬浮物</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rFonts w:ascii="宋体" w:hAnsi="宋体" w:eastAsia="宋体" w:cs="宋体"/>
                <w:color w:val="000000"/>
                <w:sz w:val="24"/>
                <w:szCs w:val="24"/>
              </w:rPr>
            </w:pPr>
            <w:r>
              <w:rPr>
                <w:rFonts w:hint="eastAsia" w:ascii="宋体" w:hAnsi="宋体" w:eastAsia="宋体" w:cs="宋体"/>
                <w:color w:val="000000"/>
                <w:kern w:val="0"/>
                <w:sz w:val="24"/>
                <w:szCs w:val="24"/>
              </w:rPr>
              <w:t>冷藏，避光</w:t>
            </w:r>
          </w:p>
        </w:tc>
      </w:tr>
      <w:tr>
        <w:tblPrEx>
          <w:tblCellMar>
            <w:top w:w="0" w:type="dxa"/>
            <w:left w:w="108" w:type="dxa"/>
            <w:bottom w:w="0" w:type="dxa"/>
            <w:right w:w="108" w:type="dxa"/>
          </w:tblCellMar>
        </w:tblPrEx>
        <w:trPr>
          <w:trHeight w:val="31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rFonts w:ascii="宋体" w:hAnsi="宋体" w:eastAsia="宋体" w:cs="宋体"/>
                <w:color w:val="000000"/>
                <w:sz w:val="24"/>
                <w:szCs w:val="24"/>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化学需氧量</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rFonts w:ascii="宋体" w:hAnsi="宋体" w:eastAsia="宋体" w:cs="宋体"/>
                <w:color w:val="000000"/>
                <w:sz w:val="24"/>
                <w:szCs w:val="24"/>
              </w:rPr>
            </w:pPr>
            <w:r>
              <w:rPr>
                <w:rFonts w:hint="eastAsia" w:ascii="宋体" w:hAnsi="宋体" w:eastAsia="宋体" w:cs="宋体"/>
                <w:color w:val="000000"/>
                <w:kern w:val="0"/>
                <w:sz w:val="24"/>
                <w:szCs w:val="24"/>
              </w:rPr>
              <w:t>用硫酸酸化，</w:t>
            </w:r>
            <w:r>
              <w:rPr>
                <w:rFonts w:ascii="Calibri" w:hAnsi="Calibri" w:eastAsia="宋体" w:cs="Calibri"/>
                <w:color w:val="000000"/>
                <w:kern w:val="0"/>
                <w:sz w:val="24"/>
                <w:szCs w:val="24"/>
              </w:rPr>
              <w:t>pH</w:t>
            </w:r>
            <w:r>
              <w:rPr>
                <w:rFonts w:hint="eastAsia" w:ascii="宋体" w:hAnsi="宋体" w:eastAsia="宋体" w:cs="宋体"/>
                <w:color w:val="000000"/>
                <w:kern w:val="0"/>
                <w:sz w:val="24"/>
                <w:szCs w:val="24"/>
              </w:rPr>
              <w:t>≤</w:t>
            </w:r>
            <w:r>
              <w:rPr>
                <w:rFonts w:ascii="Calibri" w:hAnsi="Calibri" w:eastAsia="宋体" w:cs="Calibri"/>
                <w:color w:val="000000"/>
                <w:kern w:val="0"/>
                <w:sz w:val="24"/>
                <w:szCs w:val="24"/>
              </w:rPr>
              <w:t>2</w:t>
            </w:r>
          </w:p>
        </w:tc>
      </w:tr>
      <w:tr>
        <w:tblPrEx>
          <w:tblCellMar>
            <w:top w:w="0" w:type="dxa"/>
            <w:left w:w="108" w:type="dxa"/>
            <w:bottom w:w="0" w:type="dxa"/>
            <w:right w:w="108" w:type="dxa"/>
          </w:tblCellMar>
        </w:tblPrEx>
        <w:trPr>
          <w:trHeight w:val="31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rFonts w:ascii="宋体" w:hAnsi="宋体" w:eastAsia="宋体" w:cs="宋体"/>
                <w:color w:val="000000"/>
                <w:sz w:val="24"/>
                <w:szCs w:val="24"/>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五日生化需氧量</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rFonts w:ascii="Calibri" w:hAnsi="Calibri" w:eastAsia="宋体" w:cs="Calibri"/>
                <w:color w:val="000000"/>
                <w:sz w:val="24"/>
                <w:szCs w:val="24"/>
              </w:rPr>
            </w:pPr>
            <w:r>
              <w:rPr>
                <w:rFonts w:ascii="Calibri" w:hAnsi="Calibri" w:eastAsia="宋体" w:cs="Calibri"/>
                <w:color w:val="000000"/>
                <w:kern w:val="0"/>
                <w:sz w:val="24"/>
                <w:szCs w:val="24"/>
              </w:rPr>
              <w:t>1</w:t>
            </w:r>
            <w:r>
              <w:rPr>
                <w:rFonts w:hint="eastAsia" w:ascii="宋体" w:hAnsi="宋体" w:eastAsia="宋体" w:cs="宋体"/>
                <w:color w:val="000000"/>
                <w:kern w:val="0"/>
                <w:sz w:val="24"/>
                <w:szCs w:val="24"/>
              </w:rPr>
              <w:t>～</w:t>
            </w:r>
            <w:r>
              <w:rPr>
                <w:rFonts w:ascii="Calibri" w:hAnsi="Calibri" w:eastAsia="宋体" w:cs="Calibri"/>
                <w:color w:val="000000"/>
                <w:kern w:val="0"/>
                <w:sz w:val="24"/>
                <w:szCs w:val="24"/>
              </w:rPr>
              <w:t>5</w:t>
            </w:r>
            <w:r>
              <w:rPr>
                <w:rFonts w:hint="eastAsia" w:ascii="宋体" w:hAnsi="宋体" w:eastAsia="宋体" w:cs="宋体"/>
                <w:color w:val="000000"/>
                <w:kern w:val="0"/>
                <w:sz w:val="24"/>
                <w:szCs w:val="24"/>
              </w:rPr>
              <w:t>℃暗处冷藏</w:t>
            </w:r>
          </w:p>
        </w:tc>
      </w:tr>
      <w:tr>
        <w:tblPrEx>
          <w:tblCellMar>
            <w:top w:w="0" w:type="dxa"/>
            <w:left w:w="108" w:type="dxa"/>
            <w:bottom w:w="0" w:type="dxa"/>
            <w:right w:w="108" w:type="dxa"/>
          </w:tblCellMar>
        </w:tblPrEx>
        <w:trPr>
          <w:trHeight w:val="31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rFonts w:ascii="宋体" w:hAnsi="宋体" w:eastAsia="宋体" w:cs="宋体"/>
                <w:color w:val="000000"/>
                <w:sz w:val="24"/>
                <w:szCs w:val="24"/>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氨氮</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rFonts w:ascii="宋体" w:hAnsi="宋体" w:eastAsia="宋体" w:cs="宋体"/>
                <w:color w:val="000000"/>
                <w:sz w:val="24"/>
                <w:szCs w:val="24"/>
              </w:rPr>
            </w:pPr>
            <w:r>
              <w:rPr>
                <w:rFonts w:hint="eastAsia" w:ascii="宋体" w:hAnsi="宋体" w:eastAsia="宋体" w:cs="宋体"/>
                <w:color w:val="000000"/>
                <w:kern w:val="0"/>
                <w:sz w:val="24"/>
                <w:szCs w:val="24"/>
              </w:rPr>
              <w:t>用硫酸酸化，</w:t>
            </w:r>
            <w:r>
              <w:rPr>
                <w:rFonts w:ascii="Calibri" w:hAnsi="Calibri" w:eastAsia="宋体" w:cs="Calibri"/>
                <w:color w:val="000000"/>
                <w:kern w:val="0"/>
                <w:sz w:val="24"/>
                <w:szCs w:val="24"/>
              </w:rPr>
              <w:t>pH</w:t>
            </w:r>
            <w:r>
              <w:rPr>
                <w:rFonts w:hint="eastAsia" w:ascii="宋体" w:hAnsi="宋体" w:eastAsia="宋体" w:cs="宋体"/>
                <w:color w:val="000000"/>
                <w:kern w:val="0"/>
                <w:sz w:val="24"/>
                <w:szCs w:val="24"/>
              </w:rPr>
              <w:t>≤</w:t>
            </w:r>
            <w:r>
              <w:rPr>
                <w:rFonts w:ascii="Calibri" w:hAnsi="Calibri" w:eastAsia="宋体" w:cs="Calibri"/>
                <w:color w:val="000000"/>
                <w:kern w:val="0"/>
                <w:sz w:val="24"/>
                <w:szCs w:val="24"/>
              </w:rPr>
              <w:t>2</w:t>
            </w:r>
          </w:p>
        </w:tc>
      </w:tr>
      <w:tr>
        <w:tblPrEx>
          <w:tblCellMar>
            <w:top w:w="0" w:type="dxa"/>
            <w:left w:w="108" w:type="dxa"/>
            <w:bottom w:w="0" w:type="dxa"/>
            <w:right w:w="108" w:type="dxa"/>
          </w:tblCellMar>
        </w:tblPrEx>
        <w:trPr>
          <w:trHeight w:val="31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rFonts w:ascii="宋体" w:hAnsi="宋体" w:eastAsia="宋体" w:cs="宋体"/>
                <w:color w:val="000000"/>
                <w:sz w:val="24"/>
                <w:szCs w:val="24"/>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总磷</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rFonts w:ascii="宋体" w:hAnsi="宋体" w:eastAsia="宋体" w:cs="宋体"/>
                <w:color w:val="000000"/>
                <w:sz w:val="24"/>
                <w:szCs w:val="24"/>
              </w:rPr>
            </w:pPr>
            <w:r>
              <w:rPr>
                <w:rFonts w:hint="eastAsia" w:ascii="宋体" w:hAnsi="宋体" w:eastAsia="宋体" w:cs="宋体"/>
                <w:color w:val="000000"/>
                <w:kern w:val="0"/>
                <w:sz w:val="24"/>
                <w:szCs w:val="24"/>
              </w:rPr>
              <w:t>用硫酸酸化，盐酸酸化至</w:t>
            </w:r>
            <w:r>
              <w:rPr>
                <w:rFonts w:ascii="Calibri" w:hAnsi="Calibri" w:eastAsia="宋体" w:cs="Calibri"/>
                <w:color w:val="000000"/>
                <w:kern w:val="0"/>
                <w:sz w:val="24"/>
                <w:szCs w:val="24"/>
              </w:rPr>
              <w:t>pH</w:t>
            </w:r>
            <w:r>
              <w:rPr>
                <w:rFonts w:hint="eastAsia" w:ascii="宋体" w:hAnsi="宋体" w:eastAsia="宋体" w:cs="宋体"/>
                <w:color w:val="000000"/>
                <w:kern w:val="0"/>
                <w:sz w:val="24"/>
                <w:szCs w:val="24"/>
              </w:rPr>
              <w:t>≤</w:t>
            </w:r>
            <w:r>
              <w:rPr>
                <w:rFonts w:ascii="Calibri" w:hAnsi="Calibri" w:eastAsia="宋体" w:cs="Calibri"/>
                <w:color w:val="000000"/>
                <w:kern w:val="0"/>
                <w:sz w:val="24"/>
                <w:szCs w:val="24"/>
              </w:rPr>
              <w:t>2</w:t>
            </w:r>
          </w:p>
        </w:tc>
      </w:tr>
      <w:tr>
        <w:tblPrEx>
          <w:tblCellMar>
            <w:top w:w="0" w:type="dxa"/>
            <w:left w:w="108" w:type="dxa"/>
            <w:bottom w:w="0" w:type="dxa"/>
            <w:right w:w="108" w:type="dxa"/>
          </w:tblCellMar>
        </w:tblPrEx>
        <w:trPr>
          <w:trHeight w:val="31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rFonts w:ascii="宋体" w:hAnsi="宋体" w:eastAsia="宋体" w:cs="宋体"/>
                <w:color w:val="000000"/>
                <w:sz w:val="24"/>
                <w:szCs w:val="24"/>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总氮</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rFonts w:ascii="宋体" w:hAnsi="宋体" w:eastAsia="宋体" w:cs="宋体"/>
                <w:color w:val="000000"/>
                <w:sz w:val="24"/>
                <w:szCs w:val="24"/>
              </w:rPr>
            </w:pPr>
            <w:r>
              <w:rPr>
                <w:rFonts w:hint="eastAsia" w:ascii="宋体" w:hAnsi="宋体" w:eastAsia="宋体" w:cs="宋体"/>
                <w:color w:val="000000"/>
                <w:kern w:val="0"/>
                <w:sz w:val="24"/>
                <w:szCs w:val="24"/>
              </w:rPr>
              <w:t>用硫酸酸化，</w:t>
            </w:r>
            <w:r>
              <w:rPr>
                <w:rFonts w:ascii="Calibri" w:hAnsi="Calibri" w:eastAsia="宋体" w:cs="Calibri"/>
                <w:color w:val="000000"/>
                <w:kern w:val="0"/>
                <w:sz w:val="24"/>
                <w:szCs w:val="24"/>
              </w:rPr>
              <w:t>pH 1</w:t>
            </w:r>
            <w:r>
              <w:rPr>
                <w:rFonts w:hint="eastAsia" w:ascii="宋体" w:hAnsi="宋体" w:eastAsia="宋体" w:cs="宋体"/>
                <w:color w:val="000000"/>
                <w:kern w:val="0"/>
                <w:sz w:val="24"/>
                <w:szCs w:val="24"/>
              </w:rPr>
              <w:t>～</w:t>
            </w:r>
            <w:r>
              <w:rPr>
                <w:rFonts w:ascii="Calibri" w:hAnsi="Calibri" w:eastAsia="宋体" w:cs="Calibri"/>
                <w:color w:val="000000"/>
                <w:kern w:val="0"/>
                <w:sz w:val="24"/>
                <w:szCs w:val="24"/>
              </w:rPr>
              <w:t>2</w:t>
            </w:r>
          </w:p>
        </w:tc>
      </w:tr>
      <w:tr>
        <w:tblPrEx>
          <w:tblCellMar>
            <w:top w:w="0" w:type="dxa"/>
            <w:left w:w="108" w:type="dxa"/>
            <w:bottom w:w="0" w:type="dxa"/>
            <w:right w:w="108" w:type="dxa"/>
          </w:tblCellMar>
        </w:tblPrEx>
        <w:trPr>
          <w:trHeight w:val="31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rFonts w:ascii="宋体" w:hAnsi="宋体" w:eastAsia="宋体" w:cs="宋体"/>
                <w:color w:val="000000"/>
                <w:sz w:val="24"/>
                <w:szCs w:val="24"/>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石油类</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rFonts w:ascii="宋体" w:hAnsi="宋体" w:eastAsia="宋体" w:cs="宋体"/>
                <w:color w:val="000000"/>
                <w:sz w:val="24"/>
                <w:szCs w:val="24"/>
              </w:rPr>
            </w:pPr>
            <w:r>
              <w:rPr>
                <w:rFonts w:hint="eastAsia" w:ascii="宋体" w:hAnsi="宋体" w:eastAsia="宋体" w:cs="宋体"/>
                <w:color w:val="000000"/>
                <w:kern w:val="0"/>
                <w:sz w:val="24"/>
                <w:szCs w:val="24"/>
              </w:rPr>
              <w:t xml:space="preserve">用 盐酸 酸化至 </w:t>
            </w:r>
            <w:r>
              <w:rPr>
                <w:rFonts w:ascii="Calibri" w:hAnsi="Calibri" w:eastAsia="宋体" w:cs="Calibri"/>
                <w:color w:val="000000"/>
                <w:kern w:val="0"/>
                <w:sz w:val="24"/>
                <w:szCs w:val="24"/>
              </w:rPr>
              <w:t>pH</w:t>
            </w:r>
            <w:r>
              <w:rPr>
                <w:rFonts w:hint="eastAsia" w:ascii="宋体" w:hAnsi="宋体" w:eastAsia="宋体" w:cs="宋体"/>
                <w:color w:val="000000"/>
                <w:kern w:val="0"/>
                <w:sz w:val="24"/>
                <w:szCs w:val="24"/>
              </w:rPr>
              <w:t>≤</w:t>
            </w:r>
            <w:r>
              <w:rPr>
                <w:rFonts w:ascii="Calibri" w:hAnsi="Calibri" w:eastAsia="宋体" w:cs="Calibri"/>
                <w:color w:val="000000"/>
                <w:kern w:val="0"/>
                <w:sz w:val="24"/>
                <w:szCs w:val="24"/>
              </w:rPr>
              <w:t>2</w:t>
            </w:r>
          </w:p>
        </w:tc>
      </w:tr>
      <w:tr>
        <w:tblPrEx>
          <w:tblCellMar>
            <w:top w:w="0" w:type="dxa"/>
            <w:left w:w="108" w:type="dxa"/>
            <w:bottom w:w="0" w:type="dxa"/>
            <w:right w:w="108" w:type="dxa"/>
          </w:tblCellMar>
        </w:tblPrEx>
        <w:trPr>
          <w:trHeight w:val="285" w:hRule="atLeast"/>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rFonts w:ascii="宋体" w:hAnsi="宋体" w:eastAsia="宋体" w:cs="宋体"/>
                <w:color w:val="000000"/>
                <w:sz w:val="24"/>
                <w:szCs w:val="24"/>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余氯</w:t>
            </w:r>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rFonts w:ascii="宋体" w:hAnsi="宋体" w:eastAsia="宋体" w:cs="宋体"/>
                <w:color w:val="000000"/>
                <w:sz w:val="24"/>
                <w:szCs w:val="24"/>
              </w:rPr>
            </w:pPr>
            <w:r>
              <w:rPr>
                <w:rFonts w:hint="eastAsia" w:ascii="宋体" w:hAnsi="宋体" w:eastAsia="宋体" w:cs="宋体"/>
                <w:color w:val="000000"/>
                <w:kern w:val="0"/>
                <w:sz w:val="24"/>
                <w:szCs w:val="24"/>
              </w:rPr>
              <w:t>避光，尽量现场测定</w:t>
            </w:r>
          </w:p>
        </w:tc>
      </w:tr>
      <w:tr>
        <w:tblPrEx>
          <w:tblCellMar>
            <w:top w:w="0" w:type="dxa"/>
            <w:left w:w="108" w:type="dxa"/>
            <w:bottom w:w="0" w:type="dxa"/>
            <w:right w:w="108" w:type="dxa"/>
          </w:tblCellMar>
        </w:tblPrEx>
        <w:trPr>
          <w:trHeight w:val="300" w:hRule="atLeast"/>
        </w:trPr>
        <w:tc>
          <w:tcPr>
            <w:tcW w:w="179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废气</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（有组织和无组织）</w:t>
            </w:r>
          </w:p>
        </w:tc>
        <w:tc>
          <w:tcPr>
            <w:tcW w:w="2391" w:type="dxa"/>
            <w:tcBorders>
              <w:top w:val="nil"/>
              <w:left w:val="single" w:color="000000" w:sz="8" w:space="0"/>
              <w:bottom w:val="single" w:color="000000" w:sz="8" w:space="0"/>
              <w:right w:val="single" w:color="000000" w:sz="8"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氨</w:t>
            </w:r>
          </w:p>
        </w:tc>
        <w:tc>
          <w:tcPr>
            <w:tcW w:w="3913" w:type="dxa"/>
            <w:tcBorders>
              <w:top w:val="nil"/>
              <w:left w:val="single" w:color="000000" w:sz="8" w:space="0"/>
              <w:bottom w:val="single" w:color="000000" w:sz="8" w:space="0"/>
              <w:right w:val="single" w:color="000000" w:sz="8" w:space="0"/>
            </w:tcBorders>
            <w:shd w:val="clear" w:color="auto" w:fill="auto"/>
          </w:tcPr>
          <w:p>
            <w:pPr>
              <w:widowControl/>
              <w:ind w:firstLine="480" w:firstLineChars="200"/>
              <w:jc w:val="center"/>
              <w:textAlignment w:val="top"/>
              <w:rPr>
                <w:rFonts w:ascii="宋体" w:hAnsi="宋体" w:eastAsia="宋体" w:cs="宋体"/>
                <w:color w:val="000000"/>
                <w:sz w:val="24"/>
                <w:szCs w:val="24"/>
              </w:rPr>
            </w:pPr>
            <w:r>
              <w:rPr>
                <w:rFonts w:hint="eastAsia" w:ascii="宋体" w:hAnsi="宋体" w:eastAsia="宋体" w:cs="宋体"/>
                <w:color w:val="000000"/>
                <w:kern w:val="0"/>
                <w:sz w:val="24"/>
                <w:szCs w:val="24"/>
              </w:rPr>
              <w:t>避光，冷藏</w:t>
            </w:r>
          </w:p>
        </w:tc>
      </w:tr>
      <w:tr>
        <w:tblPrEx>
          <w:tblCellMar>
            <w:top w:w="0" w:type="dxa"/>
            <w:left w:w="108" w:type="dxa"/>
            <w:bottom w:w="0" w:type="dxa"/>
            <w:right w:w="108" w:type="dxa"/>
          </w:tblCellMar>
        </w:tblPrEx>
        <w:trPr>
          <w:trHeight w:val="300" w:hRule="atLeast"/>
        </w:trPr>
        <w:tc>
          <w:tcPr>
            <w:tcW w:w="1796" w:type="dxa"/>
            <w:vMerge w:val="continue"/>
            <w:tcBorders>
              <w:top w:val="nil"/>
              <w:left w:val="single" w:color="000000" w:sz="8" w:space="0"/>
              <w:bottom w:val="single" w:color="000000" w:sz="8" w:space="0"/>
              <w:right w:val="single" w:color="000000" w:sz="8" w:space="0"/>
            </w:tcBorders>
            <w:shd w:val="clear" w:color="auto" w:fill="auto"/>
            <w:vAlign w:val="center"/>
          </w:tcPr>
          <w:p>
            <w:pPr>
              <w:ind w:firstLine="480" w:firstLineChars="200"/>
              <w:jc w:val="center"/>
              <w:rPr>
                <w:rFonts w:ascii="宋体" w:hAnsi="宋体" w:eastAsia="宋体" w:cs="宋体"/>
                <w:color w:val="000000"/>
                <w:sz w:val="24"/>
                <w:szCs w:val="24"/>
              </w:rPr>
            </w:pPr>
          </w:p>
        </w:tc>
        <w:tc>
          <w:tcPr>
            <w:tcW w:w="2391" w:type="dxa"/>
            <w:tcBorders>
              <w:top w:val="nil"/>
              <w:left w:val="single" w:color="000000" w:sz="8" w:space="0"/>
              <w:bottom w:val="single" w:color="000000" w:sz="8" w:space="0"/>
              <w:right w:val="single" w:color="000000" w:sz="8"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硫化氢</w:t>
            </w:r>
          </w:p>
        </w:tc>
        <w:tc>
          <w:tcPr>
            <w:tcW w:w="3913" w:type="dxa"/>
            <w:tcBorders>
              <w:top w:val="nil"/>
              <w:left w:val="single" w:color="000000" w:sz="8" w:space="0"/>
              <w:bottom w:val="single" w:color="000000" w:sz="8" w:space="0"/>
              <w:right w:val="single" w:color="000000" w:sz="8" w:space="0"/>
            </w:tcBorders>
            <w:shd w:val="clear" w:color="auto" w:fill="auto"/>
          </w:tcPr>
          <w:p>
            <w:pPr>
              <w:widowControl/>
              <w:ind w:firstLine="480" w:firstLineChars="200"/>
              <w:jc w:val="center"/>
              <w:textAlignment w:val="top"/>
              <w:rPr>
                <w:rFonts w:ascii="宋体" w:hAnsi="宋体" w:eastAsia="宋体" w:cs="宋体"/>
                <w:color w:val="000000"/>
                <w:sz w:val="24"/>
                <w:szCs w:val="24"/>
              </w:rPr>
            </w:pPr>
            <w:r>
              <w:rPr>
                <w:rFonts w:hint="eastAsia" w:ascii="宋体" w:hAnsi="宋体" w:eastAsia="宋体" w:cs="宋体"/>
                <w:color w:val="000000"/>
                <w:kern w:val="0"/>
                <w:sz w:val="24"/>
                <w:szCs w:val="24"/>
              </w:rPr>
              <w:t>避光，冷藏</w:t>
            </w:r>
          </w:p>
        </w:tc>
      </w:tr>
      <w:tr>
        <w:tblPrEx>
          <w:tblCellMar>
            <w:top w:w="0" w:type="dxa"/>
            <w:left w:w="108" w:type="dxa"/>
            <w:bottom w:w="0" w:type="dxa"/>
            <w:right w:w="108" w:type="dxa"/>
          </w:tblCellMar>
        </w:tblPrEx>
        <w:trPr>
          <w:trHeight w:val="300" w:hRule="atLeast"/>
        </w:trPr>
        <w:tc>
          <w:tcPr>
            <w:tcW w:w="1796" w:type="dxa"/>
            <w:vMerge w:val="continue"/>
            <w:tcBorders>
              <w:top w:val="nil"/>
              <w:left w:val="single" w:color="000000" w:sz="8" w:space="0"/>
              <w:bottom w:val="single" w:color="000000" w:sz="8" w:space="0"/>
              <w:right w:val="single" w:color="000000" w:sz="8" w:space="0"/>
            </w:tcBorders>
            <w:shd w:val="clear" w:color="auto" w:fill="auto"/>
            <w:vAlign w:val="center"/>
          </w:tcPr>
          <w:p>
            <w:pPr>
              <w:ind w:firstLine="480" w:firstLineChars="200"/>
              <w:jc w:val="center"/>
              <w:rPr>
                <w:rFonts w:ascii="宋体" w:hAnsi="宋体" w:eastAsia="宋体" w:cs="宋体"/>
                <w:color w:val="000000"/>
                <w:sz w:val="24"/>
                <w:szCs w:val="24"/>
              </w:rPr>
            </w:pPr>
          </w:p>
        </w:tc>
        <w:tc>
          <w:tcPr>
            <w:tcW w:w="2391" w:type="dxa"/>
            <w:tcBorders>
              <w:top w:val="nil"/>
              <w:left w:val="single" w:color="000000" w:sz="8" w:space="0"/>
              <w:bottom w:val="single" w:color="000000" w:sz="8" w:space="0"/>
              <w:right w:val="single" w:color="000000" w:sz="8" w:space="0"/>
            </w:tcBorders>
            <w:shd w:val="clear" w:color="auto" w:fill="auto"/>
            <w:vAlign w:val="center"/>
          </w:tcPr>
          <w:p>
            <w:pPr>
              <w:widowControl/>
              <w:ind w:firstLine="480" w:firstLineChars="200"/>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臭气浓度</w:t>
            </w:r>
          </w:p>
        </w:tc>
        <w:tc>
          <w:tcPr>
            <w:tcW w:w="3913" w:type="dxa"/>
            <w:tcBorders>
              <w:top w:val="nil"/>
              <w:left w:val="single" w:color="000000" w:sz="8" w:space="0"/>
              <w:bottom w:val="single" w:color="000000" w:sz="8" w:space="0"/>
              <w:right w:val="single" w:color="000000" w:sz="8" w:space="0"/>
            </w:tcBorders>
            <w:shd w:val="clear" w:color="auto" w:fill="auto"/>
          </w:tcPr>
          <w:p>
            <w:pPr>
              <w:widowControl/>
              <w:ind w:firstLine="480" w:firstLineChars="200"/>
              <w:jc w:val="center"/>
              <w:textAlignment w:val="top"/>
              <w:rPr>
                <w:rFonts w:ascii="宋体" w:hAnsi="宋体" w:eastAsia="宋体" w:cs="宋体"/>
                <w:color w:val="000000"/>
                <w:sz w:val="24"/>
                <w:szCs w:val="24"/>
              </w:rPr>
            </w:pPr>
            <w:r>
              <w:rPr>
                <w:rFonts w:hint="eastAsia" w:ascii="宋体" w:hAnsi="宋体" w:eastAsia="宋体" w:cs="宋体"/>
                <w:color w:val="000000"/>
                <w:kern w:val="0"/>
                <w:sz w:val="24"/>
                <w:szCs w:val="24"/>
              </w:rPr>
              <w:t>避光，室温</w:t>
            </w:r>
          </w:p>
        </w:tc>
      </w:tr>
    </w:tbl>
    <w:p>
      <w:pPr>
        <w:pStyle w:val="18"/>
        <w:spacing w:line="240" w:lineRule="auto"/>
        <w:ind w:firstLine="0" w:firstLineChars="0"/>
        <w:jc w:val="left"/>
        <w:outlineLvl w:val="1"/>
        <w:rPr>
          <w:rFonts w:ascii="宋体" w:hAnsi="宋体"/>
          <w:b/>
          <w:bCs/>
          <w:sz w:val="28"/>
          <w:szCs w:val="28"/>
          <w:highlight w:val="none"/>
          <w:lang w:val="en-US"/>
        </w:rPr>
      </w:pPr>
      <w:r>
        <w:rPr>
          <w:rFonts w:hint="eastAsia" w:ascii="宋体" w:hAnsi="宋体"/>
          <w:b/>
          <w:bCs/>
          <w:sz w:val="28"/>
          <w:szCs w:val="28"/>
          <w:highlight w:val="none"/>
          <w:lang w:val="en-US"/>
        </w:rPr>
        <w:t>七、监测质量保证与质量控制措施</w:t>
      </w:r>
    </w:p>
    <w:p>
      <w:pPr>
        <w:pStyle w:val="18"/>
        <w:spacing w:line="240" w:lineRule="auto"/>
        <w:ind w:firstLine="0" w:firstLineChars="0"/>
        <w:jc w:val="left"/>
        <w:outlineLvl w:val="1"/>
        <w:rPr>
          <w:rFonts w:ascii="宋体" w:hAnsi="宋体"/>
          <w:sz w:val="28"/>
          <w:szCs w:val="28"/>
        </w:rPr>
      </w:pPr>
      <w:r>
        <w:rPr>
          <w:rFonts w:hint="eastAsia" w:ascii="宋体" w:hAnsi="宋体"/>
          <w:sz w:val="28"/>
          <w:szCs w:val="28"/>
        </w:rPr>
        <w:t>（一）污水厂化验室质量保证与控制措施</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1、质量保证</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1.1、建立质量体系</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严格按照国家认监委国认实〔2016〕33号文件及《检验检测机构资质认证评审准则》要求建立了质量管理体系。由质量负责人主导，进行了宣贯。工作中按照评审准则及公司体系文件要求开展各项检测工作并持续改进质量管理体系。</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从事污水监测的监测人员、监测仪器与设备设施等按</w:t>
      </w:r>
      <w:r>
        <w:rPr>
          <w:rFonts w:hint="eastAsia" w:ascii="宋体" w:hAnsi="宋体"/>
          <w:sz w:val="28"/>
          <w:szCs w:val="28"/>
          <w:lang w:val="en-US"/>
        </w:rPr>
        <w:t xml:space="preserve">《检验检测机构资质认定能力评价 检验监测机构通用要求》RB/T 214-2017、《HJ </w:t>
      </w:r>
      <w:r>
        <w:rPr>
          <w:rFonts w:hint="eastAsia" w:ascii="宋体" w:hAnsi="宋体"/>
          <w:sz w:val="28"/>
          <w:szCs w:val="28"/>
        </w:rPr>
        <w:t>630、HJ/T 373</w:t>
      </w:r>
      <w:r>
        <w:rPr>
          <w:rFonts w:hint="eastAsia" w:ascii="宋体" w:hAnsi="宋体"/>
          <w:sz w:val="28"/>
          <w:szCs w:val="28"/>
          <w:lang w:val="en-US"/>
        </w:rPr>
        <w:t>》</w:t>
      </w:r>
      <w:r>
        <w:rPr>
          <w:rFonts w:hint="eastAsia" w:ascii="宋体" w:hAnsi="宋体"/>
          <w:sz w:val="28"/>
          <w:szCs w:val="28"/>
        </w:rPr>
        <w:t xml:space="preserve"> 等相关内容执行。</w:t>
      </w:r>
    </w:p>
    <w:p>
      <w:pPr>
        <w:pStyle w:val="18"/>
        <w:spacing w:line="240" w:lineRule="auto"/>
        <w:ind w:left="-420" w:leftChars="-200" w:firstLine="560"/>
        <w:outlineLvl w:val="1"/>
        <w:rPr>
          <w:rFonts w:hint="default" w:ascii="宋体" w:hAnsi="宋体" w:eastAsia="宋体"/>
          <w:sz w:val="28"/>
          <w:szCs w:val="28"/>
          <w:u w:val="single"/>
          <w:lang w:val="en-US" w:eastAsia="zh-CN"/>
        </w:rPr>
      </w:pPr>
      <w:r>
        <w:rPr>
          <w:rFonts w:hint="eastAsia" w:ascii="宋体" w:hAnsi="宋体"/>
          <w:sz w:val="28"/>
          <w:szCs w:val="28"/>
          <w:u w:val="single"/>
        </w:rPr>
        <w:t xml:space="preserve">污水厂检测人员: </w:t>
      </w:r>
      <w:r>
        <w:rPr>
          <w:rFonts w:hint="eastAsia" w:ascii="宋体" w:hAnsi="宋体"/>
          <w:sz w:val="28"/>
          <w:szCs w:val="28"/>
          <w:u w:val="single"/>
          <w:lang w:val="en-US" w:eastAsia="zh-CN"/>
        </w:rPr>
        <w:t>赖玮、刘伟、朱丽娟</w:t>
      </w:r>
    </w:p>
    <w:p>
      <w:pPr>
        <w:pStyle w:val="18"/>
        <w:spacing w:line="240" w:lineRule="auto"/>
        <w:ind w:left="-420" w:leftChars="-200" w:firstLine="560"/>
        <w:outlineLvl w:val="1"/>
        <w:rPr>
          <w:rFonts w:ascii="宋体" w:hAnsi="宋体"/>
          <w:sz w:val="28"/>
          <w:szCs w:val="28"/>
          <w:u w:val="none"/>
        </w:rPr>
      </w:pPr>
      <w:r>
        <w:rPr>
          <w:rFonts w:hint="eastAsia" w:ascii="宋体" w:hAnsi="宋体"/>
          <w:sz w:val="28"/>
          <w:szCs w:val="28"/>
          <w:u w:val="single"/>
        </w:rPr>
        <w:t>污水厂主要检测仪器与设备:</w:t>
      </w:r>
      <w:r>
        <w:rPr>
          <w:rFonts w:hint="eastAsia" w:ascii="宋体" w:hAnsi="宋体"/>
          <w:sz w:val="28"/>
          <w:szCs w:val="28"/>
          <w:u w:val="none"/>
        </w:rPr>
        <w:t xml:space="preserve"> 生化培养箱</w:t>
      </w:r>
      <w:r>
        <w:rPr>
          <w:rFonts w:hint="eastAsia" w:ascii="宋体" w:hAnsi="宋体"/>
          <w:sz w:val="28"/>
          <w:szCs w:val="28"/>
          <w:u w:val="none"/>
          <w:lang w:eastAsia="zh-CN"/>
        </w:rPr>
        <w:t>、</w:t>
      </w:r>
      <w:r>
        <w:rPr>
          <w:rFonts w:hint="eastAsia" w:ascii="宋体" w:hAnsi="宋体"/>
          <w:sz w:val="28"/>
          <w:szCs w:val="28"/>
          <w:u w:val="none"/>
        </w:rPr>
        <w:t>高温灭菌器</w:t>
      </w:r>
      <w:r>
        <w:rPr>
          <w:rFonts w:hint="eastAsia" w:ascii="宋体" w:hAnsi="宋体"/>
          <w:sz w:val="28"/>
          <w:szCs w:val="28"/>
          <w:u w:val="none"/>
          <w:lang w:eastAsia="zh-CN"/>
        </w:rPr>
        <w:t>、</w:t>
      </w:r>
      <w:r>
        <w:rPr>
          <w:rFonts w:hint="eastAsia" w:ascii="宋体" w:hAnsi="宋体"/>
          <w:sz w:val="28"/>
          <w:szCs w:val="28"/>
          <w:u w:val="none"/>
        </w:rPr>
        <w:t>COD消解装置</w:t>
      </w:r>
      <w:r>
        <w:rPr>
          <w:rFonts w:hint="eastAsia" w:ascii="宋体" w:hAnsi="宋体"/>
          <w:sz w:val="28"/>
          <w:szCs w:val="28"/>
          <w:u w:val="none"/>
          <w:lang w:eastAsia="zh-CN"/>
        </w:rPr>
        <w:t>、</w:t>
      </w:r>
      <w:r>
        <w:rPr>
          <w:rFonts w:hint="eastAsia" w:ascii="宋体" w:hAnsi="宋体"/>
          <w:sz w:val="28"/>
          <w:szCs w:val="28"/>
          <w:u w:val="none"/>
        </w:rPr>
        <w:t>显微镜（带电子镜头）</w:t>
      </w:r>
      <w:r>
        <w:rPr>
          <w:rFonts w:hint="eastAsia" w:ascii="宋体" w:hAnsi="宋体"/>
          <w:sz w:val="28"/>
          <w:szCs w:val="28"/>
          <w:u w:val="none"/>
          <w:lang w:eastAsia="zh-CN"/>
        </w:rPr>
        <w:t>、</w:t>
      </w:r>
      <w:r>
        <w:rPr>
          <w:rFonts w:hint="eastAsia" w:ascii="宋体" w:hAnsi="宋体"/>
          <w:sz w:val="28"/>
          <w:szCs w:val="28"/>
          <w:u w:val="none"/>
        </w:rPr>
        <w:t>紫外可见光光度计</w:t>
      </w:r>
      <w:r>
        <w:rPr>
          <w:rFonts w:hint="eastAsia" w:ascii="宋体" w:hAnsi="宋体"/>
          <w:sz w:val="28"/>
          <w:szCs w:val="28"/>
          <w:u w:val="none"/>
          <w:lang w:eastAsia="zh-CN"/>
        </w:rPr>
        <w:t>、</w:t>
      </w:r>
      <w:r>
        <w:rPr>
          <w:rFonts w:hint="eastAsia" w:ascii="宋体" w:hAnsi="宋体"/>
          <w:sz w:val="28"/>
          <w:szCs w:val="28"/>
          <w:u w:val="none"/>
        </w:rPr>
        <w:t>万分之一分析天平</w:t>
      </w:r>
      <w:r>
        <w:rPr>
          <w:rFonts w:hint="eastAsia" w:ascii="宋体" w:hAnsi="宋体"/>
          <w:sz w:val="28"/>
          <w:szCs w:val="28"/>
          <w:u w:val="none"/>
          <w:lang w:eastAsia="zh-CN"/>
        </w:rPr>
        <w:t>、</w:t>
      </w:r>
      <w:r>
        <w:rPr>
          <w:rFonts w:hint="eastAsia" w:ascii="宋体" w:hAnsi="宋体"/>
          <w:sz w:val="28"/>
          <w:szCs w:val="28"/>
          <w:u w:val="none"/>
        </w:rPr>
        <w:t>电热恒温干燥箱</w:t>
      </w:r>
      <w:r>
        <w:rPr>
          <w:rFonts w:hint="eastAsia" w:ascii="宋体" w:hAnsi="宋体"/>
          <w:sz w:val="28"/>
          <w:szCs w:val="28"/>
          <w:u w:val="none"/>
          <w:lang w:eastAsia="zh-CN"/>
        </w:rPr>
        <w:t>、</w:t>
      </w:r>
      <w:r>
        <w:rPr>
          <w:rFonts w:hint="eastAsia" w:ascii="宋体" w:hAnsi="宋体"/>
          <w:sz w:val="28"/>
          <w:szCs w:val="28"/>
          <w:u w:val="none"/>
        </w:rPr>
        <w:t>pH计</w:t>
      </w:r>
      <w:r>
        <w:rPr>
          <w:rFonts w:hint="eastAsia" w:ascii="宋体" w:hAnsi="宋体"/>
          <w:sz w:val="28"/>
          <w:szCs w:val="28"/>
          <w:u w:val="none"/>
          <w:lang w:eastAsia="zh-CN"/>
        </w:rPr>
        <w:t>、</w:t>
      </w:r>
      <w:r>
        <w:rPr>
          <w:rFonts w:hint="eastAsia" w:ascii="宋体" w:hAnsi="宋体"/>
          <w:sz w:val="28"/>
          <w:szCs w:val="28"/>
          <w:u w:val="none"/>
        </w:rPr>
        <w:t>箱式电阻炉</w:t>
      </w:r>
      <w:r>
        <w:rPr>
          <w:rFonts w:hint="eastAsia" w:ascii="宋体" w:hAnsi="宋体"/>
          <w:sz w:val="28"/>
          <w:szCs w:val="28"/>
          <w:u w:val="none"/>
          <w:lang w:eastAsia="zh-CN"/>
        </w:rPr>
        <w:t>、</w:t>
      </w:r>
      <w:r>
        <w:rPr>
          <w:rFonts w:hint="eastAsia" w:ascii="宋体" w:hAnsi="宋体"/>
          <w:sz w:val="28"/>
          <w:szCs w:val="28"/>
          <w:u w:val="none"/>
        </w:rPr>
        <w:t>磁力搅拌器</w:t>
      </w:r>
      <w:r>
        <w:rPr>
          <w:rFonts w:hint="eastAsia" w:ascii="宋体" w:hAnsi="宋体"/>
          <w:sz w:val="28"/>
          <w:szCs w:val="28"/>
          <w:u w:val="none"/>
          <w:lang w:eastAsia="zh-CN"/>
        </w:rPr>
        <w:t>、</w:t>
      </w:r>
      <w:r>
        <w:rPr>
          <w:rFonts w:hint="eastAsia" w:ascii="宋体" w:hAnsi="宋体"/>
          <w:sz w:val="28"/>
          <w:szCs w:val="28"/>
          <w:u w:val="none"/>
        </w:rPr>
        <w:t>超纯水机</w:t>
      </w:r>
      <w:r>
        <w:rPr>
          <w:rFonts w:hint="eastAsia" w:ascii="宋体" w:hAnsi="宋体"/>
          <w:sz w:val="28"/>
          <w:szCs w:val="28"/>
          <w:u w:val="none"/>
          <w:lang w:eastAsia="zh-CN"/>
        </w:rPr>
        <w:t>、</w:t>
      </w:r>
      <w:r>
        <w:rPr>
          <w:rFonts w:hint="eastAsia" w:ascii="宋体" w:hAnsi="宋体"/>
          <w:sz w:val="28"/>
          <w:szCs w:val="28"/>
          <w:u w:val="none"/>
        </w:rPr>
        <w:t>千分之一天平</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1.2、监测设施与环境</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 xml:space="preserve"> 公司</w:t>
      </w:r>
      <w:r>
        <w:rPr>
          <w:rFonts w:hint="eastAsia" w:ascii="宋体" w:hAnsi="宋体"/>
          <w:sz w:val="28"/>
          <w:szCs w:val="28"/>
          <w:lang w:val="en-US"/>
        </w:rPr>
        <w:t>具备</w:t>
      </w:r>
      <w:r>
        <w:rPr>
          <w:rFonts w:hint="eastAsia" w:ascii="宋体" w:hAnsi="宋体"/>
          <w:sz w:val="28"/>
          <w:szCs w:val="28"/>
        </w:rPr>
        <w:t>固定的适合开展检测工作的实验场所。配备了适合开展工作的设施及满足检测工作的需要的环境条件。</w:t>
      </w:r>
    </w:p>
    <w:p>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1.3</w:t>
      </w:r>
      <w:r>
        <w:rPr>
          <w:rFonts w:hint="eastAsia" w:ascii="宋体" w:hAnsi="宋体"/>
          <w:sz w:val="28"/>
          <w:szCs w:val="28"/>
        </w:rPr>
        <w:t>、监测仪器设备和实验试剂</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公司监测仪器设备均按照《检验检测机构资质认定评审准则》的以及国家强检计量器具要求进行了检定、校准，在用所有监测仪器设备均在校准（或检定）有效期内；公司实验试剂均按照项目分析方法标准进行采购并验收，确保分析过程中实验试剂适用性，符合监测工作项目分析的需要。</w:t>
      </w:r>
    </w:p>
    <w:p>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1.4</w:t>
      </w:r>
      <w:r>
        <w:rPr>
          <w:rFonts w:hint="eastAsia" w:ascii="宋体" w:hAnsi="宋体"/>
          <w:sz w:val="28"/>
          <w:szCs w:val="28"/>
        </w:rPr>
        <w:t>、监测方法技术能力验证</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按照国家标准分析方法要求，污水厂对检测能力范围内所有项目的检出限、精密度、准确度等指标进行了方法验证，验证结果均符合方法标准要求。</w:t>
      </w:r>
    </w:p>
    <w:p>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2、</w:t>
      </w:r>
      <w:r>
        <w:rPr>
          <w:rFonts w:hint="eastAsia" w:ascii="宋体" w:hAnsi="宋体"/>
          <w:sz w:val="28"/>
          <w:szCs w:val="28"/>
        </w:rPr>
        <w:t>质量控制</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2.1、检测过程质量控制：</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污水厂化验室的质控措施包括全程序空白样、平行样、加标回收或质控样的测定，以及仪器仪表的校准。具体措施如下：</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 xml:space="preserve"> 空白样：化验室对分析的所有污染因子实施全程序空白样，每批样品检测必带空白样检测，以屏蔽其他外在因子对水样分析结果造成影响；</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平行样：对厂部所有分析水样做平行样检测，以减少实验误差对水样结果的影响；</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加标回收或质控样：按检测规范要求，厂部会对检测的污染因子进行加标回收或者质控样品的测定，以验证实验结果的准确性；</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仪器仪表校准：每年定期委托有资质的第三方公司对化验室仪器仪表进行调试校准，并出具校准报告；化验人员按规范对标准曲线和标准物质进行校准和标定，用标准物质对常用仪器如pH计、分光光度计等进行校准并记录。</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（二）第三方检测质量保证与质量控制措施</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1、质量保证：</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1.1、对第三方的检测要求：</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1.1.1、本污水厂委托检测的要求（检测项目、采样点位、检测频率、检测因子），第三方检测单位的检测能力应达到或优于本污水厂的要求，且符合国家有关标准和规范要求；</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1.1.</w:t>
      </w:r>
      <w:r>
        <w:rPr>
          <w:rFonts w:hint="eastAsia" w:ascii="宋体" w:hAnsi="宋体"/>
          <w:sz w:val="28"/>
          <w:szCs w:val="28"/>
          <w:lang w:val="en-US" w:eastAsia="zh-CN"/>
        </w:rPr>
        <w:t>2</w:t>
      </w:r>
      <w:r>
        <w:rPr>
          <w:rFonts w:hint="eastAsia" w:ascii="宋体" w:hAnsi="宋体"/>
          <w:sz w:val="28"/>
          <w:szCs w:val="28"/>
          <w:lang w:val="en-US"/>
        </w:rPr>
        <w:t>、 拥有独立的专项检测实验室；</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1.1.</w:t>
      </w:r>
      <w:r>
        <w:rPr>
          <w:rFonts w:hint="eastAsia" w:ascii="宋体" w:hAnsi="宋体"/>
          <w:sz w:val="28"/>
          <w:szCs w:val="28"/>
          <w:lang w:val="en-US" w:eastAsia="zh-CN"/>
        </w:rPr>
        <w:t>3</w:t>
      </w:r>
      <w:r>
        <w:rPr>
          <w:rFonts w:hint="eastAsia" w:ascii="宋体" w:hAnsi="宋体"/>
          <w:sz w:val="28"/>
          <w:szCs w:val="28"/>
          <w:lang w:val="en-US"/>
        </w:rPr>
        <w:t>、实验室有相关的内部质量控制管理和外部质量控制管理。</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1.1.</w:t>
      </w:r>
      <w:r>
        <w:rPr>
          <w:rFonts w:hint="eastAsia" w:ascii="宋体" w:hAnsi="宋体"/>
          <w:sz w:val="28"/>
          <w:szCs w:val="28"/>
          <w:lang w:val="en-US" w:eastAsia="zh-CN"/>
        </w:rPr>
        <w:t>4</w:t>
      </w:r>
      <w:r>
        <w:rPr>
          <w:rFonts w:hint="eastAsia" w:ascii="宋体" w:hAnsi="宋体"/>
          <w:sz w:val="28"/>
          <w:szCs w:val="28"/>
          <w:lang w:val="en-US"/>
        </w:rPr>
        <w:t>、 需配备实验所需的检测仪器；使用的仪器设备需定期进行检定合格和校准并符合相关要求。</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1.1.</w:t>
      </w:r>
      <w:r>
        <w:rPr>
          <w:rFonts w:hint="eastAsia" w:ascii="宋体" w:hAnsi="宋体"/>
          <w:sz w:val="28"/>
          <w:szCs w:val="28"/>
          <w:lang w:val="en-US" w:eastAsia="zh-CN"/>
        </w:rPr>
        <w:t>5</w:t>
      </w:r>
      <w:r>
        <w:rPr>
          <w:rFonts w:hint="eastAsia" w:ascii="宋体" w:hAnsi="宋体"/>
          <w:sz w:val="28"/>
          <w:szCs w:val="28"/>
          <w:lang w:val="en-US"/>
        </w:rPr>
        <w:t>、按照《水质采样 样品的保存和管理技术规定》HJ493-2009规范要求，保障样品及时进入实验室；</w:t>
      </w:r>
    </w:p>
    <w:p>
      <w:pPr>
        <w:pStyle w:val="18"/>
        <w:spacing w:line="240" w:lineRule="auto"/>
        <w:ind w:left="-420" w:leftChars="-200" w:firstLine="560"/>
        <w:outlineLvl w:val="1"/>
        <w:rPr>
          <w:rFonts w:ascii="宋体" w:hAnsi="宋体"/>
          <w:sz w:val="28"/>
          <w:szCs w:val="28"/>
          <w:highlight w:val="none"/>
          <w:lang w:val="en-US"/>
        </w:rPr>
      </w:pPr>
      <w:r>
        <w:rPr>
          <w:rFonts w:hint="eastAsia" w:ascii="宋体" w:hAnsi="宋体"/>
          <w:sz w:val="28"/>
          <w:szCs w:val="28"/>
          <w:lang w:val="en-US"/>
        </w:rPr>
        <w:t>1.1.</w:t>
      </w:r>
      <w:r>
        <w:rPr>
          <w:rFonts w:hint="eastAsia" w:ascii="宋体" w:hAnsi="宋体"/>
          <w:sz w:val="28"/>
          <w:szCs w:val="28"/>
          <w:lang w:val="en-US" w:eastAsia="zh-CN"/>
        </w:rPr>
        <w:t>6</w:t>
      </w:r>
      <w:r>
        <w:rPr>
          <w:rFonts w:hint="eastAsia" w:ascii="宋体" w:hAnsi="宋体"/>
          <w:sz w:val="28"/>
          <w:szCs w:val="28"/>
          <w:lang w:val="en-US"/>
        </w:rPr>
        <w:t>、</w:t>
      </w:r>
      <w:r>
        <w:rPr>
          <w:rFonts w:hint="eastAsia" w:ascii="宋体" w:hAnsi="宋体"/>
          <w:sz w:val="28"/>
          <w:szCs w:val="28"/>
          <w:highlight w:val="none"/>
          <w:lang w:val="en-US" w:eastAsia="zh-CN"/>
        </w:rPr>
        <w:t>样品</w:t>
      </w:r>
      <w:r>
        <w:rPr>
          <w:rFonts w:hint="eastAsia" w:ascii="宋体" w:hAnsi="宋体"/>
          <w:sz w:val="28"/>
          <w:szCs w:val="28"/>
          <w:highlight w:val="none"/>
          <w:lang w:val="en-US"/>
        </w:rPr>
        <w:t>采样、运输、检测、留样由</w:t>
      </w:r>
      <w:r>
        <w:rPr>
          <w:rFonts w:hint="eastAsia" w:ascii="宋体" w:hAnsi="宋体"/>
          <w:sz w:val="28"/>
          <w:szCs w:val="28"/>
          <w:highlight w:val="none"/>
          <w:lang w:val="en-US" w:eastAsia="zh-CN"/>
        </w:rPr>
        <w:t>第三方检测机构</w:t>
      </w:r>
      <w:r>
        <w:rPr>
          <w:rFonts w:hint="eastAsia" w:ascii="宋体" w:hAnsi="宋体"/>
          <w:sz w:val="28"/>
          <w:szCs w:val="28"/>
          <w:highlight w:val="none"/>
          <w:lang w:val="en-US"/>
        </w:rPr>
        <w:t>自行负责。</w:t>
      </w:r>
    </w:p>
    <w:p>
      <w:pPr>
        <w:pStyle w:val="18"/>
        <w:spacing w:line="240" w:lineRule="auto"/>
        <w:ind w:left="-420" w:leftChars="-200" w:firstLine="560"/>
        <w:outlineLvl w:val="1"/>
        <w:rPr>
          <w:rFonts w:hint="eastAsia" w:ascii="宋体" w:hAnsi="宋体" w:eastAsia="宋体"/>
          <w:sz w:val="28"/>
          <w:szCs w:val="28"/>
          <w:highlight w:val="none"/>
          <w:lang w:val="en-US" w:eastAsia="zh-CN"/>
        </w:rPr>
      </w:pPr>
      <w:r>
        <w:rPr>
          <w:rFonts w:hint="eastAsia" w:ascii="宋体" w:hAnsi="宋体"/>
          <w:sz w:val="28"/>
          <w:szCs w:val="28"/>
          <w:highlight w:val="none"/>
          <w:lang w:val="en-US"/>
        </w:rPr>
        <w:t>1.1.</w:t>
      </w:r>
      <w:r>
        <w:rPr>
          <w:rFonts w:hint="eastAsia" w:ascii="宋体" w:hAnsi="宋体"/>
          <w:sz w:val="28"/>
          <w:szCs w:val="28"/>
          <w:highlight w:val="none"/>
          <w:lang w:val="en-US" w:eastAsia="zh-CN"/>
        </w:rPr>
        <w:t>7</w:t>
      </w:r>
      <w:r>
        <w:rPr>
          <w:rFonts w:hint="eastAsia" w:ascii="宋体" w:hAnsi="宋体"/>
          <w:sz w:val="28"/>
          <w:szCs w:val="28"/>
          <w:highlight w:val="none"/>
          <w:lang w:val="en-US"/>
        </w:rPr>
        <w:t>、</w:t>
      </w:r>
      <w:r>
        <w:rPr>
          <w:rFonts w:hint="eastAsia" w:ascii="宋体" w:hAnsi="宋体"/>
          <w:sz w:val="28"/>
          <w:szCs w:val="28"/>
          <w:highlight w:val="none"/>
          <w:lang w:val="en-US" w:eastAsia="zh-CN"/>
        </w:rPr>
        <w:t>第三方检测机构</w:t>
      </w:r>
      <w:r>
        <w:rPr>
          <w:rStyle w:val="14"/>
          <w:rFonts w:asciiTheme="minorHAnsi" w:hAnsiTheme="minorHAnsi" w:eastAsiaTheme="minorEastAsia" w:cstheme="minorBidi"/>
          <w:highlight w:val="none"/>
          <w:lang w:val="en-US"/>
        </w:rPr>
        <w:commentReference w:id="0"/>
      </w:r>
      <w:r>
        <w:rPr>
          <w:rFonts w:hint="eastAsia" w:ascii="宋体" w:hAnsi="宋体"/>
          <w:sz w:val="28"/>
          <w:szCs w:val="28"/>
          <w:highlight w:val="none"/>
          <w:lang w:val="en-US"/>
        </w:rPr>
        <w:t>采样后，</w:t>
      </w:r>
      <w:r>
        <w:rPr>
          <w:rFonts w:hint="eastAsia" w:ascii="宋体" w:hAnsi="宋体"/>
          <w:sz w:val="28"/>
          <w:szCs w:val="28"/>
          <w:highlight w:val="none"/>
          <w:lang w:val="en-US" w:eastAsia="zh-CN"/>
        </w:rPr>
        <w:t>按</w:t>
      </w:r>
      <w:r>
        <w:rPr>
          <w:rFonts w:hint="eastAsia" w:ascii="宋体" w:hAnsi="宋体"/>
          <w:sz w:val="28"/>
          <w:szCs w:val="28"/>
          <w:highlight w:val="none"/>
          <w:lang w:val="en-US"/>
        </w:rPr>
        <w:t>国家标准要求进行检测、填写原始记录表、出具监测报告并拍照</w:t>
      </w:r>
      <w:r>
        <w:rPr>
          <w:rFonts w:hint="eastAsia" w:ascii="宋体" w:hAnsi="宋体"/>
          <w:sz w:val="28"/>
          <w:szCs w:val="28"/>
          <w:highlight w:val="none"/>
          <w:lang w:val="en-US" w:eastAsia="zh-CN"/>
        </w:rPr>
        <w:t>。</w:t>
      </w:r>
    </w:p>
    <w:p>
      <w:pPr>
        <w:pStyle w:val="4"/>
        <w:rPr>
          <w:rFonts w:hint="eastAsia" w:ascii="宋体" w:hAnsi="宋体" w:eastAsia="宋体" w:cs="宋体"/>
          <w:kern w:val="2"/>
          <w:sz w:val="28"/>
          <w:szCs w:val="28"/>
          <w:highlight w:val="none"/>
          <w:lang w:val="en-US" w:eastAsia="zh-CN" w:bidi="ar-SA"/>
        </w:rPr>
      </w:pPr>
      <w:r>
        <w:rPr>
          <w:rFonts w:hint="eastAsia" w:ascii="宋体" w:hAnsi="宋体"/>
          <w:sz w:val="28"/>
          <w:szCs w:val="28"/>
          <w:highlight w:val="none"/>
          <w:lang w:val="en-US"/>
        </w:rPr>
        <w:t>1.1.</w:t>
      </w:r>
      <w:r>
        <w:rPr>
          <w:rFonts w:hint="eastAsia" w:ascii="宋体" w:hAnsi="宋体"/>
          <w:sz w:val="28"/>
          <w:szCs w:val="28"/>
          <w:highlight w:val="none"/>
          <w:lang w:val="en-US" w:eastAsia="zh-CN"/>
        </w:rPr>
        <w:t>8</w:t>
      </w:r>
      <w:r>
        <w:rPr>
          <w:rFonts w:hint="eastAsia" w:ascii="宋体" w:hAnsi="宋体"/>
          <w:sz w:val="28"/>
          <w:szCs w:val="28"/>
          <w:highlight w:val="none"/>
          <w:lang w:val="en-US"/>
        </w:rPr>
        <w:t>、</w:t>
      </w:r>
      <w:r>
        <w:rPr>
          <w:rFonts w:hint="eastAsia" w:ascii="宋体" w:hAnsi="宋体" w:eastAsia="宋体" w:cs="宋体"/>
          <w:kern w:val="2"/>
          <w:sz w:val="28"/>
          <w:szCs w:val="28"/>
          <w:highlight w:val="none"/>
          <w:lang w:val="en-US" w:eastAsia="zh-CN" w:bidi="ar-SA"/>
        </w:rPr>
        <w:t>第三方检测机构应在合同规定的时间内将每次检测的采样及样品流转记录、检测及原始记录、加盖鲜章的检测报告扫描件发送至指定邮箱并寄送纸质版至我公司。</w:t>
      </w:r>
    </w:p>
    <w:p>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2</w:t>
      </w:r>
      <w:r>
        <w:rPr>
          <w:rFonts w:hint="eastAsia" w:ascii="宋体" w:hAnsi="宋体"/>
          <w:sz w:val="28"/>
          <w:szCs w:val="28"/>
        </w:rPr>
        <w:t>、第三方内部质量控制活动</w:t>
      </w:r>
    </w:p>
    <w:p>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2.1第三方</w:t>
      </w:r>
      <w:r>
        <w:rPr>
          <w:rFonts w:hint="eastAsia" w:ascii="宋体" w:hAnsi="宋体"/>
          <w:sz w:val="28"/>
          <w:szCs w:val="28"/>
        </w:rPr>
        <w:t>内部质量控制技术校核</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（1）每次检测样品前均制作标准曲线或应用标准溶液校准标准曲线。</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（2）定期使用有证标准物质进行内部质量控制活动。</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（3）使用相同或不同的方法进行重复检测。</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（4）分析一个样品的不同特性结果的相关性。</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（5）密码平行样品、加标样品检测等考核。</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（6）对所得检测结果测量不确定度进行评定。</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（7）细菌检测培养基应用参考菌种进行灵敏度实验。</w:t>
      </w:r>
    </w:p>
    <w:p>
      <w:pPr>
        <w:pStyle w:val="18"/>
        <w:spacing w:line="240" w:lineRule="auto"/>
        <w:ind w:left="-420" w:leftChars="-200" w:firstLine="560"/>
        <w:outlineLvl w:val="1"/>
        <w:rPr>
          <w:rFonts w:ascii="宋体" w:hAnsi="宋体"/>
          <w:sz w:val="28"/>
          <w:szCs w:val="28"/>
        </w:rPr>
      </w:pPr>
      <w:r>
        <w:rPr>
          <w:rFonts w:hint="eastAsia" w:ascii="宋体" w:hAnsi="宋体"/>
          <w:sz w:val="28"/>
          <w:szCs w:val="28"/>
          <w:lang w:val="en-US"/>
        </w:rPr>
        <w:t>2.2第三方</w:t>
      </w:r>
      <w:r>
        <w:rPr>
          <w:rFonts w:hint="eastAsia" w:ascii="宋体" w:hAnsi="宋体"/>
          <w:sz w:val="28"/>
          <w:szCs w:val="28"/>
        </w:rPr>
        <w:t>内部质量控制计划</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（1）检测部根据质量控制计划，针对不同检测项目安排开展工作。</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（2）内部开展的一切质控活动的情况均应纳入每年的管理评审，进行评价。</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（3）档案管理员应按质量控制的计划，及时收集有关资料并编号归档保存。</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w:t>
      </w:r>
      <w:r>
        <w:rPr>
          <w:rFonts w:hint="eastAsia" w:ascii="宋体" w:hAnsi="宋体"/>
          <w:sz w:val="28"/>
          <w:szCs w:val="28"/>
          <w:lang w:val="en-US" w:eastAsia="zh-CN"/>
        </w:rPr>
        <w:t>3</w:t>
      </w:r>
      <w:r>
        <w:rPr>
          <w:rFonts w:hint="eastAsia" w:ascii="宋体" w:hAnsi="宋体"/>
          <w:sz w:val="28"/>
          <w:szCs w:val="28"/>
          <w:lang w:val="en-US"/>
        </w:rPr>
        <w:t>、委托方对第三方检测公司的质控措施</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w:t>
      </w:r>
      <w:r>
        <w:rPr>
          <w:rFonts w:hint="eastAsia" w:ascii="宋体" w:hAnsi="宋体"/>
          <w:sz w:val="28"/>
          <w:szCs w:val="28"/>
          <w:lang w:val="en-US" w:eastAsia="zh-CN"/>
        </w:rPr>
        <w:t>3</w:t>
      </w:r>
      <w:r>
        <w:rPr>
          <w:rFonts w:hint="eastAsia" w:ascii="宋体" w:hAnsi="宋体"/>
          <w:sz w:val="28"/>
          <w:szCs w:val="28"/>
          <w:lang w:val="en-US"/>
        </w:rPr>
        <w:t>.1、查看第三方检测公司的CMA资质，需有资质检测委托的相关项目，及相应检测报告、采样及样品流转、原始记录是否符合相关标准规范；</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w:t>
      </w:r>
      <w:r>
        <w:rPr>
          <w:rFonts w:hint="eastAsia" w:ascii="宋体" w:hAnsi="宋体"/>
          <w:sz w:val="28"/>
          <w:szCs w:val="28"/>
          <w:lang w:val="en-US" w:eastAsia="zh-CN"/>
        </w:rPr>
        <w:t>3</w:t>
      </w:r>
      <w:r>
        <w:rPr>
          <w:rFonts w:hint="eastAsia" w:ascii="宋体" w:hAnsi="宋体"/>
          <w:sz w:val="28"/>
          <w:szCs w:val="28"/>
          <w:lang w:val="en-US"/>
        </w:rPr>
        <w:t>.2、查看第三方检测公司CMA认证的实验室，是否配备有相应的仪器设备及人员，所采用的检测方法是否符合相应标准规范的要求；</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w:t>
      </w:r>
      <w:r>
        <w:rPr>
          <w:rFonts w:hint="eastAsia" w:ascii="宋体" w:hAnsi="宋体"/>
          <w:sz w:val="28"/>
          <w:szCs w:val="28"/>
          <w:lang w:val="en-US" w:eastAsia="zh-CN"/>
        </w:rPr>
        <w:t>3</w:t>
      </w:r>
      <w:r>
        <w:rPr>
          <w:rFonts w:hint="eastAsia" w:ascii="宋体" w:hAnsi="宋体"/>
          <w:sz w:val="28"/>
          <w:szCs w:val="28"/>
          <w:lang w:val="en-US"/>
        </w:rPr>
        <w:t>.3、对第三方检测公司实施质控样盲样比对，频次是一年1-3次；</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2.</w:t>
      </w:r>
      <w:r>
        <w:rPr>
          <w:rFonts w:hint="eastAsia" w:ascii="宋体" w:hAnsi="宋体"/>
          <w:sz w:val="28"/>
          <w:szCs w:val="28"/>
          <w:lang w:val="en-US" w:eastAsia="zh-CN"/>
        </w:rPr>
        <w:t>3</w:t>
      </w:r>
      <w:r>
        <w:rPr>
          <w:rFonts w:hint="eastAsia" w:ascii="宋体" w:hAnsi="宋体"/>
          <w:sz w:val="28"/>
          <w:szCs w:val="28"/>
          <w:lang w:val="en-US"/>
        </w:rPr>
        <w:t>.4、查看第三方检测公司对委托检测合同条款的履行情况。</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、检测及结果质量控制</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1、综合部对委托检测协议书、接收样品、唯一性编号标识、检测报告领取等环节进行控制，保证实验室能充分理解客户的检测要求、检测样品的完整性，质量管理部根据委托检测协议书、检测原始记录以及其他相关材料起草检测报告，核查无误。</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.2、检验检测工作由培训合格的、有相关技术能力和专业背景，经本公司能力确认并由最高管理者授权的人员进行。</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.3、使用定期进行检定合格和校准符合要求的仪器设备，用于检验检测活动。按计划开展仪器设备的期间核查工作，保持其原有状态，防止使用不符合技术规范要求的设备。</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.4、尽可能使用有证标准物质，按计划开展标准物质期间核查工作，确保相关检测的结果能够溯源到国家基准。</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.5、对影响检测结果的化学试剂等消耗品进行质量验证，保证其使用不影响最终检测结果和质量。</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.6、定期开展标准查新和更换，保证检测室现场使用的检测标准、作业指导书均为现行有效版本。</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.7、对现场环境条件及设施进行有效监控，保证环境条件和相关设施符合检验检测活动要求。</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4</w:t>
      </w:r>
      <w:r>
        <w:rPr>
          <w:rFonts w:hint="eastAsia" w:ascii="宋体" w:hAnsi="宋体"/>
          <w:sz w:val="28"/>
          <w:szCs w:val="28"/>
        </w:rPr>
        <w:t>.8、检测部质量监督员对涉及检测结果的各项活动进行充分监督，尽可能运用统计技术对实验室的检测结果质量进行控制。</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5</w:t>
      </w:r>
      <w:r>
        <w:rPr>
          <w:rFonts w:hint="eastAsia" w:ascii="宋体" w:hAnsi="宋体"/>
          <w:sz w:val="28"/>
          <w:szCs w:val="28"/>
        </w:rPr>
        <w:t>、检测报告质量控制</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5</w:t>
      </w:r>
      <w:r>
        <w:rPr>
          <w:rFonts w:hint="eastAsia" w:ascii="宋体" w:hAnsi="宋体"/>
          <w:sz w:val="28"/>
          <w:szCs w:val="28"/>
        </w:rPr>
        <w:t>.1、检测报告编制人员、各级报告审查人员检查有关检测记录、检测方法、报告格式、结果判定是否满足要求，授权签字人对报告的正确性负责。</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2.</w:t>
      </w:r>
      <w:r>
        <w:rPr>
          <w:rFonts w:hint="eastAsia" w:ascii="宋体" w:hAnsi="宋体"/>
          <w:sz w:val="28"/>
          <w:szCs w:val="28"/>
          <w:lang w:val="en-US" w:eastAsia="zh-CN"/>
        </w:rPr>
        <w:t>5</w:t>
      </w:r>
      <w:r>
        <w:rPr>
          <w:rFonts w:hint="eastAsia" w:ascii="宋体" w:hAnsi="宋体"/>
          <w:sz w:val="28"/>
          <w:szCs w:val="28"/>
        </w:rPr>
        <w:t>.2、报告检查中，无论哪个环节发现问题，及时反馈，及时纠正，实现对报告质量的有效控制。</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w:t>
      </w:r>
      <w:r>
        <w:rPr>
          <w:rFonts w:hint="eastAsia" w:ascii="宋体" w:hAnsi="宋体"/>
          <w:sz w:val="28"/>
          <w:szCs w:val="28"/>
          <w:lang w:val="en-US"/>
        </w:rPr>
        <w:t>五</w:t>
      </w:r>
      <w:r>
        <w:rPr>
          <w:rFonts w:hint="eastAsia" w:ascii="宋体" w:hAnsi="宋体"/>
          <w:sz w:val="28"/>
          <w:szCs w:val="28"/>
        </w:rPr>
        <w:t>）在线运维质量保证与质量控制措施</w:t>
      </w:r>
    </w:p>
    <w:p>
      <w:pPr>
        <w:pStyle w:val="18"/>
        <w:spacing w:line="240" w:lineRule="auto"/>
        <w:ind w:left="-420" w:leftChars="-200" w:firstLine="560"/>
        <w:outlineLvl w:val="1"/>
        <w:rPr>
          <w:rFonts w:ascii="宋体" w:hAnsi="宋体"/>
          <w:sz w:val="28"/>
          <w:szCs w:val="28"/>
        </w:rPr>
      </w:pPr>
      <w:r>
        <w:rPr>
          <w:rFonts w:hint="eastAsia" w:ascii="宋体" w:hAnsi="宋体"/>
          <w:sz w:val="28"/>
          <w:szCs w:val="28"/>
        </w:rPr>
        <w:t>对水污染源在线监测系统各监测仪每月进行不少于一次手动/自动校准，至少进行一次实际水样比对试验和质控样试验，对上位机数据、仪表数据、数采仪数据、</w:t>
      </w:r>
      <w:r>
        <w:rPr>
          <w:rFonts w:hint="eastAsia" w:ascii="宋体" w:hAnsi="宋体"/>
          <w:sz w:val="28"/>
          <w:szCs w:val="28"/>
          <w:highlight w:val="none"/>
          <w:lang w:val="en-US" w:eastAsia="zh-CN"/>
        </w:rPr>
        <w:t>在线平</w:t>
      </w:r>
      <w:r>
        <w:rPr>
          <w:rFonts w:hint="eastAsia" w:ascii="宋体" w:hAnsi="宋体"/>
          <w:sz w:val="28"/>
          <w:szCs w:val="28"/>
          <w:highlight w:val="none"/>
        </w:rPr>
        <w:t>台</w:t>
      </w:r>
      <w:r>
        <w:rPr>
          <w:rFonts w:hint="eastAsia" w:ascii="宋体" w:hAnsi="宋体"/>
          <w:sz w:val="28"/>
          <w:szCs w:val="28"/>
        </w:rPr>
        <w:t>数据进行不少于一次的一致性比对、校准。</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1、运维技术要求</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对 COD</w:t>
      </w:r>
      <w:r>
        <w:rPr>
          <w:rFonts w:hint="eastAsia" w:ascii="宋体" w:hAnsi="宋体"/>
          <w:sz w:val="28"/>
          <w:szCs w:val="28"/>
          <w:vertAlign w:val="subscript"/>
          <w:lang w:val="en-US"/>
        </w:rPr>
        <w:t>Cr</w:t>
      </w:r>
      <w:r>
        <w:rPr>
          <w:rFonts w:hint="eastAsia" w:ascii="宋体" w:hAnsi="宋体"/>
          <w:sz w:val="28"/>
          <w:szCs w:val="28"/>
          <w:lang w:val="en-US"/>
        </w:rPr>
        <w:t>、TOC、NH</w:t>
      </w:r>
      <w:r>
        <w:rPr>
          <w:rFonts w:hint="eastAsia" w:ascii="宋体" w:hAnsi="宋体"/>
          <w:sz w:val="28"/>
          <w:szCs w:val="28"/>
          <w:vertAlign w:val="subscript"/>
          <w:lang w:val="en-US"/>
        </w:rPr>
        <w:t>3</w:t>
      </w:r>
      <w:r>
        <w:rPr>
          <w:rFonts w:hint="eastAsia" w:ascii="宋体" w:hAnsi="宋体"/>
          <w:sz w:val="28"/>
          <w:szCs w:val="28"/>
          <w:lang w:val="en-US"/>
        </w:rPr>
        <w:t>-N、TP、TN 水质自动分析仪按照 HJ-355 的要求定期进行自动标样核查和自动校准，自动标样核查结果应满足HJ-355表1要求。</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对 COD</w:t>
      </w:r>
      <w:r>
        <w:rPr>
          <w:rFonts w:hint="eastAsia" w:ascii="宋体" w:hAnsi="宋体"/>
          <w:sz w:val="28"/>
          <w:szCs w:val="28"/>
          <w:vertAlign w:val="subscript"/>
          <w:lang w:val="en-US"/>
        </w:rPr>
        <w:t>Cr</w:t>
      </w:r>
      <w:r>
        <w:rPr>
          <w:rFonts w:hint="eastAsia" w:ascii="宋体" w:hAnsi="宋体"/>
          <w:sz w:val="28"/>
          <w:szCs w:val="28"/>
          <w:lang w:val="en-US"/>
        </w:rPr>
        <w:t>、TOC、NH</w:t>
      </w:r>
      <w:r>
        <w:rPr>
          <w:rFonts w:hint="eastAsia" w:ascii="宋体" w:hAnsi="宋体"/>
          <w:sz w:val="28"/>
          <w:szCs w:val="28"/>
          <w:vertAlign w:val="subscript"/>
          <w:lang w:val="en-US"/>
        </w:rPr>
        <w:t>3</w:t>
      </w:r>
      <w:r>
        <w:rPr>
          <w:rFonts w:hint="eastAsia" w:ascii="宋体" w:hAnsi="宋体"/>
          <w:sz w:val="28"/>
          <w:szCs w:val="28"/>
          <w:lang w:val="en-US"/>
        </w:rPr>
        <w:t>-N、TP、TN、pH 水质自动分析仪、温度计及超声波明渠流量计按照HJ-355要求定期进行实际水样比对试验，比对试验结果应满足HJ-355表1的要求，实际水样国家环境监测分析方法标准。</w:t>
      </w:r>
    </w:p>
    <w:p>
      <w:pPr>
        <w:pStyle w:val="18"/>
        <w:spacing w:line="240" w:lineRule="auto"/>
        <w:ind w:left="-420" w:leftChars="-200" w:firstLine="560"/>
        <w:outlineLvl w:val="1"/>
        <w:rPr>
          <w:rFonts w:hint="eastAsia" w:ascii="宋体" w:hAnsi="宋体"/>
          <w:sz w:val="28"/>
          <w:szCs w:val="28"/>
          <w:lang w:val="en-US"/>
        </w:rPr>
      </w:pPr>
      <w:r>
        <w:rPr>
          <w:rFonts w:hint="eastAsia" w:ascii="宋体" w:hAnsi="宋体"/>
          <w:sz w:val="28"/>
          <w:szCs w:val="28"/>
          <w:lang w:val="en-US"/>
        </w:rPr>
        <w:commentReference w:id="1"/>
      </w:r>
      <w:r>
        <w:rPr>
          <w:rFonts w:hint="eastAsia" w:ascii="宋体" w:hAnsi="宋体"/>
          <w:sz w:val="28"/>
          <w:szCs w:val="28"/>
          <w:lang w:val="en-US" w:eastAsia="zh-CN"/>
        </w:rPr>
        <w:t>2</w:t>
      </w:r>
      <w:r>
        <w:rPr>
          <w:rFonts w:hint="eastAsia" w:ascii="宋体" w:hAnsi="宋体"/>
          <w:sz w:val="28"/>
          <w:szCs w:val="28"/>
          <w:lang w:val="en-US"/>
        </w:rPr>
        <w:t>、校验、比对试验和质控样测试工作要求。</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eastAsia="zh-CN"/>
        </w:rPr>
        <w:t>2</w:t>
      </w:r>
      <w:r>
        <w:rPr>
          <w:rFonts w:hint="eastAsia" w:ascii="宋体" w:hAnsi="宋体"/>
          <w:sz w:val="28"/>
          <w:szCs w:val="28"/>
          <w:lang w:val="en-US"/>
        </w:rPr>
        <w:t>.1必要时对设备进行量程漂移、零点漂移和重复性测试。</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rPr>
        <w:t>（1）</w:t>
      </w:r>
      <w:r>
        <w:rPr>
          <w:rFonts w:hint="eastAsia" w:ascii="宋体" w:hAnsi="宋体"/>
          <w:sz w:val="28"/>
          <w:szCs w:val="28"/>
          <w:lang w:val="en-US"/>
        </w:rPr>
        <w:t>COD</w:t>
      </w:r>
      <w:r>
        <w:rPr>
          <w:rFonts w:hint="eastAsia" w:ascii="宋体" w:hAnsi="宋体"/>
          <w:sz w:val="28"/>
          <w:szCs w:val="28"/>
          <w:vertAlign w:val="subscript"/>
          <w:lang w:val="en-US"/>
        </w:rPr>
        <w:t>Cr</w:t>
      </w:r>
      <w:r>
        <w:rPr>
          <w:rFonts w:hint="eastAsia" w:ascii="宋体" w:hAnsi="宋体"/>
          <w:sz w:val="28"/>
          <w:szCs w:val="28"/>
          <w:lang w:val="en-US"/>
        </w:rPr>
        <w:t>自动监测仪的量程漂移、零点漂移和重复性测试方法见HJ377-2019《化学需氧量（COD</w:t>
      </w:r>
      <w:r>
        <w:rPr>
          <w:rFonts w:hint="eastAsia" w:ascii="宋体" w:hAnsi="宋体"/>
          <w:sz w:val="28"/>
          <w:szCs w:val="28"/>
          <w:vertAlign w:val="subscript"/>
          <w:lang w:val="en-US"/>
        </w:rPr>
        <w:t>Cr</w:t>
      </w:r>
      <w:r>
        <w:rPr>
          <w:rFonts w:hint="eastAsia" w:ascii="宋体" w:hAnsi="宋体"/>
          <w:sz w:val="28"/>
          <w:szCs w:val="28"/>
          <w:lang w:val="en-US"/>
        </w:rPr>
        <w:t>）水质在线自动监测仪技术要求及检测方法》。</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rPr>
        <w:t>（</w:t>
      </w:r>
      <w:r>
        <w:rPr>
          <w:rFonts w:hint="eastAsia" w:ascii="宋体" w:hAnsi="宋体"/>
          <w:sz w:val="28"/>
          <w:szCs w:val="28"/>
          <w:lang w:val="en-US"/>
        </w:rPr>
        <w:t>2</w:t>
      </w:r>
      <w:r>
        <w:rPr>
          <w:rFonts w:hint="eastAsia" w:ascii="宋体" w:hAnsi="宋体"/>
          <w:sz w:val="28"/>
          <w:szCs w:val="28"/>
        </w:rPr>
        <w:t>）</w:t>
      </w:r>
      <w:r>
        <w:rPr>
          <w:rFonts w:hint="eastAsia" w:ascii="宋体" w:hAnsi="宋体"/>
          <w:sz w:val="28"/>
          <w:szCs w:val="28"/>
          <w:lang w:val="en-US"/>
        </w:rPr>
        <w:t>氨氮自动监测仪的量程漂移、零点漂移和重复性测试方法详见HJ/T101-2019《氨氮水质在线自动监测仪技术要求及检测方法》</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rPr>
        <w:t>（</w:t>
      </w:r>
      <w:r>
        <w:rPr>
          <w:rFonts w:hint="eastAsia" w:ascii="宋体" w:hAnsi="宋体"/>
          <w:sz w:val="28"/>
          <w:szCs w:val="28"/>
          <w:lang w:val="en-US"/>
        </w:rPr>
        <w:t>3</w:t>
      </w:r>
      <w:r>
        <w:rPr>
          <w:rFonts w:hint="eastAsia" w:ascii="宋体" w:hAnsi="宋体"/>
          <w:sz w:val="28"/>
          <w:szCs w:val="28"/>
        </w:rPr>
        <w:t>）</w:t>
      </w:r>
      <w:r>
        <w:rPr>
          <w:rFonts w:hint="eastAsia" w:ascii="宋体" w:hAnsi="宋体"/>
          <w:sz w:val="28"/>
          <w:szCs w:val="28"/>
          <w:lang w:val="en-US"/>
        </w:rPr>
        <w:t>总磷总氮的量程漂移、零点漂移和重复性测试方法见HJ103-03《总磷水质自动分析仪技术要求》、HJ102-03《总氮水质自动分析仪技术要求》，具体操作参照各仪器使用说明书。</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rPr>
        <w:t>（</w:t>
      </w:r>
      <w:r>
        <w:rPr>
          <w:rFonts w:hint="eastAsia" w:ascii="宋体" w:hAnsi="宋体"/>
          <w:sz w:val="28"/>
          <w:szCs w:val="28"/>
          <w:lang w:val="en-US"/>
        </w:rPr>
        <w:t>4</w:t>
      </w:r>
      <w:r>
        <w:rPr>
          <w:rFonts w:hint="eastAsia" w:ascii="宋体" w:hAnsi="宋体"/>
          <w:sz w:val="28"/>
          <w:szCs w:val="28"/>
        </w:rPr>
        <w:t>）</w:t>
      </w:r>
      <w:r>
        <w:rPr>
          <w:rFonts w:hint="eastAsia" w:ascii="宋体" w:hAnsi="宋体"/>
          <w:sz w:val="28"/>
          <w:szCs w:val="28"/>
          <w:lang w:val="en-US"/>
        </w:rPr>
        <w:t>操作参照各仪器使用说明书。</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eastAsia="zh-CN"/>
        </w:rPr>
        <w:t>3</w:t>
      </w:r>
      <w:r>
        <w:rPr>
          <w:rFonts w:hint="eastAsia" w:ascii="宋体" w:hAnsi="宋体"/>
          <w:sz w:val="28"/>
          <w:szCs w:val="28"/>
          <w:lang w:val="en-US"/>
        </w:rPr>
        <w:t>、与标准方法比对试验</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除流量外，运维人员每月应对每个站点所有自动分析仪至少进行1次自动监测方法与实验室标准方法的比对试验，试验结果应满足HJ 355表1规定的要求。</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eastAsia="zh-CN"/>
        </w:rPr>
        <w:t>4</w:t>
      </w:r>
      <w:r>
        <w:rPr>
          <w:rFonts w:hint="eastAsia" w:ascii="宋体" w:hAnsi="宋体"/>
          <w:sz w:val="28"/>
          <w:szCs w:val="28"/>
          <w:lang w:val="en-US"/>
        </w:rPr>
        <w:t>、质控样试验</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运维人员每月应对每个站点所有自动分析仪至少进行1次质控样试验，采用国家认可的两种浓度的质控样进行试验，一种为接近废水浓度的质控样品，另一种为超过</w:t>
      </w:r>
      <w:r>
        <w:rPr>
          <w:rStyle w:val="14"/>
          <w:rFonts w:asciiTheme="minorHAnsi" w:hAnsiTheme="minorHAnsi" w:eastAsiaTheme="minorEastAsia" w:cstheme="minorBidi"/>
          <w:highlight w:val="none"/>
          <w:lang w:val="en-US"/>
        </w:rPr>
        <w:commentReference w:id="2"/>
      </w:r>
      <w:r>
        <w:rPr>
          <w:rFonts w:hint="eastAsia" w:ascii="宋体" w:hAnsi="宋体"/>
          <w:sz w:val="28"/>
          <w:szCs w:val="28"/>
          <w:highlight w:val="none"/>
          <w:lang w:val="en-US" w:eastAsia="zh-CN"/>
        </w:rPr>
        <w:t>相应</w:t>
      </w:r>
      <w:r>
        <w:rPr>
          <w:rFonts w:hint="eastAsia" w:ascii="宋体" w:hAnsi="宋体"/>
          <w:sz w:val="28"/>
          <w:szCs w:val="28"/>
          <w:lang w:val="en-US"/>
        </w:rPr>
        <w:t>排放标准浓度的质控样品，每种样品至少测定2次，质控样测定的相对误差不大于标准值的±10%。</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eastAsia="zh-CN"/>
        </w:rPr>
        <w:t>5</w:t>
      </w:r>
      <w:r>
        <w:rPr>
          <w:rFonts w:hint="eastAsia" w:ascii="宋体" w:hAnsi="宋体"/>
          <w:sz w:val="28"/>
          <w:szCs w:val="28"/>
          <w:lang w:val="en-US"/>
        </w:rPr>
        <w:t>、有效数据率</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以月为周期，计算每个周期内水污染源在线监测仪实际获得的有效数据的个数占应获得的有效数据的个数的百分比不得小于 90%，有效数据的判定参见 HJ-356 的相关规定。</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eastAsia="zh-CN"/>
        </w:rPr>
        <w:t>6</w:t>
      </w:r>
      <w:r>
        <w:rPr>
          <w:rFonts w:hint="eastAsia" w:ascii="宋体" w:hAnsi="宋体"/>
          <w:sz w:val="28"/>
          <w:szCs w:val="28"/>
          <w:lang w:val="en-US"/>
        </w:rPr>
        <w:t>、其他质量控制要求</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eastAsia="zh-CN"/>
        </w:rPr>
        <w:t>6</w:t>
      </w:r>
      <w:r>
        <w:rPr>
          <w:rFonts w:hint="eastAsia" w:ascii="宋体" w:hAnsi="宋体"/>
          <w:sz w:val="28"/>
          <w:szCs w:val="28"/>
          <w:lang w:val="en-US"/>
        </w:rPr>
        <w:t>.1应按照 HJ-91.1、HJ-493 以及本标准的相关要求对水样分析、自动监测实施质量控制。</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eastAsia="zh-CN"/>
        </w:rPr>
        <w:t>6</w:t>
      </w:r>
      <w:r>
        <w:rPr>
          <w:rFonts w:hint="eastAsia" w:ascii="宋体" w:hAnsi="宋体"/>
          <w:sz w:val="28"/>
          <w:szCs w:val="28"/>
          <w:lang w:val="en-US"/>
        </w:rPr>
        <w:t>.2对某一时段、某些异常水样，应不定期进行平行监测、加密监测和留样比对试验。</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eastAsia="zh-CN"/>
        </w:rPr>
        <w:t>6</w:t>
      </w:r>
      <w:r>
        <w:rPr>
          <w:rFonts w:hint="eastAsia" w:ascii="宋体" w:hAnsi="宋体"/>
          <w:sz w:val="28"/>
          <w:szCs w:val="28"/>
          <w:lang w:val="en-US"/>
        </w:rPr>
        <w:t>.3水污染源在线监测仪器所使用的标准溶液应正确保存且经有证的标准样品验证合格后方可使用。</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 xml:space="preserve">八、监测信息公开 </w:t>
      </w:r>
    </w:p>
    <w:p>
      <w:pPr>
        <w:pStyle w:val="18"/>
        <w:spacing w:line="240" w:lineRule="auto"/>
        <w:ind w:left="-420" w:leftChars="-200" w:firstLine="560"/>
        <w:outlineLvl w:val="1"/>
        <w:rPr>
          <w:rFonts w:ascii="宋体" w:hAnsi="宋体"/>
          <w:sz w:val="28"/>
          <w:szCs w:val="28"/>
          <w:lang w:val="en-US"/>
        </w:rPr>
      </w:pPr>
      <w:r>
        <w:rPr>
          <w:rFonts w:hint="eastAsia" w:ascii="宋体" w:hAnsi="宋体"/>
          <w:sz w:val="28"/>
          <w:szCs w:val="28"/>
          <w:lang w:val="en-US"/>
        </w:rPr>
        <w:t>我公司在省市级环境保护主管部门统一组织建立的公布平台上公开自行监测信息，并至少保存五年。公开内容：企业基础信息和监测数据一并公布，若基础信息和自行监测方案有调整变化时，将在变更后的五日内公布。公开时限：监测数据将于每次监测完成后的次日公布，每年一月底前公布上年度自行监测年度报告。</w:t>
      </w:r>
    </w:p>
    <w:p>
      <w:pPr>
        <w:pStyle w:val="18"/>
        <w:spacing w:line="240" w:lineRule="auto"/>
        <w:ind w:left="-420" w:leftChars="-200" w:firstLine="560"/>
        <w:outlineLvl w:val="1"/>
        <w:rPr>
          <w:rFonts w:ascii="宋体" w:hAnsi="宋体"/>
          <w:sz w:val="28"/>
          <w:szCs w:val="28"/>
          <w:lang w:val="en-US"/>
        </w:rPr>
      </w:pPr>
    </w:p>
    <w:p>
      <w:pPr>
        <w:pStyle w:val="18"/>
        <w:spacing w:line="240" w:lineRule="auto"/>
        <w:ind w:firstLine="560"/>
        <w:rPr>
          <w:rFonts w:ascii="宋体" w:hAnsi="宋体"/>
          <w:sz w:val="28"/>
          <w:szCs w:val="28"/>
        </w:rPr>
      </w:pPr>
    </w:p>
    <w:sectPr>
      <w:footerReference r:id="rId7" w:type="default"/>
      <w:type w:val="continuous"/>
      <w:pgSz w:w="11906" w:h="16838"/>
      <w:pgMar w:top="1440" w:right="1803" w:bottom="1440" w:left="1803" w:header="851" w:footer="992" w:gutter="0"/>
      <w:pgNumType w:fmt="decimal"/>
      <w:cols w:space="0" w:num="1"/>
      <w:docGrid w:type="lines" w:linePitch="319"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2-10-08T15:41:00Z" w:initials="A">
    <w:p w14:paraId="31353643">
      <w:pPr>
        <w:pStyle w:val="4"/>
      </w:pPr>
      <w:r>
        <w:rPr>
          <w:rFonts w:hint="eastAsia"/>
        </w:rPr>
        <w:t>改为“第三方检测机构”</w:t>
      </w:r>
    </w:p>
  </w:comment>
  <w:comment w:id="1" w:author="Administrator" w:date="2022-10-08T16:01:00Z" w:initials="A">
    <w:p w14:paraId="0C095ABB">
      <w:pPr>
        <w:pStyle w:val="4"/>
      </w:pPr>
      <w:r>
        <w:rPr>
          <w:rFonts w:hint="eastAsia"/>
        </w:rPr>
        <w:t>这是HJ/T355-2007的内容，HJ355-2019已取消零漂、量漂、手工校准的内容。</w:t>
      </w:r>
    </w:p>
  </w:comment>
  <w:comment w:id="2" w:author="Administrator" w:date="2022-10-08T16:07:00Z" w:initials="A">
    <w:p w14:paraId="5A8837AC">
      <w:pPr>
        <w:pStyle w:val="4"/>
      </w:pPr>
      <w:r>
        <w:rPr>
          <w:rFonts w:hint="eastAsia"/>
        </w:rPr>
        <w:t>相应</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1353643" w15:done="0"/>
  <w15:commentEx w15:paraId="0C095ABB" w15:done="0"/>
  <w15:commentEx w15:paraId="5A8837A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5"/>
                    </w:pP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6</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6</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6</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6</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74E18C"/>
    <w:multiLevelType w:val="singleLevel"/>
    <w:tmpl w:val="ED74E18C"/>
    <w:lvl w:ilvl="0" w:tentative="0">
      <w:start w:val="1"/>
      <w:numFmt w:val="chineseCounting"/>
      <w:suff w:val="nothing"/>
      <w:lvlText w:val="%1、"/>
      <w:lvlJc w:val="left"/>
      <w:rPr>
        <w:rFonts w:hint="eastAsia"/>
      </w:rPr>
    </w:lvl>
  </w:abstractNum>
  <w:abstractNum w:abstractNumId="1">
    <w:nsid w:val="167E6DF0"/>
    <w:multiLevelType w:val="singleLevel"/>
    <w:tmpl w:val="167E6DF0"/>
    <w:lvl w:ilvl="0" w:tentative="0">
      <w:start w:val="1"/>
      <w:numFmt w:val="decimal"/>
      <w:suff w:val="nothing"/>
      <w:lvlText w:val="%1、"/>
      <w:lvlJc w:val="left"/>
    </w:lvl>
  </w:abstractNum>
  <w:abstractNum w:abstractNumId="2">
    <w:nsid w:val="62686508"/>
    <w:multiLevelType w:val="singleLevel"/>
    <w:tmpl w:val="62686508"/>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YzMWE5ZGQ2YTBlZjc4YzlmNjJmYmYxNzE2ZjRmNTcifQ=="/>
  </w:docVars>
  <w:rsids>
    <w:rsidRoot w:val="00EF740B"/>
    <w:rsid w:val="00064DBF"/>
    <w:rsid w:val="00070C07"/>
    <w:rsid w:val="000B3138"/>
    <w:rsid w:val="000D17F1"/>
    <w:rsid w:val="000E27FE"/>
    <w:rsid w:val="000E651E"/>
    <w:rsid w:val="0010023F"/>
    <w:rsid w:val="001157E8"/>
    <w:rsid w:val="0011743D"/>
    <w:rsid w:val="00183297"/>
    <w:rsid w:val="001A1B94"/>
    <w:rsid w:val="001C7702"/>
    <w:rsid w:val="001F1FD9"/>
    <w:rsid w:val="001F5467"/>
    <w:rsid w:val="002408BC"/>
    <w:rsid w:val="00273D88"/>
    <w:rsid w:val="00275634"/>
    <w:rsid w:val="00292837"/>
    <w:rsid w:val="002D0D64"/>
    <w:rsid w:val="002D4697"/>
    <w:rsid w:val="00366E28"/>
    <w:rsid w:val="003960F7"/>
    <w:rsid w:val="003B0247"/>
    <w:rsid w:val="003F03DA"/>
    <w:rsid w:val="003F6058"/>
    <w:rsid w:val="004122C4"/>
    <w:rsid w:val="00450A96"/>
    <w:rsid w:val="004D0C88"/>
    <w:rsid w:val="004E2685"/>
    <w:rsid w:val="004E39B2"/>
    <w:rsid w:val="004F04D3"/>
    <w:rsid w:val="0050037C"/>
    <w:rsid w:val="00560BAE"/>
    <w:rsid w:val="005862F7"/>
    <w:rsid w:val="005B603E"/>
    <w:rsid w:val="005C2C7D"/>
    <w:rsid w:val="00601C8E"/>
    <w:rsid w:val="00602A42"/>
    <w:rsid w:val="00620980"/>
    <w:rsid w:val="00621748"/>
    <w:rsid w:val="006705C9"/>
    <w:rsid w:val="0068247E"/>
    <w:rsid w:val="006C7931"/>
    <w:rsid w:val="006F2CBE"/>
    <w:rsid w:val="007172D2"/>
    <w:rsid w:val="00783AE4"/>
    <w:rsid w:val="00794811"/>
    <w:rsid w:val="007E24D0"/>
    <w:rsid w:val="007F2EDF"/>
    <w:rsid w:val="00812ABF"/>
    <w:rsid w:val="008140A7"/>
    <w:rsid w:val="00854A45"/>
    <w:rsid w:val="0087052E"/>
    <w:rsid w:val="008771E6"/>
    <w:rsid w:val="008A70AA"/>
    <w:rsid w:val="008B122F"/>
    <w:rsid w:val="008F6D33"/>
    <w:rsid w:val="00903586"/>
    <w:rsid w:val="00907C51"/>
    <w:rsid w:val="00932FB8"/>
    <w:rsid w:val="0093670B"/>
    <w:rsid w:val="009D3F93"/>
    <w:rsid w:val="009F7B33"/>
    <w:rsid w:val="00A355C1"/>
    <w:rsid w:val="00A47A26"/>
    <w:rsid w:val="00A810DF"/>
    <w:rsid w:val="00B30E9A"/>
    <w:rsid w:val="00B719C7"/>
    <w:rsid w:val="00B85BB5"/>
    <w:rsid w:val="00B938E2"/>
    <w:rsid w:val="00BD1F19"/>
    <w:rsid w:val="00BE161C"/>
    <w:rsid w:val="00C1235C"/>
    <w:rsid w:val="00C159AC"/>
    <w:rsid w:val="00C52710"/>
    <w:rsid w:val="00C57ED5"/>
    <w:rsid w:val="00C7554A"/>
    <w:rsid w:val="00CB4920"/>
    <w:rsid w:val="00CC69D7"/>
    <w:rsid w:val="00CF36D2"/>
    <w:rsid w:val="00D00C9C"/>
    <w:rsid w:val="00D56C9B"/>
    <w:rsid w:val="00D92D23"/>
    <w:rsid w:val="00DA06A3"/>
    <w:rsid w:val="00DB0F36"/>
    <w:rsid w:val="00DB2958"/>
    <w:rsid w:val="00DC55A1"/>
    <w:rsid w:val="00DD56DD"/>
    <w:rsid w:val="00E23C7B"/>
    <w:rsid w:val="00E456A9"/>
    <w:rsid w:val="00E60B51"/>
    <w:rsid w:val="00E75DA5"/>
    <w:rsid w:val="00EC7B5F"/>
    <w:rsid w:val="00EF740B"/>
    <w:rsid w:val="00F06454"/>
    <w:rsid w:val="00F631F4"/>
    <w:rsid w:val="00F76805"/>
    <w:rsid w:val="00FB0213"/>
    <w:rsid w:val="00FB4E1C"/>
    <w:rsid w:val="010B6D6F"/>
    <w:rsid w:val="01447266"/>
    <w:rsid w:val="0154099A"/>
    <w:rsid w:val="015F3492"/>
    <w:rsid w:val="021F72E7"/>
    <w:rsid w:val="02471133"/>
    <w:rsid w:val="02A67C7E"/>
    <w:rsid w:val="02C8641C"/>
    <w:rsid w:val="02D90B70"/>
    <w:rsid w:val="02F76F90"/>
    <w:rsid w:val="032F6920"/>
    <w:rsid w:val="036D3B7E"/>
    <w:rsid w:val="03A10CAA"/>
    <w:rsid w:val="03C02F63"/>
    <w:rsid w:val="043B2EAD"/>
    <w:rsid w:val="048F69CA"/>
    <w:rsid w:val="04983E5B"/>
    <w:rsid w:val="04B62455"/>
    <w:rsid w:val="04E21369"/>
    <w:rsid w:val="0518059E"/>
    <w:rsid w:val="05CF1AFF"/>
    <w:rsid w:val="06494BD1"/>
    <w:rsid w:val="06C07F8B"/>
    <w:rsid w:val="06F15AA5"/>
    <w:rsid w:val="06FF4F43"/>
    <w:rsid w:val="07AB53AD"/>
    <w:rsid w:val="0814288D"/>
    <w:rsid w:val="0852358C"/>
    <w:rsid w:val="08CD0A65"/>
    <w:rsid w:val="08DF59C7"/>
    <w:rsid w:val="0919632D"/>
    <w:rsid w:val="09282B92"/>
    <w:rsid w:val="094B5940"/>
    <w:rsid w:val="097239E4"/>
    <w:rsid w:val="09BC49DB"/>
    <w:rsid w:val="0A3211B9"/>
    <w:rsid w:val="0A3960E0"/>
    <w:rsid w:val="0AE43B71"/>
    <w:rsid w:val="0AEC0F9D"/>
    <w:rsid w:val="0B931C26"/>
    <w:rsid w:val="0B96552F"/>
    <w:rsid w:val="0B9F4F76"/>
    <w:rsid w:val="0BC969E8"/>
    <w:rsid w:val="0C0760A9"/>
    <w:rsid w:val="0C697EE9"/>
    <w:rsid w:val="0C966D59"/>
    <w:rsid w:val="0CDC2F4B"/>
    <w:rsid w:val="0D3B0FD3"/>
    <w:rsid w:val="0D6C19DE"/>
    <w:rsid w:val="0E141D3F"/>
    <w:rsid w:val="0E5940F9"/>
    <w:rsid w:val="0E5C239D"/>
    <w:rsid w:val="0F0231C0"/>
    <w:rsid w:val="0F380715"/>
    <w:rsid w:val="0FE443F8"/>
    <w:rsid w:val="0FE6747F"/>
    <w:rsid w:val="0FF26B15"/>
    <w:rsid w:val="101352E4"/>
    <w:rsid w:val="10172994"/>
    <w:rsid w:val="10864295"/>
    <w:rsid w:val="10875725"/>
    <w:rsid w:val="10CB0F9B"/>
    <w:rsid w:val="10EA4509"/>
    <w:rsid w:val="119C5D74"/>
    <w:rsid w:val="1226519C"/>
    <w:rsid w:val="12800187"/>
    <w:rsid w:val="1298255A"/>
    <w:rsid w:val="12C1747C"/>
    <w:rsid w:val="13103119"/>
    <w:rsid w:val="13F65B75"/>
    <w:rsid w:val="13FA068E"/>
    <w:rsid w:val="14015AFD"/>
    <w:rsid w:val="14566EF5"/>
    <w:rsid w:val="146A5814"/>
    <w:rsid w:val="151C6E5A"/>
    <w:rsid w:val="153100E0"/>
    <w:rsid w:val="159C16D5"/>
    <w:rsid w:val="159D2094"/>
    <w:rsid w:val="165862A5"/>
    <w:rsid w:val="1733791F"/>
    <w:rsid w:val="178642C9"/>
    <w:rsid w:val="178768B3"/>
    <w:rsid w:val="17E375B3"/>
    <w:rsid w:val="183072EA"/>
    <w:rsid w:val="183D2675"/>
    <w:rsid w:val="185B536B"/>
    <w:rsid w:val="18B02E62"/>
    <w:rsid w:val="19555E96"/>
    <w:rsid w:val="19AA27D5"/>
    <w:rsid w:val="19CA465F"/>
    <w:rsid w:val="19DB061A"/>
    <w:rsid w:val="19DD32EE"/>
    <w:rsid w:val="19E00C32"/>
    <w:rsid w:val="19EB6441"/>
    <w:rsid w:val="1A313F02"/>
    <w:rsid w:val="1ADF02E0"/>
    <w:rsid w:val="1B2163C7"/>
    <w:rsid w:val="1B2755EA"/>
    <w:rsid w:val="1B884CB7"/>
    <w:rsid w:val="1BF135A1"/>
    <w:rsid w:val="1C33298F"/>
    <w:rsid w:val="1C5D5C5E"/>
    <w:rsid w:val="1C84143D"/>
    <w:rsid w:val="1C926924"/>
    <w:rsid w:val="1CB11B06"/>
    <w:rsid w:val="1CD83537"/>
    <w:rsid w:val="1D352A1F"/>
    <w:rsid w:val="1D5C7E55"/>
    <w:rsid w:val="1D76522A"/>
    <w:rsid w:val="1DDE4B7D"/>
    <w:rsid w:val="1DED4DC0"/>
    <w:rsid w:val="1E021E04"/>
    <w:rsid w:val="1E05210A"/>
    <w:rsid w:val="1E2210EC"/>
    <w:rsid w:val="1E24168F"/>
    <w:rsid w:val="1E2E78B2"/>
    <w:rsid w:val="1E4A4FE2"/>
    <w:rsid w:val="1EC54BCD"/>
    <w:rsid w:val="1F325180"/>
    <w:rsid w:val="1F4F77A7"/>
    <w:rsid w:val="1F947EAF"/>
    <w:rsid w:val="1FDB04FB"/>
    <w:rsid w:val="1FE60BCB"/>
    <w:rsid w:val="1FF47FEF"/>
    <w:rsid w:val="20131E3F"/>
    <w:rsid w:val="20E15A18"/>
    <w:rsid w:val="21166E41"/>
    <w:rsid w:val="211C1C81"/>
    <w:rsid w:val="215323F4"/>
    <w:rsid w:val="2234120F"/>
    <w:rsid w:val="22DE422B"/>
    <w:rsid w:val="22FB1D2D"/>
    <w:rsid w:val="239658C8"/>
    <w:rsid w:val="239C48DC"/>
    <w:rsid w:val="239F30B9"/>
    <w:rsid w:val="23E059AB"/>
    <w:rsid w:val="23E31A2F"/>
    <w:rsid w:val="23EE6112"/>
    <w:rsid w:val="23FF1AF8"/>
    <w:rsid w:val="244637ED"/>
    <w:rsid w:val="250933E8"/>
    <w:rsid w:val="254A19F9"/>
    <w:rsid w:val="25B36846"/>
    <w:rsid w:val="25C70A92"/>
    <w:rsid w:val="25EB42DB"/>
    <w:rsid w:val="25FA2EAE"/>
    <w:rsid w:val="26FE0374"/>
    <w:rsid w:val="270D1AB7"/>
    <w:rsid w:val="27421195"/>
    <w:rsid w:val="27626C1B"/>
    <w:rsid w:val="277B725C"/>
    <w:rsid w:val="277C546C"/>
    <w:rsid w:val="278010A0"/>
    <w:rsid w:val="28A8200F"/>
    <w:rsid w:val="290A34EE"/>
    <w:rsid w:val="29196AA1"/>
    <w:rsid w:val="29437F8A"/>
    <w:rsid w:val="29B82726"/>
    <w:rsid w:val="29E8760E"/>
    <w:rsid w:val="2A1E4C2F"/>
    <w:rsid w:val="2A5A6669"/>
    <w:rsid w:val="2A941233"/>
    <w:rsid w:val="2B094C81"/>
    <w:rsid w:val="2B1E480B"/>
    <w:rsid w:val="2B4A073D"/>
    <w:rsid w:val="2B4B2491"/>
    <w:rsid w:val="2B8D7D27"/>
    <w:rsid w:val="2BA024D1"/>
    <w:rsid w:val="2BC062C2"/>
    <w:rsid w:val="2C81312E"/>
    <w:rsid w:val="2ED977CD"/>
    <w:rsid w:val="2F0401BB"/>
    <w:rsid w:val="305544E1"/>
    <w:rsid w:val="30872E52"/>
    <w:rsid w:val="30B74574"/>
    <w:rsid w:val="31244B45"/>
    <w:rsid w:val="312A37A2"/>
    <w:rsid w:val="312F7772"/>
    <w:rsid w:val="31396BDB"/>
    <w:rsid w:val="31A64643"/>
    <w:rsid w:val="31C27CCB"/>
    <w:rsid w:val="32A8304A"/>
    <w:rsid w:val="33813B89"/>
    <w:rsid w:val="33C02CE0"/>
    <w:rsid w:val="33DA4A24"/>
    <w:rsid w:val="33ED7A91"/>
    <w:rsid w:val="34BB1FF4"/>
    <w:rsid w:val="34ED34A4"/>
    <w:rsid w:val="351C000D"/>
    <w:rsid w:val="352F545C"/>
    <w:rsid w:val="35327830"/>
    <w:rsid w:val="35556F1C"/>
    <w:rsid w:val="35BE111E"/>
    <w:rsid w:val="364345C9"/>
    <w:rsid w:val="37867372"/>
    <w:rsid w:val="379E73FF"/>
    <w:rsid w:val="37C2151C"/>
    <w:rsid w:val="38735E4A"/>
    <w:rsid w:val="38780954"/>
    <w:rsid w:val="393A4F06"/>
    <w:rsid w:val="39994922"/>
    <w:rsid w:val="399B1E64"/>
    <w:rsid w:val="39B9172E"/>
    <w:rsid w:val="39EB7274"/>
    <w:rsid w:val="3A52348C"/>
    <w:rsid w:val="3A9E0CCF"/>
    <w:rsid w:val="3AD42B84"/>
    <w:rsid w:val="3AFB6E6F"/>
    <w:rsid w:val="3B506F27"/>
    <w:rsid w:val="3B552F2C"/>
    <w:rsid w:val="3B826075"/>
    <w:rsid w:val="3C6646C3"/>
    <w:rsid w:val="3CA31014"/>
    <w:rsid w:val="3CAB7EC8"/>
    <w:rsid w:val="3CB80047"/>
    <w:rsid w:val="3D085E9A"/>
    <w:rsid w:val="3D987BEC"/>
    <w:rsid w:val="3E014FE9"/>
    <w:rsid w:val="3E085C41"/>
    <w:rsid w:val="3E3442F1"/>
    <w:rsid w:val="3EAA6689"/>
    <w:rsid w:val="3F256874"/>
    <w:rsid w:val="3FAD0BAC"/>
    <w:rsid w:val="3FB96E7A"/>
    <w:rsid w:val="3FDF1294"/>
    <w:rsid w:val="414624D2"/>
    <w:rsid w:val="41943621"/>
    <w:rsid w:val="425F6720"/>
    <w:rsid w:val="427F1C4F"/>
    <w:rsid w:val="432452BD"/>
    <w:rsid w:val="43346E69"/>
    <w:rsid w:val="436A288B"/>
    <w:rsid w:val="43874252"/>
    <w:rsid w:val="4416031D"/>
    <w:rsid w:val="44185E43"/>
    <w:rsid w:val="44813768"/>
    <w:rsid w:val="455A5F42"/>
    <w:rsid w:val="45812510"/>
    <w:rsid w:val="4621749D"/>
    <w:rsid w:val="46340F2E"/>
    <w:rsid w:val="463E2A0A"/>
    <w:rsid w:val="467F03FC"/>
    <w:rsid w:val="46DD580B"/>
    <w:rsid w:val="46E34391"/>
    <w:rsid w:val="47502CE7"/>
    <w:rsid w:val="477B0A55"/>
    <w:rsid w:val="477B4F01"/>
    <w:rsid w:val="47CF0F0F"/>
    <w:rsid w:val="48194240"/>
    <w:rsid w:val="4850658B"/>
    <w:rsid w:val="48963D9F"/>
    <w:rsid w:val="48E21116"/>
    <w:rsid w:val="492359B6"/>
    <w:rsid w:val="49AA7D08"/>
    <w:rsid w:val="4AD77089"/>
    <w:rsid w:val="4B132F8D"/>
    <w:rsid w:val="4B987338"/>
    <w:rsid w:val="4BD1530A"/>
    <w:rsid w:val="4BD86F06"/>
    <w:rsid w:val="4BF21670"/>
    <w:rsid w:val="4C4A325A"/>
    <w:rsid w:val="4C6A62D1"/>
    <w:rsid w:val="4C6A67E4"/>
    <w:rsid w:val="4C9732FE"/>
    <w:rsid w:val="4CA73289"/>
    <w:rsid w:val="4CAA3CA9"/>
    <w:rsid w:val="4D2836CA"/>
    <w:rsid w:val="4D503534"/>
    <w:rsid w:val="4D891D2A"/>
    <w:rsid w:val="4DB75EEC"/>
    <w:rsid w:val="4DED20EF"/>
    <w:rsid w:val="4E173411"/>
    <w:rsid w:val="4E1A6BD6"/>
    <w:rsid w:val="4E465DE4"/>
    <w:rsid w:val="4E9B6783"/>
    <w:rsid w:val="4F2170AB"/>
    <w:rsid w:val="4F7626B4"/>
    <w:rsid w:val="4FA21522"/>
    <w:rsid w:val="4FF22F20"/>
    <w:rsid w:val="4FF446DF"/>
    <w:rsid w:val="50084BCD"/>
    <w:rsid w:val="501C705E"/>
    <w:rsid w:val="504D73FC"/>
    <w:rsid w:val="505815DA"/>
    <w:rsid w:val="50786E81"/>
    <w:rsid w:val="50812FC2"/>
    <w:rsid w:val="50B35AB2"/>
    <w:rsid w:val="50FA4BF3"/>
    <w:rsid w:val="51143D2F"/>
    <w:rsid w:val="51922196"/>
    <w:rsid w:val="520B6FE7"/>
    <w:rsid w:val="522927F7"/>
    <w:rsid w:val="524C640B"/>
    <w:rsid w:val="53065896"/>
    <w:rsid w:val="537312E8"/>
    <w:rsid w:val="53740074"/>
    <w:rsid w:val="54796F37"/>
    <w:rsid w:val="547B302E"/>
    <w:rsid w:val="54852C1C"/>
    <w:rsid w:val="548C6DB7"/>
    <w:rsid w:val="54A021C2"/>
    <w:rsid w:val="54C07AEB"/>
    <w:rsid w:val="54EC75A4"/>
    <w:rsid w:val="557230FD"/>
    <w:rsid w:val="5590622A"/>
    <w:rsid w:val="55933CB3"/>
    <w:rsid w:val="55BC0B98"/>
    <w:rsid w:val="55C7669B"/>
    <w:rsid w:val="56381558"/>
    <w:rsid w:val="564C3009"/>
    <w:rsid w:val="5679513C"/>
    <w:rsid w:val="57974F6F"/>
    <w:rsid w:val="587E2954"/>
    <w:rsid w:val="58BD0550"/>
    <w:rsid w:val="58CF22E8"/>
    <w:rsid w:val="592139D4"/>
    <w:rsid w:val="59314DBD"/>
    <w:rsid w:val="5938479C"/>
    <w:rsid w:val="595D3C25"/>
    <w:rsid w:val="595F2FF2"/>
    <w:rsid w:val="599475FA"/>
    <w:rsid w:val="59AC7302"/>
    <w:rsid w:val="59AF69D0"/>
    <w:rsid w:val="5AA565F8"/>
    <w:rsid w:val="5ACF4FDC"/>
    <w:rsid w:val="5AF076C2"/>
    <w:rsid w:val="5B367D4C"/>
    <w:rsid w:val="5B78116D"/>
    <w:rsid w:val="5CF71AC5"/>
    <w:rsid w:val="5D363DCF"/>
    <w:rsid w:val="5D522624"/>
    <w:rsid w:val="5DFB2398"/>
    <w:rsid w:val="5E8D2A1A"/>
    <w:rsid w:val="5EF10742"/>
    <w:rsid w:val="5F037088"/>
    <w:rsid w:val="5F38472C"/>
    <w:rsid w:val="5F3A194B"/>
    <w:rsid w:val="5F557AF4"/>
    <w:rsid w:val="5F780D96"/>
    <w:rsid w:val="5F7D704B"/>
    <w:rsid w:val="5F9E614C"/>
    <w:rsid w:val="60151F2C"/>
    <w:rsid w:val="605B738C"/>
    <w:rsid w:val="609805E0"/>
    <w:rsid w:val="60A42FA9"/>
    <w:rsid w:val="60EE4265"/>
    <w:rsid w:val="60FE0A76"/>
    <w:rsid w:val="61700C15"/>
    <w:rsid w:val="617F080C"/>
    <w:rsid w:val="61E432A6"/>
    <w:rsid w:val="61EC5559"/>
    <w:rsid w:val="62612C54"/>
    <w:rsid w:val="62B114E5"/>
    <w:rsid w:val="62E80C7F"/>
    <w:rsid w:val="63064050"/>
    <w:rsid w:val="643B7C00"/>
    <w:rsid w:val="645E7808"/>
    <w:rsid w:val="64F411DF"/>
    <w:rsid w:val="65143612"/>
    <w:rsid w:val="652977A7"/>
    <w:rsid w:val="652A557F"/>
    <w:rsid w:val="659406EA"/>
    <w:rsid w:val="65B67FEC"/>
    <w:rsid w:val="65BE144B"/>
    <w:rsid w:val="65DD0843"/>
    <w:rsid w:val="66081B74"/>
    <w:rsid w:val="66194291"/>
    <w:rsid w:val="668D64AC"/>
    <w:rsid w:val="682C6805"/>
    <w:rsid w:val="68376930"/>
    <w:rsid w:val="685A4111"/>
    <w:rsid w:val="68AB69D7"/>
    <w:rsid w:val="68D329C6"/>
    <w:rsid w:val="693A7777"/>
    <w:rsid w:val="69581903"/>
    <w:rsid w:val="6963075E"/>
    <w:rsid w:val="69F02EEE"/>
    <w:rsid w:val="69F119F4"/>
    <w:rsid w:val="6AE6019A"/>
    <w:rsid w:val="6B732B37"/>
    <w:rsid w:val="6BD44D33"/>
    <w:rsid w:val="6BF93EB1"/>
    <w:rsid w:val="6C4D627E"/>
    <w:rsid w:val="6C856191"/>
    <w:rsid w:val="6CF1051B"/>
    <w:rsid w:val="6D363EE7"/>
    <w:rsid w:val="6D456E3D"/>
    <w:rsid w:val="6D535B3B"/>
    <w:rsid w:val="6DA305C4"/>
    <w:rsid w:val="6DFF1E89"/>
    <w:rsid w:val="6E33701B"/>
    <w:rsid w:val="6E513006"/>
    <w:rsid w:val="6E6A78E8"/>
    <w:rsid w:val="6E8B1784"/>
    <w:rsid w:val="6EE80067"/>
    <w:rsid w:val="6EF46A4E"/>
    <w:rsid w:val="6F3643B7"/>
    <w:rsid w:val="6F60676D"/>
    <w:rsid w:val="6F6F1736"/>
    <w:rsid w:val="6F965C2F"/>
    <w:rsid w:val="6FA43561"/>
    <w:rsid w:val="7007308C"/>
    <w:rsid w:val="701B2694"/>
    <w:rsid w:val="708446DD"/>
    <w:rsid w:val="70DC5ECC"/>
    <w:rsid w:val="716202D0"/>
    <w:rsid w:val="71975375"/>
    <w:rsid w:val="725838E9"/>
    <w:rsid w:val="72895D82"/>
    <w:rsid w:val="72DD7BA9"/>
    <w:rsid w:val="730C3FA2"/>
    <w:rsid w:val="73137F9A"/>
    <w:rsid w:val="73AC1A9E"/>
    <w:rsid w:val="73C61569"/>
    <w:rsid w:val="744D3413"/>
    <w:rsid w:val="74624D35"/>
    <w:rsid w:val="74C26DA2"/>
    <w:rsid w:val="75646F31"/>
    <w:rsid w:val="76277EEE"/>
    <w:rsid w:val="763249C0"/>
    <w:rsid w:val="76870A83"/>
    <w:rsid w:val="768B7037"/>
    <w:rsid w:val="76D348AD"/>
    <w:rsid w:val="76E25CB9"/>
    <w:rsid w:val="77296687"/>
    <w:rsid w:val="773726CE"/>
    <w:rsid w:val="77440E20"/>
    <w:rsid w:val="77530725"/>
    <w:rsid w:val="77824FE1"/>
    <w:rsid w:val="78025AC8"/>
    <w:rsid w:val="788F38EA"/>
    <w:rsid w:val="79467729"/>
    <w:rsid w:val="794B1A56"/>
    <w:rsid w:val="79AC65D8"/>
    <w:rsid w:val="7A477914"/>
    <w:rsid w:val="7B1C3799"/>
    <w:rsid w:val="7B615ACE"/>
    <w:rsid w:val="7BA93249"/>
    <w:rsid w:val="7CA24B47"/>
    <w:rsid w:val="7CC2269E"/>
    <w:rsid w:val="7D2F59D0"/>
    <w:rsid w:val="7D6C741B"/>
    <w:rsid w:val="7DB74692"/>
    <w:rsid w:val="7DC9403A"/>
    <w:rsid w:val="7E186464"/>
    <w:rsid w:val="7E7D6750"/>
    <w:rsid w:val="7F050AC5"/>
    <w:rsid w:val="7FB27574"/>
    <w:rsid w:val="7FC72672"/>
    <w:rsid w:val="7FEC2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30"/>
      <w:szCs w:val="44"/>
    </w:rPr>
  </w:style>
  <w:style w:type="paragraph" w:styleId="3">
    <w:name w:val="heading 2"/>
    <w:basedOn w:val="1"/>
    <w:next w:val="1"/>
    <w:link w:val="20"/>
    <w:autoRedefine/>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autoRedefine/>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autoRedefine/>
    <w:semiHidden/>
    <w:unhideWhenUsed/>
    <w:qFormat/>
    <w:uiPriority w:val="99"/>
    <w:pPr>
      <w:jc w:val="left"/>
    </w:p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Subtitle"/>
    <w:basedOn w:val="1"/>
    <w:next w:val="1"/>
    <w:autoRedefine/>
    <w:qFormat/>
    <w:uiPriority w:val="11"/>
    <w:pPr>
      <w:spacing w:before="240" w:after="60" w:line="312" w:lineRule="auto"/>
      <w:jc w:val="center"/>
      <w:outlineLvl w:val="1"/>
    </w:pPr>
    <w:rPr>
      <w:b/>
      <w:bCs/>
      <w:kern w:val="28"/>
      <w:sz w:val="32"/>
      <w:szCs w:val="32"/>
    </w:rPr>
  </w:style>
  <w:style w:type="table" w:styleId="9">
    <w:name w:val="Table Grid"/>
    <w:basedOn w:val="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FollowedHyperlink"/>
    <w:basedOn w:val="10"/>
    <w:autoRedefine/>
    <w:semiHidden/>
    <w:unhideWhenUsed/>
    <w:qFormat/>
    <w:uiPriority w:val="99"/>
    <w:rPr>
      <w:color w:val="185ECF"/>
      <w:u w:val="none"/>
    </w:rPr>
  </w:style>
  <w:style w:type="character" w:styleId="12">
    <w:name w:val="Emphasis"/>
    <w:basedOn w:val="10"/>
    <w:autoRedefine/>
    <w:qFormat/>
    <w:uiPriority w:val="20"/>
    <w:rPr>
      <w:i/>
    </w:rPr>
  </w:style>
  <w:style w:type="character" w:styleId="13">
    <w:name w:val="Hyperlink"/>
    <w:basedOn w:val="10"/>
    <w:autoRedefine/>
    <w:semiHidden/>
    <w:unhideWhenUsed/>
    <w:qFormat/>
    <w:uiPriority w:val="99"/>
    <w:rPr>
      <w:color w:val="0000FF"/>
      <w:u w:val="single"/>
    </w:rPr>
  </w:style>
  <w:style w:type="character" w:styleId="14">
    <w:name w:val="annotation reference"/>
    <w:basedOn w:val="10"/>
    <w:autoRedefine/>
    <w:semiHidden/>
    <w:unhideWhenUsed/>
    <w:qFormat/>
    <w:uiPriority w:val="99"/>
    <w:rPr>
      <w:sz w:val="21"/>
      <w:szCs w:val="21"/>
    </w:rPr>
  </w:style>
  <w:style w:type="character" w:customStyle="1" w:styleId="15">
    <w:name w:val="页眉 字符"/>
    <w:basedOn w:val="10"/>
    <w:link w:val="6"/>
    <w:autoRedefine/>
    <w:qFormat/>
    <w:uiPriority w:val="99"/>
    <w:rPr>
      <w:sz w:val="18"/>
      <w:szCs w:val="18"/>
    </w:rPr>
  </w:style>
  <w:style w:type="character" w:customStyle="1" w:styleId="16">
    <w:name w:val="页脚 字符"/>
    <w:basedOn w:val="10"/>
    <w:link w:val="5"/>
    <w:autoRedefine/>
    <w:qFormat/>
    <w:uiPriority w:val="99"/>
    <w:rPr>
      <w:sz w:val="18"/>
      <w:szCs w:val="18"/>
    </w:rPr>
  </w:style>
  <w:style w:type="paragraph" w:styleId="17">
    <w:name w:val="List Paragraph"/>
    <w:basedOn w:val="1"/>
    <w:autoRedefine/>
    <w:qFormat/>
    <w:uiPriority w:val="34"/>
    <w:pPr>
      <w:ind w:firstLine="420" w:firstLineChars="200"/>
    </w:pPr>
  </w:style>
  <w:style w:type="paragraph" w:customStyle="1" w:styleId="18">
    <w:name w:val="A0正文"/>
    <w:basedOn w:val="1"/>
    <w:autoRedefine/>
    <w:qFormat/>
    <w:uiPriority w:val="0"/>
    <w:pPr>
      <w:spacing w:line="500" w:lineRule="exact"/>
      <w:ind w:firstLine="480" w:firstLineChars="200"/>
    </w:pPr>
    <w:rPr>
      <w:rFonts w:ascii="Times New Roman" w:hAnsi="Times New Roman" w:eastAsia="宋体" w:cs="宋体"/>
      <w:sz w:val="24"/>
      <w:szCs w:val="20"/>
      <w:lang w:val="zh-CN"/>
    </w:rPr>
  </w:style>
  <w:style w:type="paragraph" w:customStyle="1" w:styleId="19">
    <w:name w:val="A标题2级"/>
    <w:basedOn w:val="3"/>
    <w:autoRedefine/>
    <w:qFormat/>
    <w:uiPriority w:val="0"/>
    <w:pPr>
      <w:spacing w:before="240" w:after="0" w:line="500" w:lineRule="exact"/>
    </w:pPr>
    <w:rPr>
      <w:rFonts w:ascii="Times New Roman" w:hAnsi="Times New Roman" w:eastAsia="黑体" w:cs="宋体"/>
      <w:b w:val="0"/>
      <w:bCs w:val="0"/>
      <w:sz w:val="28"/>
      <w:szCs w:val="20"/>
    </w:rPr>
  </w:style>
  <w:style w:type="character" w:customStyle="1" w:styleId="20">
    <w:name w:val="标题 2 字符"/>
    <w:basedOn w:val="10"/>
    <w:link w:val="3"/>
    <w:autoRedefine/>
    <w:semiHidden/>
    <w:qFormat/>
    <w:uiPriority w:val="9"/>
    <w:rPr>
      <w:rFonts w:asciiTheme="majorHAnsi" w:hAnsiTheme="majorHAnsi" w:eastAsiaTheme="majorEastAsia" w:cstheme="majorBidi"/>
      <w:b/>
      <w:bCs/>
      <w:sz w:val="32"/>
      <w:szCs w:val="32"/>
    </w:rPr>
  </w:style>
  <w:style w:type="paragraph" w:customStyle="1" w:styleId="21">
    <w:name w:val="Default"/>
    <w:autoRedefine/>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22">
    <w:name w:val="正文_23"/>
    <w:autoRedefine/>
    <w:qFormat/>
    <w:uiPriority w:val="0"/>
    <w:pPr>
      <w:widowControl w:val="0"/>
      <w:jc w:val="both"/>
    </w:pPr>
    <w:rPr>
      <w:rFonts w:ascii="Calibri" w:hAnsi="Calibri" w:eastAsia="宋体" w:cs="Times New Roman"/>
      <w:kern w:val="2"/>
      <w:sz w:val="21"/>
      <w:lang w:val="en-US" w:eastAsia="zh-CN" w:bidi="ar-SA"/>
    </w:rPr>
  </w:style>
  <w:style w:type="paragraph" w:customStyle="1" w:styleId="23">
    <w:name w:val="正文_22"/>
    <w:autoRedefine/>
    <w:qFormat/>
    <w:uiPriority w:val="0"/>
    <w:pPr>
      <w:widowControl w:val="0"/>
      <w:jc w:val="both"/>
    </w:pPr>
    <w:rPr>
      <w:rFonts w:ascii="Calibri" w:hAnsi="Calibri" w:eastAsia="宋体" w:cs="Times New Roman"/>
      <w:kern w:val="2"/>
      <w:sz w:val="21"/>
      <w:lang w:val="en-US" w:eastAsia="zh-CN" w:bidi="ar-SA"/>
    </w:rPr>
  </w:style>
  <w:style w:type="paragraph" w:customStyle="1" w:styleId="24">
    <w:name w:val="正文_24"/>
    <w:autoRedefine/>
    <w:qFormat/>
    <w:uiPriority w:val="0"/>
    <w:pPr>
      <w:widowControl w:val="0"/>
      <w:jc w:val="both"/>
    </w:pPr>
    <w:rPr>
      <w:rFonts w:ascii="Calibri" w:hAnsi="Calibri" w:eastAsia="宋体" w:cs="Times New Roman"/>
      <w:kern w:val="2"/>
      <w:sz w:val="21"/>
      <w:lang w:val="en-US" w:eastAsia="zh-CN" w:bidi="ar-SA"/>
    </w:rPr>
  </w:style>
  <w:style w:type="character" w:customStyle="1" w:styleId="25">
    <w:name w:val="font21"/>
    <w:basedOn w:val="10"/>
    <w:autoRedefine/>
    <w:qFormat/>
    <w:uiPriority w:val="0"/>
    <w:rPr>
      <w:rFonts w:hint="eastAsia" w:ascii="黑体" w:hAnsi="宋体" w:eastAsia="黑体" w:cs="黑体"/>
      <w:color w:val="000000"/>
      <w:sz w:val="21"/>
      <w:szCs w:val="21"/>
      <w:u w:val="none"/>
    </w:rPr>
  </w:style>
  <w:style w:type="character" w:customStyle="1" w:styleId="26">
    <w:name w:val="font51"/>
    <w:basedOn w:val="10"/>
    <w:autoRedefine/>
    <w:qFormat/>
    <w:uiPriority w:val="0"/>
    <w:rPr>
      <w:rFonts w:hint="default" w:ascii="Arial" w:hAnsi="Arial" w:cs="Arial"/>
      <w:color w:val="000000"/>
      <w:sz w:val="19"/>
      <w:szCs w:val="19"/>
      <w:u w:val="none"/>
    </w:rPr>
  </w:style>
  <w:style w:type="character" w:customStyle="1" w:styleId="27">
    <w:name w:val="font41"/>
    <w:basedOn w:val="10"/>
    <w:autoRedefine/>
    <w:qFormat/>
    <w:uiPriority w:val="0"/>
    <w:rPr>
      <w:rFonts w:hint="default" w:ascii="Arial" w:hAnsi="Arial" w:cs="Arial"/>
      <w:color w:val="333333"/>
      <w:sz w:val="19"/>
      <w:szCs w:val="19"/>
      <w:u w:val="none"/>
    </w:rPr>
  </w:style>
  <w:style w:type="character" w:customStyle="1" w:styleId="28">
    <w:name w:val="font61"/>
    <w:basedOn w:val="10"/>
    <w:autoRedefine/>
    <w:qFormat/>
    <w:uiPriority w:val="0"/>
    <w:rPr>
      <w:rFonts w:hint="eastAsia" w:ascii="宋体" w:hAnsi="宋体" w:eastAsia="宋体" w:cs="宋体"/>
      <w:color w:val="333333"/>
      <w:sz w:val="19"/>
      <w:szCs w:val="19"/>
      <w:u w:val="none"/>
    </w:rPr>
  </w:style>
  <w:style w:type="character" w:customStyle="1" w:styleId="29">
    <w:name w:val="font31"/>
    <w:basedOn w:val="10"/>
    <w:autoRedefine/>
    <w:qFormat/>
    <w:uiPriority w:val="0"/>
    <w:rPr>
      <w:rFonts w:hint="eastAsia" w:ascii="宋体" w:hAnsi="宋体" w:eastAsia="宋体" w:cs="宋体"/>
      <w:color w:val="000000"/>
      <w:sz w:val="21"/>
      <w:szCs w:val="21"/>
      <w:u w:val="none"/>
    </w:rPr>
  </w:style>
  <w:style w:type="character" w:customStyle="1" w:styleId="30">
    <w:name w:val="font71"/>
    <w:basedOn w:val="10"/>
    <w:autoRedefine/>
    <w:qFormat/>
    <w:uiPriority w:val="0"/>
    <w:rPr>
      <w:rFonts w:ascii="等线" w:hAnsi="等线" w:eastAsia="等线" w:cs="等线"/>
      <w:color w:val="000000"/>
      <w:sz w:val="21"/>
      <w:szCs w:val="21"/>
      <w:u w:val="none"/>
    </w:rPr>
  </w:style>
  <w:style w:type="character" w:customStyle="1" w:styleId="31">
    <w:name w:val="font01"/>
    <w:basedOn w:val="10"/>
    <w:autoRedefine/>
    <w:qFormat/>
    <w:uiPriority w:val="0"/>
    <w:rPr>
      <w:rFonts w:hint="eastAsia" w:ascii="宋体" w:hAnsi="宋体" w:eastAsia="宋体" w:cs="宋体"/>
      <w:color w:val="FF0000"/>
      <w:sz w:val="21"/>
      <w:szCs w:val="21"/>
      <w:u w:val="none"/>
    </w:rPr>
  </w:style>
  <w:style w:type="character" w:customStyle="1" w:styleId="32">
    <w:name w:val="font81"/>
    <w:basedOn w:val="10"/>
    <w:autoRedefine/>
    <w:qFormat/>
    <w:uiPriority w:val="0"/>
    <w:rPr>
      <w:rFonts w:hint="eastAsia" w:ascii="仿宋" w:hAnsi="仿宋" w:eastAsia="仿宋" w:cs="仿宋"/>
      <w:color w:val="000000"/>
      <w:sz w:val="22"/>
      <w:szCs w:val="22"/>
      <w:u w:val="none"/>
      <w:vertAlign w:val="superscript"/>
    </w:rPr>
  </w:style>
  <w:style w:type="paragraph" w:customStyle="1" w:styleId="33">
    <w:name w:val="List Paragraph1"/>
    <w:basedOn w:val="1"/>
    <w:autoRedefine/>
    <w:qFormat/>
    <w:uiPriority w:val="0"/>
    <w:pPr>
      <w:ind w:left="720"/>
    </w:pPr>
    <w:rPr>
      <w:rFonts w:ascii="Cambria" w:hAnsi="Cambria" w:eastAsia="Cambria"/>
      <w:sz w:val="22"/>
      <w:szCs w:val="22"/>
    </w:rPr>
  </w:style>
  <w:style w:type="paragraph" w:customStyle="1" w:styleId="34">
    <w:name w:val="列出段落1"/>
    <w:basedOn w:val="1"/>
    <w:autoRedefine/>
    <w:qFormat/>
    <w:uiPriority w:val="0"/>
    <w:pPr>
      <w:ind w:left="720"/>
    </w:pPr>
    <w:rPr>
      <w:rFonts w:ascii="Cambria" w:hAnsi="Cambria" w:eastAsia="Cambria"/>
      <w:sz w:val="22"/>
      <w:szCs w:val="22"/>
    </w:rPr>
  </w:style>
  <w:style w:type="paragraph" w:customStyle="1" w:styleId="35">
    <w:name w:val="列出段落2"/>
    <w:basedOn w:val="1"/>
    <w:autoRedefine/>
    <w:qFormat/>
    <w:uiPriority w:val="0"/>
    <w:pPr>
      <w:ind w:left="720"/>
    </w:pPr>
    <w:rPr>
      <w:rFonts w:ascii="Cambria" w:hAnsi="Cambria" w:eastAsia="Cambria"/>
      <w:sz w:val="22"/>
      <w:szCs w:val="22"/>
    </w:rPr>
  </w:style>
  <w:style w:type="character" w:customStyle="1" w:styleId="36">
    <w:name w:val="checkbox"/>
    <w:basedOn w:val="10"/>
    <w:autoRedefine/>
    <w:qFormat/>
    <w:uiPriority w:val="0"/>
  </w:style>
  <w:style w:type="character" w:customStyle="1" w:styleId="37">
    <w:name w:val="chakan"/>
    <w:basedOn w:val="10"/>
    <w:autoRedefine/>
    <w:qFormat/>
    <w:uiPriority w:val="0"/>
    <w:rPr>
      <w:color w:val="0064EA"/>
    </w:rPr>
  </w:style>
  <w:style w:type="character" w:customStyle="1" w:styleId="38">
    <w:name w:val="shenbao"/>
    <w:basedOn w:val="10"/>
    <w:autoRedefine/>
    <w:qFormat/>
    <w:uiPriority w:val="0"/>
    <w:rPr>
      <w:color w:val="EF633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emf"/><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Pages>
  <Words>13704</Words>
  <Characters>16458</Characters>
  <Lines>98</Lines>
  <Paragraphs>27</Paragraphs>
  <TotalTime>37</TotalTime>
  <ScaleCrop>false</ScaleCrop>
  <LinksUpToDate>false</LinksUpToDate>
  <CharactersWithSpaces>16719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2019-06-17T03:07:00Z</dcterms:created>
  <dc:creator>刘 莹莹</dc:creator>
  <cp:lastModifiedBy>人生如戏</cp:lastModifiedBy>
  <cp:lastPrinted>2024-05-09T01:55:00Z</cp:lastPrinted>
  <dcterms:modified xsi:type="dcterms:W3CDTF">2024-06-13T09:21:25Z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58089743C17A43A3A1AFA4EF428E4649</vt:lpwstr>
  </property>
</Properties>
</file>