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2"/>
        <w:spacing w:line="240" w:lineRule="auto"/>
        <w:ind w:left="0" w:leftChars="0" w:firstLine="0" w:firstLineChars="0"/>
        <w:jc w:val="both"/>
        <w:rPr>
          <w:rFonts w:hint="eastAsia" w:ascii="宋体" w:hAnsi="宋体"/>
          <w:b/>
          <w:bCs/>
          <w:sz w:val="32"/>
          <w:szCs w:val="32"/>
          <w:lang w:val="en-US"/>
        </w:rPr>
      </w:pPr>
      <w:r>
        <w:rPr>
          <w:rFonts w:hint="eastAsia" w:ascii="宋体" w:hAnsi="宋体"/>
          <w:b/>
          <w:bCs/>
          <w:sz w:val="32"/>
          <w:szCs w:val="32"/>
        </w:rPr>
        <w:t>江西洪城水业环保有限公司</w:t>
      </w:r>
      <w:r>
        <w:rPr>
          <w:rFonts w:hint="eastAsia" w:ascii="宋体" w:hAnsi="宋体"/>
          <w:b/>
          <w:bCs/>
          <w:color w:val="FF0000"/>
          <w:sz w:val="32"/>
          <w:szCs w:val="32"/>
          <w:lang w:val="en-US" w:eastAsia="zh-CN"/>
        </w:rPr>
        <w:t>寻乌县</w:t>
      </w:r>
      <w:r>
        <w:rPr>
          <w:rFonts w:hint="eastAsia" w:ascii="宋体" w:hAnsi="宋体"/>
          <w:b/>
          <w:bCs/>
          <w:sz w:val="32"/>
          <w:szCs w:val="32"/>
        </w:rPr>
        <w:t>分公司自行监测</w:t>
      </w:r>
      <w:r>
        <w:rPr>
          <w:rFonts w:hint="eastAsia" w:ascii="宋体" w:hAnsi="宋体"/>
          <w:b/>
          <w:bCs/>
          <w:sz w:val="32"/>
          <w:szCs w:val="32"/>
          <w:lang w:val="en-US"/>
        </w:rPr>
        <w:t>方案</w:t>
      </w:r>
    </w:p>
    <w:p>
      <w:pPr>
        <w:pStyle w:val="22"/>
        <w:spacing w:line="240" w:lineRule="auto"/>
        <w:ind w:left="0" w:leftChars="0" w:firstLine="0" w:firstLineChars="0"/>
        <w:jc w:val="both"/>
        <w:rPr>
          <w:rFonts w:hint="eastAsia" w:ascii="宋体" w:hAnsi="宋体"/>
          <w:b/>
          <w:bCs/>
          <w:sz w:val="32"/>
          <w:szCs w:val="32"/>
          <w:lang w:val="en-US"/>
        </w:rPr>
      </w:pPr>
    </w:p>
    <w:p>
      <w:pPr>
        <w:pStyle w:val="22"/>
        <w:spacing w:line="240" w:lineRule="auto"/>
        <w:ind w:left="0" w:leftChars="0" w:firstLine="0" w:firstLineChars="0"/>
        <w:jc w:val="both"/>
        <w:rPr>
          <w:rFonts w:hint="eastAsia" w:ascii="宋体" w:hAnsi="宋体"/>
          <w:b/>
          <w:bCs/>
          <w:sz w:val="32"/>
          <w:szCs w:val="32"/>
          <w:lang w:val="en-US"/>
        </w:rPr>
      </w:pPr>
    </w:p>
    <w:p>
      <w:pPr>
        <w:pStyle w:val="22"/>
        <w:numPr>
          <w:ilvl w:val="0"/>
          <w:numId w:val="1"/>
        </w:numPr>
        <w:spacing w:line="240" w:lineRule="auto"/>
        <w:ind w:firstLine="562"/>
        <w:outlineLvl w:val="0"/>
        <w:rPr>
          <w:rFonts w:ascii="宋体" w:hAnsi="宋体"/>
          <w:b/>
          <w:bCs/>
          <w:sz w:val="28"/>
          <w:szCs w:val="28"/>
        </w:rPr>
      </w:pPr>
      <w:r>
        <w:rPr>
          <w:rFonts w:hint="eastAsia" w:ascii="宋体" w:hAnsi="宋体"/>
          <w:b/>
          <w:bCs/>
          <w:sz w:val="28"/>
          <w:szCs w:val="28"/>
        </w:rPr>
        <w:t>排污单位基本情况</w:t>
      </w:r>
    </w:p>
    <w:p>
      <w:pPr>
        <w:pStyle w:val="22"/>
        <w:spacing w:line="240" w:lineRule="auto"/>
        <w:ind w:firstLine="560"/>
        <w:outlineLvl w:val="1"/>
        <w:rPr>
          <w:rFonts w:ascii="宋体" w:hAnsi="宋体"/>
          <w:sz w:val="28"/>
          <w:szCs w:val="28"/>
        </w:rPr>
      </w:pPr>
      <w:r>
        <w:rPr>
          <w:rFonts w:hint="eastAsia" w:ascii="宋体" w:hAnsi="宋体"/>
          <w:sz w:val="28"/>
          <w:szCs w:val="28"/>
        </w:rPr>
        <w:t>1、基本信息</w:t>
      </w:r>
    </w:p>
    <w:tbl>
      <w:tblPr>
        <w:tblStyle w:val="12"/>
        <w:tblpPr w:leftFromText="180" w:rightFromText="180" w:vertAnchor="text" w:horzAnchor="margin" w:tblpY="202"/>
        <w:tblW w:w="86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78"/>
        <w:gridCol w:w="1930"/>
        <w:gridCol w:w="2720"/>
        <w:gridCol w:w="21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1884" w:type="dxa"/>
            <w:shd w:val="clear" w:color="auto" w:fill="auto"/>
            <w:vAlign w:val="top"/>
          </w:tcPr>
          <w:p>
            <w:pPr>
              <w:jc w:val="center"/>
              <w:rPr>
                <w:rFonts w:ascii="宋体" w:hAnsi="宋体" w:eastAsia="宋体" w:cs="宋体"/>
                <w:sz w:val="24"/>
                <w:szCs w:val="24"/>
              </w:rPr>
            </w:pPr>
            <w:r>
              <w:rPr>
                <w:rFonts w:hint="eastAsia" w:ascii="宋体" w:hAnsi="宋体" w:eastAsia="宋体" w:cs="宋体"/>
                <w:color w:val="auto"/>
                <w:sz w:val="24"/>
                <w:szCs w:val="24"/>
                <w:highlight w:val="none"/>
                <w:shd w:val="clear" w:color="auto" w:fill="auto"/>
              </w:rPr>
              <w:t>法定代表人</w:t>
            </w:r>
          </w:p>
        </w:tc>
        <w:tc>
          <w:tcPr>
            <w:tcW w:w="1935" w:type="dxa"/>
            <w:shd w:val="clear" w:color="auto" w:fill="auto"/>
            <w:vAlign w:val="top"/>
          </w:tcPr>
          <w:p>
            <w:pPr>
              <w:jc w:val="center"/>
              <w:rPr>
                <w:rFonts w:hint="default" w:ascii="宋体" w:hAnsi="宋体" w:eastAsia="宋体" w:cs="宋体"/>
                <w:sz w:val="24"/>
                <w:szCs w:val="24"/>
                <w:lang w:val="en-US"/>
              </w:rPr>
            </w:pPr>
            <w:r>
              <w:rPr>
                <w:rFonts w:hint="eastAsia" w:ascii="宋体" w:hAnsi="宋体" w:eastAsia="宋体" w:cs="宋体"/>
                <w:color w:val="auto"/>
                <w:sz w:val="24"/>
                <w:szCs w:val="24"/>
                <w:highlight w:val="none"/>
                <w:shd w:val="clear" w:color="auto" w:fill="auto"/>
                <w:lang w:val="en-US" w:eastAsia="zh-CN"/>
              </w:rPr>
              <w:t>黄敏明</w:t>
            </w:r>
          </w:p>
        </w:tc>
        <w:tc>
          <w:tcPr>
            <w:tcW w:w="2730" w:type="dxa"/>
            <w:shd w:val="clear" w:color="auto" w:fill="auto"/>
            <w:vAlign w:val="top"/>
          </w:tcPr>
          <w:p>
            <w:pPr>
              <w:jc w:val="center"/>
              <w:rPr>
                <w:rFonts w:ascii="宋体" w:hAnsi="宋体" w:eastAsia="宋体" w:cs="宋体"/>
                <w:sz w:val="24"/>
                <w:szCs w:val="24"/>
              </w:rPr>
            </w:pPr>
            <w:r>
              <w:rPr>
                <w:rFonts w:hint="eastAsia" w:ascii="宋体" w:hAnsi="宋体" w:eastAsia="宋体" w:cs="宋体"/>
                <w:color w:val="auto"/>
                <w:sz w:val="24"/>
                <w:szCs w:val="24"/>
                <w:highlight w:val="none"/>
                <w:shd w:val="clear" w:color="auto" w:fill="auto"/>
              </w:rPr>
              <w:t>企业曾用名</w:t>
            </w:r>
          </w:p>
        </w:tc>
        <w:tc>
          <w:tcPr>
            <w:tcW w:w="2087" w:type="dxa"/>
            <w:shd w:val="clear" w:color="auto" w:fill="auto"/>
            <w:vAlign w:val="top"/>
          </w:tcPr>
          <w:p>
            <w:pPr>
              <w:jc w:val="center"/>
              <w:rPr>
                <w:rFonts w:ascii="宋体" w:hAnsi="宋体" w:eastAsia="宋体" w:cs="宋体"/>
                <w:sz w:val="24"/>
                <w:szCs w:val="24"/>
              </w:rPr>
            </w:pPr>
            <w:r>
              <w:rPr>
                <w:rFonts w:hint="eastAsia" w:ascii="宋体" w:hAnsi="宋体" w:eastAsia="宋体" w:cs="宋体"/>
                <w:color w:val="auto"/>
                <w:sz w:val="24"/>
                <w:szCs w:val="24"/>
                <w:highlight w:val="none"/>
                <w:shd w:val="clear" w:color="auto" w:fill="auto"/>
                <w:lang w:val="en-US" w:eastAsia="zh-CN"/>
              </w:rPr>
              <w:t>寻乌县</w:t>
            </w:r>
            <w:r>
              <w:rPr>
                <w:rFonts w:hint="eastAsia" w:ascii="宋体" w:hAnsi="宋体" w:eastAsia="宋体" w:cs="宋体"/>
                <w:color w:val="auto"/>
                <w:sz w:val="24"/>
                <w:szCs w:val="24"/>
                <w:highlight w:val="none"/>
                <w:shd w:val="clear" w:color="auto" w:fill="auto"/>
              </w:rPr>
              <w:t>污水处理厂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84" w:type="dxa"/>
            <w:shd w:val="clear" w:color="auto" w:fill="auto"/>
            <w:vAlign w:val="top"/>
          </w:tcPr>
          <w:p>
            <w:pPr>
              <w:jc w:val="center"/>
              <w:rPr>
                <w:rFonts w:ascii="宋体" w:hAnsi="宋体" w:eastAsia="宋体" w:cs="宋体"/>
                <w:sz w:val="24"/>
                <w:szCs w:val="24"/>
              </w:rPr>
            </w:pPr>
            <w:r>
              <w:rPr>
                <w:rFonts w:hint="eastAsia" w:ascii="宋体" w:hAnsi="宋体" w:eastAsia="宋体" w:cs="宋体"/>
                <w:color w:val="auto"/>
                <w:sz w:val="24"/>
                <w:szCs w:val="24"/>
                <w:highlight w:val="none"/>
                <w:shd w:val="clear" w:color="auto" w:fill="auto"/>
              </w:rPr>
              <w:t>企业类别</w:t>
            </w:r>
          </w:p>
        </w:tc>
        <w:tc>
          <w:tcPr>
            <w:tcW w:w="1935" w:type="dxa"/>
            <w:shd w:val="clear" w:color="auto" w:fill="auto"/>
            <w:vAlign w:val="top"/>
          </w:tcPr>
          <w:p>
            <w:pPr>
              <w:jc w:val="center"/>
              <w:rPr>
                <w:rFonts w:ascii="宋体" w:hAnsi="宋体" w:eastAsia="宋体" w:cs="宋体"/>
                <w:sz w:val="24"/>
                <w:szCs w:val="24"/>
              </w:rPr>
            </w:pPr>
            <w:r>
              <w:rPr>
                <w:rFonts w:hint="eastAsia" w:ascii="宋体" w:hAnsi="宋体" w:eastAsia="宋体" w:cs="宋体"/>
                <w:color w:val="auto"/>
                <w:sz w:val="24"/>
                <w:szCs w:val="24"/>
                <w:highlight w:val="none"/>
                <w:shd w:val="clear" w:color="auto" w:fill="auto"/>
              </w:rPr>
              <w:t>废水</w:t>
            </w:r>
          </w:p>
        </w:tc>
        <w:tc>
          <w:tcPr>
            <w:tcW w:w="2730" w:type="dxa"/>
            <w:shd w:val="clear" w:color="auto" w:fill="auto"/>
            <w:vAlign w:val="top"/>
          </w:tcPr>
          <w:p>
            <w:pPr>
              <w:jc w:val="center"/>
              <w:rPr>
                <w:rFonts w:ascii="宋体" w:hAnsi="宋体" w:eastAsia="宋体" w:cs="宋体"/>
                <w:sz w:val="24"/>
                <w:szCs w:val="24"/>
              </w:rPr>
            </w:pPr>
            <w:r>
              <w:rPr>
                <w:rFonts w:hint="eastAsia" w:ascii="宋体" w:hAnsi="宋体" w:eastAsia="宋体" w:cs="宋体"/>
                <w:color w:val="auto"/>
                <w:sz w:val="24"/>
                <w:szCs w:val="24"/>
                <w:highlight w:val="none"/>
                <w:shd w:val="clear" w:color="auto" w:fill="auto"/>
              </w:rPr>
              <w:t>社会信用代码</w:t>
            </w:r>
          </w:p>
        </w:tc>
        <w:tc>
          <w:tcPr>
            <w:tcW w:w="2087" w:type="dxa"/>
            <w:shd w:val="clear" w:color="auto" w:fill="auto"/>
            <w:vAlign w:val="top"/>
          </w:tcPr>
          <w:p>
            <w:pPr>
              <w:jc w:val="center"/>
              <w:rPr>
                <w:rFonts w:ascii="宋体" w:hAnsi="宋体" w:eastAsia="宋体" w:cs="宋体"/>
                <w:sz w:val="24"/>
                <w:szCs w:val="24"/>
              </w:rPr>
            </w:pPr>
            <w:r>
              <w:rPr>
                <w:rFonts w:ascii="微软雅黑" w:hAnsi="微软雅黑" w:eastAsia="微软雅黑" w:cs="微软雅黑"/>
                <w:i w:val="0"/>
                <w:iCs w:val="0"/>
                <w:caps w:val="0"/>
                <w:color w:val="auto"/>
                <w:spacing w:val="0"/>
                <w:sz w:val="18"/>
                <w:szCs w:val="18"/>
                <w:highlight w:val="none"/>
                <w:shd w:val="clear" w:color="auto" w:fill="auto"/>
              </w:rPr>
              <w:t>91360734556005640F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84" w:type="dxa"/>
            <w:shd w:val="clear" w:color="auto" w:fill="auto"/>
            <w:vAlign w:val="top"/>
          </w:tcPr>
          <w:p>
            <w:pPr>
              <w:jc w:val="center"/>
              <w:rPr>
                <w:rFonts w:ascii="宋体" w:hAnsi="宋体" w:eastAsia="宋体" w:cs="宋体"/>
                <w:sz w:val="24"/>
                <w:szCs w:val="24"/>
              </w:rPr>
            </w:pPr>
            <w:r>
              <w:rPr>
                <w:rFonts w:hint="eastAsia" w:ascii="宋体" w:hAnsi="宋体" w:eastAsia="宋体" w:cs="宋体"/>
                <w:color w:val="auto"/>
                <w:sz w:val="24"/>
                <w:szCs w:val="24"/>
                <w:highlight w:val="none"/>
                <w:shd w:val="clear" w:color="auto" w:fill="auto"/>
              </w:rPr>
              <w:t>方案审核地址</w:t>
            </w:r>
          </w:p>
        </w:tc>
        <w:tc>
          <w:tcPr>
            <w:tcW w:w="6752" w:type="dxa"/>
            <w:gridSpan w:val="3"/>
            <w:shd w:val="clear" w:color="auto" w:fill="auto"/>
            <w:vAlign w:val="top"/>
          </w:tcPr>
          <w:p>
            <w:pPr>
              <w:jc w:val="center"/>
              <w:rPr>
                <w:rFonts w:ascii="宋体" w:hAnsi="宋体" w:eastAsia="宋体" w:cs="宋体"/>
                <w:sz w:val="24"/>
                <w:szCs w:val="24"/>
              </w:rPr>
            </w:pPr>
            <w:r>
              <w:rPr>
                <w:rFonts w:hint="eastAsia" w:ascii="宋体" w:hAnsi="宋体" w:eastAsia="宋体" w:cs="宋体"/>
                <w:b w:val="0"/>
                <w:bCs w:val="0"/>
                <w:color w:val="auto"/>
                <w:sz w:val="24"/>
                <w:szCs w:val="24"/>
                <w:highlight w:val="none"/>
                <w:shd w:val="clear" w:color="auto" w:fill="auto"/>
                <w:lang w:val="en-US" w:eastAsia="zh-CN"/>
              </w:rPr>
              <w:t>赣州市寻乌生态环境局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84" w:type="dxa"/>
            <w:vMerge w:val="restart"/>
            <w:shd w:val="clear" w:color="auto" w:fill="auto"/>
            <w:vAlign w:val="top"/>
          </w:tcPr>
          <w:p>
            <w:pPr>
              <w:jc w:val="center"/>
              <w:rPr>
                <w:rFonts w:ascii="宋体" w:hAnsi="宋体" w:eastAsia="宋体" w:cs="宋体"/>
                <w:sz w:val="24"/>
                <w:szCs w:val="24"/>
              </w:rPr>
            </w:pPr>
            <w:r>
              <w:rPr>
                <w:rFonts w:hint="eastAsia" w:ascii="宋体" w:hAnsi="宋体" w:eastAsia="宋体" w:cs="宋体"/>
                <w:color w:val="auto"/>
                <w:sz w:val="24"/>
                <w:szCs w:val="24"/>
                <w:highlight w:val="none"/>
                <w:shd w:val="clear" w:color="auto" w:fill="auto"/>
              </w:rPr>
              <w:t>中心经度</w:t>
            </w:r>
          </w:p>
        </w:tc>
        <w:tc>
          <w:tcPr>
            <w:tcW w:w="1935" w:type="dxa"/>
            <w:shd w:val="clear" w:color="auto" w:fill="auto"/>
            <w:vAlign w:val="center"/>
          </w:tcPr>
          <w:p>
            <w:pPr>
              <w:ind w:firstLine="480" w:firstLineChars="200"/>
              <w:jc w:val="center"/>
              <w:rPr>
                <w:rFonts w:ascii="宋体" w:hAnsi="宋体" w:eastAsia="宋体" w:cs="宋体"/>
                <w:sz w:val="24"/>
                <w:szCs w:val="24"/>
              </w:rPr>
            </w:pPr>
            <w:r>
              <w:rPr>
                <w:rFonts w:hint="eastAsia" w:ascii="宋体" w:hAnsi="宋体" w:eastAsia="宋体" w:cs="宋体"/>
                <w:color w:val="auto"/>
                <w:sz w:val="24"/>
                <w:szCs w:val="24"/>
                <w:highlight w:val="none"/>
                <w:shd w:val="clear" w:color="auto" w:fill="auto"/>
                <w:lang w:val="en-US" w:eastAsia="zh-CN"/>
              </w:rPr>
              <w:t>24</w:t>
            </w:r>
            <w:r>
              <w:rPr>
                <w:rFonts w:hint="eastAsia" w:ascii="宋体" w:hAnsi="宋体" w:eastAsia="宋体" w:cs="宋体"/>
                <w:color w:val="auto"/>
                <w:sz w:val="24"/>
                <w:szCs w:val="24"/>
                <w:highlight w:val="none"/>
                <w:shd w:val="clear" w:color="auto" w:fill="auto"/>
              </w:rPr>
              <w:t>度</w:t>
            </w:r>
          </w:p>
        </w:tc>
        <w:tc>
          <w:tcPr>
            <w:tcW w:w="2730" w:type="dxa"/>
            <w:vMerge w:val="restart"/>
            <w:shd w:val="clear" w:color="auto" w:fill="auto"/>
            <w:vAlign w:val="top"/>
          </w:tcPr>
          <w:p>
            <w:pPr>
              <w:jc w:val="center"/>
              <w:rPr>
                <w:rFonts w:ascii="宋体" w:hAnsi="宋体" w:eastAsia="宋体" w:cs="宋体"/>
                <w:sz w:val="24"/>
                <w:szCs w:val="24"/>
              </w:rPr>
            </w:pPr>
            <w:r>
              <w:rPr>
                <w:rFonts w:hint="eastAsia" w:ascii="宋体" w:hAnsi="宋体" w:eastAsia="宋体" w:cs="宋体"/>
                <w:color w:val="auto"/>
                <w:sz w:val="24"/>
                <w:szCs w:val="24"/>
                <w:highlight w:val="none"/>
                <w:shd w:val="clear" w:color="auto" w:fill="auto"/>
              </w:rPr>
              <w:t>中心纬度</w:t>
            </w:r>
          </w:p>
        </w:tc>
        <w:tc>
          <w:tcPr>
            <w:tcW w:w="2087" w:type="dxa"/>
            <w:shd w:val="clear" w:color="auto" w:fill="auto"/>
            <w:vAlign w:val="center"/>
          </w:tcPr>
          <w:p>
            <w:pPr>
              <w:ind w:firstLine="480" w:firstLineChars="200"/>
              <w:jc w:val="center"/>
              <w:rPr>
                <w:rFonts w:ascii="宋体" w:hAnsi="宋体" w:eastAsia="宋体" w:cs="宋体"/>
                <w:sz w:val="24"/>
                <w:szCs w:val="24"/>
              </w:rPr>
            </w:pPr>
            <w:r>
              <w:rPr>
                <w:rFonts w:hint="eastAsia" w:ascii="宋体" w:hAnsi="宋体" w:eastAsia="宋体" w:cs="宋体"/>
                <w:color w:val="auto"/>
                <w:sz w:val="24"/>
                <w:szCs w:val="24"/>
                <w:highlight w:val="none"/>
                <w:shd w:val="clear" w:color="auto" w:fill="auto"/>
              </w:rPr>
              <w:t>115度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84" w:type="dxa"/>
            <w:vMerge w:val="continue"/>
            <w:shd w:val="clear" w:color="auto" w:fill="auto"/>
            <w:vAlign w:val="top"/>
          </w:tcPr>
          <w:p>
            <w:pPr>
              <w:jc w:val="center"/>
              <w:rPr>
                <w:rFonts w:ascii="宋体" w:hAnsi="宋体" w:eastAsia="宋体" w:cs="宋体"/>
                <w:sz w:val="24"/>
                <w:szCs w:val="24"/>
              </w:rPr>
            </w:pPr>
          </w:p>
        </w:tc>
        <w:tc>
          <w:tcPr>
            <w:tcW w:w="1935" w:type="dxa"/>
            <w:shd w:val="clear" w:color="auto" w:fill="auto"/>
            <w:vAlign w:val="center"/>
          </w:tcPr>
          <w:p>
            <w:pPr>
              <w:ind w:firstLine="480" w:firstLineChars="200"/>
              <w:jc w:val="center"/>
              <w:rPr>
                <w:rFonts w:ascii="宋体" w:hAnsi="宋体" w:eastAsia="宋体" w:cs="宋体"/>
                <w:sz w:val="24"/>
                <w:szCs w:val="24"/>
              </w:rPr>
            </w:pPr>
            <w:r>
              <w:rPr>
                <w:rFonts w:hint="eastAsia" w:ascii="宋体" w:hAnsi="宋体" w:eastAsia="宋体" w:cs="宋体"/>
                <w:color w:val="auto"/>
                <w:sz w:val="24"/>
                <w:szCs w:val="24"/>
                <w:highlight w:val="none"/>
                <w:shd w:val="clear" w:color="auto" w:fill="auto"/>
                <w:lang w:val="en-US" w:eastAsia="zh-CN"/>
              </w:rPr>
              <w:t>55</w:t>
            </w:r>
            <w:r>
              <w:rPr>
                <w:rFonts w:hint="eastAsia" w:ascii="宋体" w:hAnsi="宋体" w:eastAsia="宋体" w:cs="宋体"/>
                <w:color w:val="auto"/>
                <w:sz w:val="24"/>
                <w:szCs w:val="24"/>
                <w:highlight w:val="none"/>
                <w:shd w:val="clear" w:color="auto" w:fill="auto"/>
              </w:rPr>
              <w:t>分</w:t>
            </w:r>
          </w:p>
        </w:tc>
        <w:tc>
          <w:tcPr>
            <w:tcW w:w="2730" w:type="dxa"/>
            <w:vMerge w:val="continue"/>
            <w:shd w:val="clear" w:color="auto" w:fill="auto"/>
            <w:vAlign w:val="top"/>
          </w:tcPr>
          <w:p>
            <w:pPr>
              <w:jc w:val="center"/>
              <w:rPr>
                <w:rFonts w:ascii="宋体" w:hAnsi="宋体" w:eastAsia="宋体" w:cs="宋体"/>
                <w:sz w:val="24"/>
                <w:szCs w:val="24"/>
              </w:rPr>
            </w:pPr>
          </w:p>
        </w:tc>
        <w:tc>
          <w:tcPr>
            <w:tcW w:w="2087" w:type="dxa"/>
            <w:shd w:val="clear" w:color="auto" w:fill="auto"/>
            <w:vAlign w:val="center"/>
          </w:tcPr>
          <w:p>
            <w:pPr>
              <w:ind w:firstLine="480" w:firstLineChars="200"/>
              <w:jc w:val="center"/>
              <w:rPr>
                <w:rFonts w:ascii="宋体" w:hAnsi="宋体" w:eastAsia="宋体" w:cs="宋体"/>
                <w:sz w:val="24"/>
                <w:szCs w:val="24"/>
              </w:rPr>
            </w:pPr>
            <w:r>
              <w:rPr>
                <w:rFonts w:hint="eastAsia" w:ascii="宋体" w:hAnsi="宋体" w:eastAsia="宋体" w:cs="宋体"/>
                <w:color w:val="auto"/>
                <w:sz w:val="24"/>
                <w:szCs w:val="24"/>
                <w:highlight w:val="none"/>
                <w:shd w:val="clear" w:color="auto" w:fill="auto"/>
                <w:lang w:val="en-US" w:eastAsia="zh-CN"/>
              </w:rPr>
              <w:t>39</w:t>
            </w:r>
            <w:r>
              <w:rPr>
                <w:rFonts w:hint="eastAsia" w:ascii="宋体" w:hAnsi="宋体" w:eastAsia="宋体" w:cs="宋体"/>
                <w:color w:val="auto"/>
                <w:sz w:val="24"/>
                <w:szCs w:val="24"/>
                <w:highlight w:val="none"/>
                <w:shd w:val="clear" w:color="auto" w:fill="auto"/>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84" w:type="dxa"/>
            <w:vMerge w:val="continue"/>
            <w:shd w:val="clear" w:color="auto" w:fill="auto"/>
            <w:vAlign w:val="top"/>
          </w:tcPr>
          <w:p>
            <w:pPr>
              <w:jc w:val="center"/>
              <w:rPr>
                <w:rFonts w:ascii="宋体" w:hAnsi="宋体" w:eastAsia="宋体" w:cs="宋体"/>
                <w:sz w:val="24"/>
                <w:szCs w:val="24"/>
              </w:rPr>
            </w:pPr>
          </w:p>
        </w:tc>
        <w:tc>
          <w:tcPr>
            <w:tcW w:w="1935" w:type="dxa"/>
            <w:shd w:val="clear" w:color="auto" w:fill="auto"/>
            <w:vAlign w:val="center"/>
          </w:tcPr>
          <w:p>
            <w:pPr>
              <w:ind w:firstLine="480" w:firstLineChars="200"/>
              <w:jc w:val="center"/>
              <w:rPr>
                <w:rFonts w:ascii="宋体" w:hAnsi="宋体" w:eastAsia="宋体" w:cs="宋体"/>
                <w:sz w:val="24"/>
                <w:szCs w:val="24"/>
              </w:rPr>
            </w:pPr>
            <w:r>
              <w:rPr>
                <w:rFonts w:hint="eastAsia" w:ascii="宋体" w:hAnsi="宋体" w:eastAsia="宋体" w:cs="宋体"/>
                <w:color w:val="auto"/>
                <w:sz w:val="24"/>
                <w:szCs w:val="24"/>
                <w:highlight w:val="none"/>
                <w:shd w:val="clear" w:color="auto" w:fill="auto"/>
                <w:lang w:val="en-US" w:eastAsia="zh-CN"/>
              </w:rPr>
              <w:t>30</w:t>
            </w:r>
            <w:r>
              <w:rPr>
                <w:rFonts w:hint="eastAsia" w:ascii="宋体" w:hAnsi="宋体" w:eastAsia="宋体" w:cs="宋体"/>
                <w:color w:val="auto"/>
                <w:sz w:val="24"/>
                <w:szCs w:val="24"/>
                <w:highlight w:val="none"/>
                <w:shd w:val="clear" w:color="auto" w:fill="auto"/>
              </w:rPr>
              <w:t>秒</w:t>
            </w:r>
          </w:p>
        </w:tc>
        <w:tc>
          <w:tcPr>
            <w:tcW w:w="2730" w:type="dxa"/>
            <w:vMerge w:val="continue"/>
            <w:shd w:val="clear" w:color="auto" w:fill="auto"/>
            <w:vAlign w:val="top"/>
          </w:tcPr>
          <w:p>
            <w:pPr>
              <w:jc w:val="center"/>
              <w:rPr>
                <w:rFonts w:ascii="宋体" w:hAnsi="宋体" w:eastAsia="宋体" w:cs="宋体"/>
                <w:sz w:val="24"/>
                <w:szCs w:val="24"/>
              </w:rPr>
            </w:pPr>
          </w:p>
        </w:tc>
        <w:tc>
          <w:tcPr>
            <w:tcW w:w="2087" w:type="dxa"/>
            <w:shd w:val="clear" w:color="auto" w:fill="auto"/>
            <w:vAlign w:val="center"/>
          </w:tcPr>
          <w:p>
            <w:pPr>
              <w:ind w:firstLine="480" w:firstLineChars="200"/>
              <w:jc w:val="center"/>
              <w:rPr>
                <w:rFonts w:ascii="宋体" w:hAnsi="宋体" w:eastAsia="宋体" w:cs="宋体"/>
                <w:sz w:val="24"/>
                <w:szCs w:val="24"/>
              </w:rPr>
            </w:pPr>
            <w:r>
              <w:rPr>
                <w:rFonts w:hint="eastAsia" w:ascii="宋体" w:hAnsi="宋体" w:eastAsia="宋体" w:cs="宋体"/>
                <w:color w:val="auto"/>
                <w:sz w:val="24"/>
                <w:szCs w:val="24"/>
                <w:highlight w:val="none"/>
                <w:shd w:val="clear" w:color="auto" w:fill="auto"/>
                <w:lang w:val="en-US" w:eastAsia="zh-CN"/>
              </w:rPr>
              <w:t>35</w:t>
            </w:r>
            <w:r>
              <w:rPr>
                <w:rFonts w:hint="eastAsia" w:ascii="宋体" w:hAnsi="宋体" w:eastAsia="宋体" w:cs="宋体"/>
                <w:color w:val="auto"/>
                <w:sz w:val="24"/>
                <w:szCs w:val="24"/>
                <w:highlight w:val="none"/>
                <w:shd w:val="clear" w:color="auto" w:fill="auto"/>
              </w:rPr>
              <w:t>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84" w:type="dxa"/>
            <w:shd w:val="clear" w:color="auto" w:fill="auto"/>
            <w:vAlign w:val="top"/>
          </w:tcPr>
          <w:p>
            <w:pPr>
              <w:jc w:val="center"/>
              <w:rPr>
                <w:rFonts w:ascii="宋体" w:hAnsi="宋体" w:eastAsia="宋体" w:cs="宋体"/>
                <w:sz w:val="24"/>
                <w:szCs w:val="24"/>
              </w:rPr>
            </w:pPr>
            <w:r>
              <w:rPr>
                <w:rFonts w:hint="eastAsia" w:ascii="宋体" w:hAnsi="宋体" w:eastAsia="宋体" w:cs="宋体"/>
                <w:color w:val="auto"/>
                <w:sz w:val="24"/>
                <w:szCs w:val="24"/>
                <w:highlight w:val="none"/>
                <w:shd w:val="clear" w:color="auto" w:fill="auto"/>
              </w:rPr>
              <w:t>联系人</w:t>
            </w:r>
          </w:p>
        </w:tc>
        <w:tc>
          <w:tcPr>
            <w:tcW w:w="1935" w:type="dxa"/>
            <w:shd w:val="clear" w:color="auto" w:fill="auto"/>
            <w:vAlign w:val="center"/>
          </w:tcPr>
          <w:p>
            <w:pPr>
              <w:jc w:val="center"/>
              <w:rPr>
                <w:rFonts w:ascii="宋体" w:hAnsi="宋体" w:eastAsia="宋体" w:cs="宋体"/>
                <w:sz w:val="24"/>
                <w:szCs w:val="24"/>
              </w:rPr>
            </w:pPr>
            <w:r>
              <w:rPr>
                <w:rFonts w:hint="eastAsia" w:ascii="宋体" w:hAnsi="宋体" w:eastAsia="宋体" w:cs="宋体"/>
                <w:color w:val="auto"/>
                <w:sz w:val="24"/>
                <w:szCs w:val="24"/>
                <w:highlight w:val="none"/>
                <w:shd w:val="clear" w:color="auto" w:fill="auto"/>
                <w:lang w:val="en-US" w:eastAsia="zh-CN"/>
              </w:rPr>
              <w:t>黄敏明</w:t>
            </w:r>
          </w:p>
        </w:tc>
        <w:tc>
          <w:tcPr>
            <w:tcW w:w="2730" w:type="dxa"/>
            <w:shd w:val="clear" w:color="auto" w:fill="auto"/>
            <w:vAlign w:val="center"/>
          </w:tcPr>
          <w:p>
            <w:pPr>
              <w:jc w:val="center"/>
              <w:rPr>
                <w:rFonts w:ascii="宋体" w:hAnsi="宋体" w:eastAsia="宋体" w:cs="宋体"/>
                <w:sz w:val="24"/>
                <w:szCs w:val="24"/>
              </w:rPr>
            </w:pPr>
            <w:r>
              <w:rPr>
                <w:rFonts w:hint="eastAsia" w:ascii="宋体" w:hAnsi="宋体" w:eastAsia="宋体" w:cs="宋体"/>
                <w:color w:val="auto"/>
                <w:sz w:val="24"/>
                <w:szCs w:val="24"/>
                <w:highlight w:val="none"/>
                <w:shd w:val="clear" w:color="auto" w:fill="auto"/>
              </w:rPr>
              <w:t>电话号码</w:t>
            </w:r>
          </w:p>
        </w:tc>
        <w:tc>
          <w:tcPr>
            <w:tcW w:w="2087" w:type="dxa"/>
            <w:shd w:val="clear" w:color="auto" w:fill="auto"/>
            <w:vAlign w:val="center"/>
          </w:tcPr>
          <w:p>
            <w:pPr>
              <w:jc w:val="center"/>
              <w:rPr>
                <w:rFonts w:ascii="宋体" w:hAnsi="宋体" w:eastAsia="宋体" w:cs="宋体"/>
                <w:sz w:val="24"/>
                <w:szCs w:val="24"/>
              </w:rPr>
            </w:pPr>
            <w:r>
              <w:rPr>
                <w:rFonts w:hint="eastAsia" w:ascii="宋体" w:hAnsi="宋体" w:eastAsia="宋体" w:cs="宋体"/>
                <w:color w:val="auto"/>
                <w:sz w:val="24"/>
                <w:szCs w:val="24"/>
                <w:highlight w:val="none"/>
                <w:shd w:val="clear" w:color="auto" w:fill="auto"/>
                <w:lang w:val="en-US" w:eastAsia="zh-CN"/>
              </w:rPr>
              <w:t>0797-2856713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84" w:type="dxa"/>
            <w:shd w:val="clear" w:color="auto" w:fill="auto"/>
            <w:vAlign w:val="top"/>
          </w:tcPr>
          <w:p>
            <w:pPr>
              <w:jc w:val="center"/>
              <w:rPr>
                <w:rFonts w:ascii="宋体" w:hAnsi="宋体" w:eastAsia="宋体" w:cs="宋体"/>
                <w:sz w:val="24"/>
                <w:szCs w:val="24"/>
              </w:rPr>
            </w:pPr>
            <w:r>
              <w:rPr>
                <w:rFonts w:hint="eastAsia" w:ascii="宋体" w:hAnsi="宋体" w:eastAsia="宋体" w:cs="宋体"/>
                <w:color w:val="auto"/>
                <w:sz w:val="24"/>
                <w:szCs w:val="24"/>
                <w:highlight w:val="none"/>
                <w:shd w:val="clear" w:color="auto" w:fill="auto"/>
              </w:rPr>
              <w:t>传真号码</w:t>
            </w:r>
          </w:p>
        </w:tc>
        <w:tc>
          <w:tcPr>
            <w:tcW w:w="1935" w:type="dxa"/>
            <w:shd w:val="clear" w:color="auto" w:fill="auto"/>
            <w:vAlign w:val="top"/>
          </w:tcPr>
          <w:p>
            <w:pPr>
              <w:jc w:val="center"/>
              <w:rPr>
                <w:rFonts w:ascii="宋体" w:hAnsi="宋体" w:eastAsia="宋体" w:cs="宋体"/>
                <w:sz w:val="24"/>
                <w:szCs w:val="24"/>
              </w:rPr>
            </w:pPr>
          </w:p>
        </w:tc>
        <w:tc>
          <w:tcPr>
            <w:tcW w:w="2730" w:type="dxa"/>
            <w:shd w:val="clear" w:color="auto" w:fill="auto"/>
            <w:vAlign w:val="top"/>
          </w:tcPr>
          <w:p>
            <w:pPr>
              <w:jc w:val="center"/>
              <w:rPr>
                <w:rFonts w:ascii="宋体" w:hAnsi="宋体" w:eastAsia="宋体" w:cs="宋体"/>
                <w:sz w:val="24"/>
                <w:szCs w:val="24"/>
              </w:rPr>
            </w:pPr>
            <w:r>
              <w:rPr>
                <w:rFonts w:hint="eastAsia" w:ascii="宋体" w:hAnsi="宋体" w:eastAsia="宋体" w:cs="宋体"/>
                <w:color w:val="auto"/>
                <w:sz w:val="24"/>
                <w:szCs w:val="24"/>
                <w:highlight w:val="none"/>
                <w:shd w:val="clear" w:color="auto" w:fill="auto"/>
              </w:rPr>
              <w:t>邮编</w:t>
            </w:r>
          </w:p>
        </w:tc>
        <w:tc>
          <w:tcPr>
            <w:tcW w:w="2087" w:type="dxa"/>
            <w:shd w:val="clear" w:color="auto" w:fill="auto"/>
            <w:vAlign w:val="top"/>
          </w:tcPr>
          <w:p>
            <w:pPr>
              <w:jc w:val="center"/>
              <w:rPr>
                <w:rFonts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84" w:type="dxa"/>
            <w:shd w:val="clear" w:color="auto" w:fill="auto"/>
            <w:vAlign w:val="top"/>
          </w:tcPr>
          <w:p>
            <w:pPr>
              <w:jc w:val="center"/>
              <w:rPr>
                <w:rFonts w:ascii="宋体" w:hAnsi="宋体" w:eastAsia="宋体" w:cs="宋体"/>
                <w:sz w:val="24"/>
                <w:szCs w:val="24"/>
              </w:rPr>
            </w:pPr>
            <w:r>
              <w:rPr>
                <w:rFonts w:hint="eastAsia" w:ascii="宋体" w:hAnsi="宋体" w:eastAsia="宋体" w:cs="宋体"/>
                <w:color w:val="auto"/>
                <w:sz w:val="24"/>
                <w:szCs w:val="24"/>
                <w:highlight w:val="none"/>
                <w:shd w:val="clear" w:color="auto" w:fill="auto"/>
              </w:rPr>
              <w:t>是否为VOC企业</w:t>
            </w:r>
          </w:p>
        </w:tc>
        <w:tc>
          <w:tcPr>
            <w:tcW w:w="1935" w:type="dxa"/>
            <w:shd w:val="clear" w:color="auto" w:fill="auto"/>
            <w:vAlign w:val="top"/>
          </w:tcPr>
          <w:p>
            <w:pPr>
              <w:jc w:val="center"/>
              <w:rPr>
                <w:rFonts w:ascii="宋体" w:hAnsi="宋体" w:eastAsia="宋体" w:cs="宋体"/>
                <w:sz w:val="24"/>
                <w:szCs w:val="24"/>
              </w:rPr>
            </w:pPr>
            <w:r>
              <w:rPr>
                <w:rFonts w:hint="eastAsia" w:ascii="宋体" w:hAnsi="宋体" w:eastAsia="宋体" w:cs="宋体"/>
                <w:color w:val="auto"/>
                <w:sz w:val="24"/>
                <w:szCs w:val="24"/>
                <w:highlight w:val="none"/>
                <w:shd w:val="clear" w:color="auto" w:fill="auto"/>
              </w:rPr>
              <w:t>否</w:t>
            </w:r>
          </w:p>
        </w:tc>
        <w:tc>
          <w:tcPr>
            <w:tcW w:w="2730" w:type="dxa"/>
            <w:shd w:val="clear" w:color="auto" w:fill="auto"/>
            <w:vAlign w:val="top"/>
          </w:tcPr>
          <w:p>
            <w:pPr>
              <w:jc w:val="center"/>
              <w:rPr>
                <w:rFonts w:ascii="宋体" w:hAnsi="宋体" w:eastAsia="宋体" w:cs="宋体"/>
                <w:sz w:val="24"/>
                <w:szCs w:val="24"/>
              </w:rPr>
            </w:pPr>
            <w:r>
              <w:rPr>
                <w:rFonts w:hint="eastAsia" w:ascii="宋体" w:hAnsi="宋体" w:eastAsia="宋体" w:cs="宋体"/>
                <w:color w:val="auto"/>
                <w:sz w:val="24"/>
                <w:szCs w:val="24"/>
                <w:highlight w:val="none"/>
                <w:shd w:val="clear" w:color="auto" w:fill="auto"/>
              </w:rPr>
              <w:t>自行监测开展方式</w:t>
            </w:r>
          </w:p>
        </w:tc>
        <w:tc>
          <w:tcPr>
            <w:tcW w:w="2087" w:type="dxa"/>
            <w:shd w:val="clear" w:color="auto" w:fill="auto"/>
            <w:vAlign w:val="top"/>
          </w:tcPr>
          <w:p>
            <w:pPr>
              <w:jc w:val="center"/>
              <w:rPr>
                <w:rFonts w:ascii="宋体" w:hAnsi="宋体" w:eastAsia="宋体" w:cs="宋体"/>
                <w:sz w:val="24"/>
                <w:szCs w:val="24"/>
              </w:rPr>
            </w:pPr>
            <w:r>
              <w:rPr>
                <w:rFonts w:hint="eastAsia" w:ascii="宋体" w:hAnsi="宋体" w:eastAsia="宋体" w:cs="宋体"/>
                <w:color w:val="auto"/>
                <w:sz w:val="24"/>
                <w:szCs w:val="24"/>
                <w:highlight w:val="none"/>
                <w:shd w:val="clear" w:color="auto" w:fill="auto"/>
              </w:rPr>
              <w:t>手工+自动+委托监测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84" w:type="dxa"/>
            <w:shd w:val="clear" w:color="auto" w:fill="auto"/>
            <w:vAlign w:val="top"/>
          </w:tcPr>
          <w:p>
            <w:pPr>
              <w:jc w:val="center"/>
              <w:rPr>
                <w:rFonts w:ascii="宋体" w:hAnsi="宋体" w:eastAsia="宋体" w:cs="宋体"/>
                <w:sz w:val="24"/>
                <w:szCs w:val="24"/>
              </w:rPr>
            </w:pPr>
            <w:r>
              <w:rPr>
                <w:rFonts w:hint="eastAsia" w:ascii="宋体" w:hAnsi="宋体" w:eastAsia="宋体" w:cs="宋体"/>
                <w:color w:val="auto"/>
                <w:sz w:val="24"/>
                <w:szCs w:val="24"/>
                <w:highlight w:val="none"/>
                <w:shd w:val="clear" w:color="auto" w:fill="auto"/>
              </w:rPr>
              <w:t>行业类别</w:t>
            </w:r>
          </w:p>
        </w:tc>
        <w:tc>
          <w:tcPr>
            <w:tcW w:w="1935" w:type="dxa"/>
            <w:shd w:val="clear" w:color="auto" w:fill="auto"/>
            <w:vAlign w:val="top"/>
          </w:tcPr>
          <w:p>
            <w:pPr>
              <w:jc w:val="center"/>
              <w:rPr>
                <w:rFonts w:ascii="宋体" w:hAnsi="宋体" w:eastAsia="宋体" w:cs="宋体"/>
                <w:sz w:val="24"/>
                <w:szCs w:val="24"/>
              </w:rPr>
            </w:pPr>
            <w:r>
              <w:rPr>
                <w:rFonts w:hint="eastAsia" w:ascii="宋体" w:hAnsi="宋体" w:eastAsia="宋体" w:cs="宋体"/>
                <w:color w:val="auto"/>
                <w:sz w:val="24"/>
                <w:szCs w:val="24"/>
                <w:highlight w:val="none"/>
                <w:shd w:val="clear" w:color="auto" w:fill="auto"/>
              </w:rPr>
              <w:t>污水处理及其再生利用</w:t>
            </w:r>
          </w:p>
        </w:tc>
        <w:tc>
          <w:tcPr>
            <w:tcW w:w="2730" w:type="dxa"/>
            <w:shd w:val="clear" w:color="auto" w:fill="auto"/>
            <w:vAlign w:val="top"/>
          </w:tcPr>
          <w:p>
            <w:pPr>
              <w:jc w:val="center"/>
              <w:rPr>
                <w:rFonts w:ascii="宋体" w:hAnsi="宋体" w:eastAsia="宋体" w:cs="宋体"/>
                <w:sz w:val="24"/>
                <w:szCs w:val="24"/>
              </w:rPr>
            </w:pPr>
            <w:r>
              <w:rPr>
                <w:rFonts w:hint="eastAsia" w:ascii="宋体" w:hAnsi="宋体" w:eastAsia="宋体" w:cs="宋体"/>
                <w:color w:val="auto"/>
                <w:sz w:val="24"/>
                <w:szCs w:val="24"/>
                <w:highlight w:val="none"/>
                <w:shd w:val="clear" w:color="auto" w:fill="auto"/>
              </w:rPr>
              <w:t>行业代码</w:t>
            </w:r>
          </w:p>
        </w:tc>
        <w:tc>
          <w:tcPr>
            <w:tcW w:w="2087" w:type="dxa"/>
            <w:shd w:val="clear" w:color="auto" w:fill="auto"/>
            <w:vAlign w:val="top"/>
          </w:tcPr>
          <w:p>
            <w:pPr>
              <w:jc w:val="center"/>
              <w:rPr>
                <w:rFonts w:ascii="宋体" w:hAnsi="宋体" w:eastAsia="宋体" w:cs="宋体"/>
                <w:sz w:val="24"/>
                <w:szCs w:val="24"/>
              </w:rPr>
            </w:pPr>
            <w:r>
              <w:rPr>
                <w:rFonts w:hint="eastAsia" w:ascii="宋体" w:hAnsi="宋体" w:eastAsia="宋体" w:cs="宋体"/>
                <w:color w:val="auto"/>
                <w:sz w:val="24"/>
                <w:szCs w:val="24"/>
                <w:highlight w:val="none"/>
                <w:shd w:val="clear" w:color="auto" w:fill="auto"/>
                <w:lang w:val="en-US" w:eastAsia="zh-CN"/>
              </w:rPr>
              <w:t>D4620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1884" w:type="dxa"/>
            <w:shd w:val="clear" w:color="auto" w:fill="auto"/>
            <w:vAlign w:val="top"/>
          </w:tcPr>
          <w:p>
            <w:pPr>
              <w:jc w:val="center"/>
              <w:rPr>
                <w:rFonts w:ascii="宋体" w:hAnsi="宋体" w:eastAsia="宋体" w:cs="宋体"/>
                <w:sz w:val="24"/>
                <w:szCs w:val="24"/>
              </w:rPr>
            </w:pPr>
            <w:r>
              <w:rPr>
                <w:rFonts w:hint="eastAsia" w:ascii="宋体" w:hAnsi="宋体" w:eastAsia="宋体" w:cs="宋体"/>
                <w:color w:val="auto"/>
                <w:sz w:val="24"/>
                <w:szCs w:val="24"/>
                <w:highlight w:val="none"/>
                <w:shd w:val="clear" w:color="auto" w:fill="auto"/>
              </w:rPr>
              <w:t>设计规模</w:t>
            </w:r>
          </w:p>
        </w:tc>
        <w:tc>
          <w:tcPr>
            <w:tcW w:w="1935" w:type="dxa"/>
            <w:shd w:val="clear" w:color="auto" w:fill="auto"/>
            <w:vAlign w:val="top"/>
          </w:tcPr>
          <w:p>
            <w:pPr>
              <w:jc w:val="center"/>
              <w:rPr>
                <w:rFonts w:ascii="宋体" w:hAnsi="宋体" w:eastAsia="宋体" w:cs="宋体"/>
                <w:sz w:val="24"/>
                <w:szCs w:val="24"/>
              </w:rPr>
            </w:pPr>
            <w:r>
              <w:rPr>
                <w:rFonts w:hint="eastAsia" w:ascii="宋体" w:hAnsi="宋体" w:eastAsia="宋体" w:cs="宋体"/>
                <w:color w:val="auto"/>
                <w:sz w:val="24"/>
                <w:szCs w:val="24"/>
                <w:highlight w:val="none"/>
                <w:shd w:val="clear" w:color="auto" w:fill="auto"/>
                <w:lang w:val="en-US" w:eastAsia="zh-CN"/>
              </w:rPr>
              <w:t>2万吨</w:t>
            </w:r>
          </w:p>
        </w:tc>
        <w:tc>
          <w:tcPr>
            <w:tcW w:w="2730" w:type="dxa"/>
            <w:shd w:val="clear" w:color="auto" w:fill="auto"/>
            <w:vAlign w:val="top"/>
          </w:tcPr>
          <w:p>
            <w:pPr>
              <w:jc w:val="center"/>
              <w:rPr>
                <w:rFonts w:ascii="宋体" w:hAnsi="宋体" w:eastAsia="宋体" w:cs="宋体"/>
                <w:sz w:val="24"/>
                <w:szCs w:val="24"/>
              </w:rPr>
            </w:pPr>
            <w:r>
              <w:rPr>
                <w:rFonts w:hint="eastAsia" w:ascii="宋体" w:hAnsi="宋体" w:eastAsia="宋体" w:cs="宋体"/>
                <w:color w:val="auto"/>
                <w:sz w:val="24"/>
                <w:szCs w:val="24"/>
                <w:highlight w:val="none"/>
                <w:shd w:val="clear" w:color="auto" w:fill="auto"/>
              </w:rPr>
              <w:t>服务范围</w:t>
            </w:r>
          </w:p>
        </w:tc>
        <w:tc>
          <w:tcPr>
            <w:tcW w:w="2087" w:type="dxa"/>
            <w:shd w:val="clear" w:color="auto" w:fill="auto"/>
            <w:vAlign w:val="top"/>
          </w:tcPr>
          <w:p>
            <w:pPr>
              <w:jc w:val="center"/>
              <w:rPr>
                <w:rFonts w:ascii="宋体" w:hAnsi="宋体" w:eastAsia="宋体" w:cs="宋体"/>
                <w:sz w:val="24"/>
                <w:szCs w:val="24"/>
              </w:rPr>
            </w:pPr>
            <w:r>
              <w:rPr>
                <w:rFonts w:hint="eastAsia" w:ascii="宋体" w:hAnsi="宋体" w:eastAsia="宋体" w:cs="宋体"/>
                <w:color w:val="auto"/>
                <w:sz w:val="24"/>
                <w:szCs w:val="24"/>
                <w:highlight w:val="none"/>
                <w:shd w:val="clear" w:color="auto" w:fill="auto"/>
                <w:lang w:val="en-US" w:eastAsia="zh-CN"/>
              </w:rPr>
              <w:t>寻乌县规划区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1884" w:type="dxa"/>
            <w:shd w:val="clear" w:color="auto" w:fill="auto"/>
            <w:vAlign w:val="top"/>
          </w:tcPr>
          <w:p>
            <w:pPr>
              <w:jc w:val="center"/>
              <w:rPr>
                <w:rFonts w:ascii="宋体" w:hAnsi="宋体" w:eastAsia="宋体" w:cs="宋体"/>
                <w:sz w:val="24"/>
                <w:szCs w:val="24"/>
                <w:highlight w:val="yellow"/>
              </w:rPr>
            </w:pPr>
            <w:r>
              <w:rPr>
                <w:rFonts w:hint="eastAsia" w:ascii="宋体" w:hAnsi="宋体" w:eastAsia="宋体" w:cs="宋体"/>
                <w:color w:val="auto"/>
                <w:sz w:val="24"/>
                <w:szCs w:val="24"/>
                <w:highlight w:val="none"/>
                <w:shd w:val="clear" w:color="auto" w:fill="auto"/>
              </w:rPr>
              <w:t>排污方式</w:t>
            </w:r>
          </w:p>
        </w:tc>
        <w:tc>
          <w:tcPr>
            <w:tcW w:w="1935" w:type="dxa"/>
            <w:shd w:val="clear" w:color="auto" w:fill="auto"/>
            <w:vAlign w:val="top"/>
          </w:tcPr>
          <w:p>
            <w:pPr>
              <w:jc w:val="center"/>
              <w:rPr>
                <w:rFonts w:ascii="宋体" w:hAnsi="宋体" w:eastAsia="宋体" w:cs="宋体"/>
                <w:sz w:val="24"/>
                <w:szCs w:val="24"/>
                <w:highlight w:val="yellow"/>
              </w:rPr>
            </w:pPr>
            <w:r>
              <w:rPr>
                <w:rFonts w:hint="eastAsia" w:ascii="宋体" w:hAnsi="宋体" w:eastAsia="宋体" w:cs="宋体"/>
                <w:color w:val="auto"/>
                <w:sz w:val="24"/>
                <w:szCs w:val="24"/>
                <w:highlight w:val="none"/>
                <w:shd w:val="clear" w:color="auto" w:fill="auto"/>
                <w:lang w:val="en-US" w:eastAsia="zh-CN"/>
              </w:rPr>
              <w:t>通过管道流入江河</w:t>
            </w:r>
          </w:p>
        </w:tc>
        <w:tc>
          <w:tcPr>
            <w:tcW w:w="2730" w:type="dxa"/>
            <w:shd w:val="clear" w:color="auto" w:fill="auto"/>
            <w:vAlign w:val="top"/>
          </w:tcPr>
          <w:p>
            <w:pPr>
              <w:jc w:val="center"/>
              <w:rPr>
                <w:rFonts w:ascii="宋体" w:hAnsi="宋体" w:eastAsia="宋体" w:cs="宋体"/>
                <w:sz w:val="24"/>
                <w:szCs w:val="24"/>
                <w:highlight w:val="yellow"/>
              </w:rPr>
            </w:pPr>
            <w:r>
              <w:rPr>
                <w:rFonts w:hint="eastAsia" w:ascii="宋体" w:hAnsi="宋体" w:eastAsia="宋体" w:cs="宋体"/>
                <w:color w:val="auto"/>
                <w:sz w:val="24"/>
                <w:szCs w:val="24"/>
                <w:highlight w:val="none"/>
                <w:shd w:val="clear" w:color="auto" w:fill="auto"/>
              </w:rPr>
              <w:t>受纳水体</w:t>
            </w:r>
          </w:p>
        </w:tc>
        <w:tc>
          <w:tcPr>
            <w:tcW w:w="2087" w:type="dxa"/>
            <w:shd w:val="clear" w:color="auto" w:fill="auto"/>
            <w:vAlign w:val="top"/>
          </w:tcPr>
          <w:p>
            <w:pPr>
              <w:jc w:val="center"/>
              <w:rPr>
                <w:rFonts w:ascii="宋体" w:hAnsi="宋体" w:eastAsia="宋体" w:cs="宋体"/>
                <w:sz w:val="24"/>
                <w:szCs w:val="24"/>
                <w:highlight w:val="yellow"/>
              </w:rPr>
            </w:pPr>
            <w:r>
              <w:rPr>
                <w:rFonts w:hint="eastAsia" w:ascii="宋体" w:hAnsi="宋体" w:eastAsia="宋体" w:cs="宋体"/>
                <w:color w:val="auto"/>
                <w:sz w:val="24"/>
                <w:szCs w:val="24"/>
                <w:highlight w:val="none"/>
                <w:shd w:val="clear" w:color="auto" w:fill="auto"/>
                <w:lang w:val="en-US" w:eastAsia="zh-CN"/>
              </w:rPr>
              <w:t>马蹄河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84" w:type="dxa"/>
            <w:shd w:val="clear" w:color="auto" w:fill="auto"/>
            <w:vAlign w:val="top"/>
          </w:tcPr>
          <w:p>
            <w:pPr>
              <w:jc w:val="center"/>
              <w:rPr>
                <w:rFonts w:ascii="宋体" w:hAnsi="宋体" w:eastAsia="宋体" w:cs="宋体"/>
                <w:sz w:val="24"/>
                <w:szCs w:val="24"/>
              </w:rPr>
            </w:pPr>
            <w:r>
              <w:rPr>
                <w:rFonts w:hint="eastAsia" w:ascii="宋体" w:hAnsi="宋体" w:eastAsia="宋体" w:cs="宋体"/>
                <w:color w:val="auto"/>
                <w:sz w:val="24"/>
                <w:szCs w:val="24"/>
                <w:highlight w:val="none"/>
                <w:shd w:val="clear" w:color="auto" w:fill="auto"/>
              </w:rPr>
              <w:t>技术负责人</w:t>
            </w:r>
          </w:p>
        </w:tc>
        <w:tc>
          <w:tcPr>
            <w:tcW w:w="1935" w:type="dxa"/>
            <w:shd w:val="clear" w:color="auto" w:fill="auto"/>
            <w:vAlign w:val="top"/>
          </w:tcPr>
          <w:p>
            <w:pPr>
              <w:jc w:val="center"/>
              <w:rPr>
                <w:rFonts w:ascii="宋体" w:hAnsi="宋体" w:eastAsia="宋体" w:cs="宋体"/>
                <w:sz w:val="24"/>
                <w:szCs w:val="24"/>
              </w:rPr>
            </w:pPr>
            <w:r>
              <w:rPr>
                <w:rFonts w:hint="eastAsia" w:ascii="宋体" w:hAnsi="宋体" w:eastAsia="宋体" w:cs="宋体"/>
                <w:color w:val="auto"/>
                <w:sz w:val="24"/>
                <w:szCs w:val="24"/>
                <w:highlight w:val="none"/>
                <w:shd w:val="clear" w:color="auto" w:fill="auto"/>
                <w:lang w:val="en-US" w:eastAsia="zh-CN"/>
              </w:rPr>
              <w:t>刘炎南</w:t>
            </w:r>
          </w:p>
        </w:tc>
        <w:tc>
          <w:tcPr>
            <w:tcW w:w="2730" w:type="dxa"/>
            <w:shd w:val="clear" w:color="auto" w:fill="auto"/>
            <w:vAlign w:val="top"/>
          </w:tcPr>
          <w:p>
            <w:pPr>
              <w:jc w:val="center"/>
              <w:rPr>
                <w:rFonts w:ascii="宋体" w:hAnsi="宋体" w:eastAsia="宋体" w:cs="宋体"/>
                <w:sz w:val="24"/>
                <w:szCs w:val="24"/>
              </w:rPr>
            </w:pPr>
            <w:r>
              <w:rPr>
                <w:rFonts w:hint="eastAsia" w:ascii="宋体" w:hAnsi="宋体" w:eastAsia="宋体" w:cs="宋体"/>
                <w:color w:val="auto"/>
                <w:sz w:val="24"/>
                <w:szCs w:val="24"/>
                <w:highlight w:val="none"/>
                <w:shd w:val="clear" w:color="auto" w:fill="auto"/>
              </w:rPr>
              <w:t>数据公开时限</w:t>
            </w:r>
          </w:p>
        </w:tc>
        <w:tc>
          <w:tcPr>
            <w:tcW w:w="2087" w:type="dxa"/>
            <w:shd w:val="clear" w:color="auto" w:fill="auto"/>
            <w:vAlign w:val="top"/>
          </w:tcPr>
          <w:p>
            <w:pPr>
              <w:jc w:val="center"/>
              <w:rPr>
                <w:rFonts w:ascii="宋体" w:hAnsi="宋体" w:eastAsia="宋体" w:cs="宋体"/>
                <w:b/>
                <w:bCs/>
                <w:sz w:val="32"/>
                <w:szCs w:val="32"/>
              </w:rPr>
            </w:pPr>
            <w:r>
              <w:rPr>
                <w:rFonts w:hint="eastAsia" w:ascii="宋体" w:hAnsi="宋体" w:eastAsia="宋体" w:cs="宋体"/>
                <w:color w:val="auto"/>
                <w:sz w:val="24"/>
                <w:szCs w:val="24"/>
                <w:highlight w:val="none"/>
                <w:shd w:val="clear" w:color="auto" w:fill="auto"/>
              </w:rPr>
              <w:t>手工：</w:t>
            </w:r>
            <w:r>
              <w:rPr>
                <w:rFonts w:hint="eastAsia" w:ascii="宋体" w:hAnsi="宋体" w:eastAsia="宋体" w:cs="宋体"/>
                <w:color w:val="auto"/>
                <w:sz w:val="24"/>
                <w:szCs w:val="24"/>
                <w:highlight w:val="none"/>
                <w:shd w:val="clear" w:color="auto" w:fill="auto"/>
                <w:lang w:val="en-US" w:eastAsia="zh-CN"/>
              </w:rPr>
              <w:t>收到报告后的</w:t>
            </w:r>
            <w:r>
              <w:rPr>
                <w:rFonts w:hint="eastAsia" w:ascii="宋体" w:hAnsi="宋体" w:eastAsia="宋体" w:cs="宋体"/>
                <w:color w:val="auto"/>
                <w:sz w:val="24"/>
                <w:szCs w:val="24"/>
                <w:highlight w:val="none"/>
                <w:shd w:val="clear" w:color="auto" w:fill="auto"/>
              </w:rPr>
              <w:t>次日，自动：实时</w:t>
            </w:r>
          </w:p>
        </w:tc>
      </w:tr>
    </w:tbl>
    <w:p>
      <w:pPr>
        <w:pStyle w:val="22"/>
        <w:spacing w:line="240" w:lineRule="auto"/>
        <w:ind w:firstLine="560"/>
        <w:outlineLvl w:val="1"/>
        <w:rPr>
          <w:rFonts w:ascii="宋体" w:hAnsi="宋体"/>
          <w:sz w:val="28"/>
          <w:szCs w:val="28"/>
        </w:rPr>
      </w:pPr>
      <w:r>
        <w:rPr>
          <w:rFonts w:hint="eastAsia" w:ascii="宋体" w:hAnsi="宋体"/>
          <w:sz w:val="28"/>
          <w:szCs w:val="28"/>
        </w:rPr>
        <w:t>2、污染物产生情况</w:t>
      </w:r>
    </w:p>
    <w:tbl>
      <w:tblPr>
        <w:tblStyle w:val="12"/>
        <w:tblW w:w="863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6"/>
        <w:gridCol w:w="77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6" w:type="dxa"/>
            <w:shd w:val="clear" w:color="auto" w:fill="auto"/>
          </w:tcPr>
          <w:p>
            <w:pPr>
              <w:jc w:val="left"/>
              <w:rPr>
                <w:rFonts w:ascii="宋体" w:hAnsi="宋体" w:eastAsia="宋体" w:cs="宋体"/>
                <w:sz w:val="24"/>
                <w:szCs w:val="24"/>
              </w:rPr>
            </w:pPr>
            <w:r>
              <w:rPr>
                <w:rFonts w:hint="eastAsia" w:ascii="宋体" w:hAnsi="宋体" w:eastAsia="宋体" w:cs="宋体"/>
                <w:sz w:val="24"/>
                <w:szCs w:val="24"/>
              </w:rPr>
              <w:t>废水</w:t>
            </w:r>
          </w:p>
        </w:tc>
        <w:tc>
          <w:tcPr>
            <w:tcW w:w="7757" w:type="dxa"/>
            <w:shd w:val="clear" w:color="auto" w:fill="auto"/>
            <w:vAlign w:val="top"/>
          </w:tcPr>
          <w:p>
            <w:pPr>
              <w:ind w:firstLine="480" w:firstLineChars="200"/>
              <w:jc w:val="left"/>
              <w:rPr>
                <w:rFonts w:ascii="宋体" w:hAnsi="宋体" w:eastAsia="宋体" w:cs="宋体"/>
                <w:sz w:val="24"/>
                <w:szCs w:val="24"/>
              </w:rPr>
            </w:pPr>
            <w:r>
              <w:rPr>
                <w:rFonts w:hint="eastAsia" w:ascii="宋体" w:hAnsi="宋体" w:eastAsia="宋体" w:cs="宋体"/>
                <w:color w:val="auto"/>
                <w:sz w:val="24"/>
                <w:szCs w:val="24"/>
                <w:highlight w:val="none"/>
                <w:shd w:val="clear" w:color="auto" w:fill="auto"/>
              </w:rPr>
              <w:t>处理城镇生活管网收集的负荷相关接管标准的生活污水，脱泥压滤产生的少量污水回流至厂区提升泵房，进行处理。出水排至</w:t>
            </w:r>
            <w:r>
              <w:rPr>
                <w:rFonts w:hint="eastAsia" w:ascii="宋体" w:hAnsi="宋体" w:eastAsia="宋体" w:cs="宋体"/>
                <w:color w:val="auto"/>
                <w:sz w:val="24"/>
                <w:szCs w:val="24"/>
                <w:highlight w:val="none"/>
                <w:shd w:val="clear" w:color="auto" w:fill="auto"/>
                <w:lang w:val="en-US" w:eastAsia="zh-CN"/>
              </w:rPr>
              <w:t>马蹄河</w:t>
            </w:r>
            <w:r>
              <w:rPr>
                <w:rFonts w:hint="eastAsia" w:ascii="宋体" w:hAnsi="宋体" w:eastAsia="宋体" w:cs="宋体"/>
                <w:color w:val="auto"/>
                <w:sz w:val="24"/>
                <w:szCs w:val="24"/>
                <w:highlight w:val="none"/>
                <w:shd w:val="clear" w:color="auto" w:fill="auto"/>
              </w:rPr>
              <w:t>，出水执行《城镇污水处理厂污染物排放标准》（GB18918-2002）一级A标准排放。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6" w:type="dxa"/>
            <w:shd w:val="clear" w:color="auto" w:fill="auto"/>
          </w:tcPr>
          <w:p>
            <w:pPr>
              <w:jc w:val="left"/>
              <w:rPr>
                <w:rFonts w:ascii="宋体" w:hAnsi="宋体" w:eastAsia="宋体" w:cs="宋体"/>
                <w:sz w:val="24"/>
                <w:szCs w:val="24"/>
              </w:rPr>
            </w:pPr>
            <w:r>
              <w:rPr>
                <w:rFonts w:hint="eastAsia" w:ascii="宋体" w:hAnsi="宋体" w:eastAsia="宋体" w:cs="宋体"/>
                <w:sz w:val="24"/>
                <w:szCs w:val="24"/>
              </w:rPr>
              <w:t>废气</w:t>
            </w:r>
          </w:p>
        </w:tc>
        <w:tc>
          <w:tcPr>
            <w:tcW w:w="7757" w:type="dxa"/>
            <w:shd w:val="clear" w:color="auto" w:fill="auto"/>
            <w:vAlign w:val="top"/>
          </w:tcPr>
          <w:p>
            <w:pPr>
              <w:ind w:firstLine="480" w:firstLineChars="200"/>
              <w:jc w:val="left"/>
              <w:rPr>
                <w:rFonts w:ascii="宋体" w:hAnsi="宋体" w:eastAsia="宋体" w:cs="宋体"/>
                <w:sz w:val="24"/>
                <w:szCs w:val="24"/>
              </w:rPr>
            </w:pPr>
            <w:r>
              <w:rPr>
                <w:rFonts w:hint="eastAsia" w:ascii="宋体" w:hAnsi="宋体" w:eastAsia="宋体" w:cs="宋体"/>
                <w:color w:val="auto"/>
                <w:sz w:val="24"/>
                <w:szCs w:val="24"/>
                <w:highlight w:val="none"/>
                <w:shd w:val="clear" w:color="auto" w:fill="auto"/>
              </w:rPr>
              <w:t>根据环评及环评批复，废气主要为污水及污泥处理过程中产生的恶臭，相关废气执行《城镇污水处理厂污染物排放标准》（GB18918-2002）二级标准排放</w:t>
            </w:r>
            <w:r>
              <w:rPr>
                <w:rFonts w:hint="eastAsia" w:ascii="宋体" w:hAnsi="宋体" w:eastAsia="宋体" w:cs="宋体"/>
                <w:color w:val="auto"/>
                <w:sz w:val="24"/>
                <w:szCs w:val="24"/>
                <w:highlight w:val="none"/>
                <w:shd w:val="clear" w:color="auto" w:fill="auto"/>
                <w:lang w:val="en-US" w:eastAsia="zh-CN"/>
              </w:rPr>
              <w:t>和</w:t>
            </w:r>
            <w:r>
              <w:rPr>
                <w:rFonts w:ascii="宋体" w:hAnsi="宋体" w:eastAsia="宋体" w:cs="宋体"/>
                <w:color w:val="auto"/>
                <w:kern w:val="0"/>
                <w:sz w:val="24"/>
                <w:szCs w:val="24"/>
                <w:highlight w:val="none"/>
                <w:shd w:val="clear" w:color="auto" w:fill="auto"/>
                <w:lang w:bidi="ar"/>
              </w:rPr>
              <w:t>《恶臭污染物排放标准》(GB14554-93)</w:t>
            </w:r>
            <w:r>
              <w:rPr>
                <w:rFonts w:hint="eastAsia" w:ascii="宋体" w:hAnsi="宋体" w:eastAsia="宋体" w:cs="宋体"/>
                <w:color w:val="auto"/>
                <w:kern w:val="0"/>
                <w:sz w:val="24"/>
                <w:szCs w:val="24"/>
                <w:highlight w:val="none"/>
                <w:shd w:val="clear" w:color="auto" w:fill="auto"/>
                <w:lang w:bidi="ar"/>
              </w:rPr>
              <w:t>表2排放限值</w:t>
            </w:r>
            <w:r>
              <w:rPr>
                <w:rFonts w:hint="eastAsia" w:ascii="宋体" w:hAnsi="宋体" w:eastAsia="宋体" w:cs="宋体"/>
                <w:color w:val="auto"/>
                <w:kern w:val="0"/>
                <w:sz w:val="24"/>
                <w:szCs w:val="24"/>
                <w:highlight w:val="none"/>
                <w:shd w:val="clear" w:color="auto" w:fill="auto"/>
                <w:lang w:eastAsia="zh-CN" w:bidi="ar"/>
              </w:rPr>
              <w:t>（</w:t>
            </w:r>
            <w:r>
              <w:rPr>
                <w:rFonts w:hint="eastAsia" w:ascii="宋体" w:hAnsi="宋体" w:eastAsia="宋体" w:cs="宋体"/>
                <w:color w:val="auto"/>
                <w:kern w:val="0"/>
                <w:sz w:val="24"/>
                <w:szCs w:val="24"/>
                <w:highlight w:val="none"/>
                <w:shd w:val="clear" w:color="auto" w:fill="auto"/>
                <w:lang w:val="en-US" w:eastAsia="zh-CN" w:bidi="ar"/>
              </w:rPr>
              <w:t>15m</w:t>
            </w:r>
            <w:r>
              <w:rPr>
                <w:rFonts w:hint="eastAsia" w:ascii="宋体" w:hAnsi="宋体" w:eastAsia="宋体" w:cs="宋体"/>
                <w:color w:val="auto"/>
                <w:kern w:val="0"/>
                <w:sz w:val="24"/>
                <w:szCs w:val="24"/>
                <w:highlight w:val="none"/>
                <w:shd w:val="clear" w:color="auto" w:fill="auto"/>
                <w:lang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6" w:type="dxa"/>
            <w:shd w:val="clear" w:color="auto" w:fill="auto"/>
          </w:tcPr>
          <w:p>
            <w:pPr>
              <w:jc w:val="left"/>
              <w:rPr>
                <w:rFonts w:ascii="宋体" w:hAnsi="宋体" w:eastAsia="宋体" w:cs="宋体"/>
                <w:sz w:val="24"/>
                <w:szCs w:val="24"/>
              </w:rPr>
            </w:pPr>
            <w:r>
              <w:rPr>
                <w:rFonts w:hint="eastAsia" w:ascii="宋体" w:hAnsi="宋体" w:eastAsia="宋体" w:cs="宋体"/>
                <w:sz w:val="24"/>
                <w:szCs w:val="24"/>
              </w:rPr>
              <w:t>噪声</w:t>
            </w:r>
          </w:p>
        </w:tc>
        <w:tc>
          <w:tcPr>
            <w:tcW w:w="7757" w:type="dxa"/>
            <w:shd w:val="clear" w:color="auto" w:fill="auto"/>
            <w:vAlign w:val="top"/>
          </w:tcPr>
          <w:p>
            <w:pPr>
              <w:ind w:firstLine="480" w:firstLineChars="200"/>
              <w:jc w:val="left"/>
              <w:rPr>
                <w:rFonts w:ascii="宋体" w:hAnsi="宋体" w:eastAsia="宋体" w:cs="宋体"/>
                <w:sz w:val="24"/>
                <w:szCs w:val="24"/>
              </w:rPr>
            </w:pPr>
            <w:r>
              <w:rPr>
                <w:rFonts w:hint="eastAsia" w:ascii="宋体" w:hAnsi="宋体" w:eastAsia="宋体" w:cs="宋体"/>
                <w:color w:val="auto"/>
                <w:sz w:val="24"/>
                <w:szCs w:val="24"/>
                <w:highlight w:val="none"/>
                <w:shd w:val="clear" w:color="auto" w:fill="auto"/>
              </w:rPr>
              <w:t>污水处理提升泵等设备运行过程中产生噪声执行，</w:t>
            </w:r>
            <w:r>
              <w:rPr>
                <w:rFonts w:hint="eastAsia" w:ascii="宋体" w:hAnsi="宋体" w:eastAsia="宋体" w:cs="宋体"/>
                <w:color w:val="auto"/>
                <w:sz w:val="24"/>
                <w:szCs w:val="24"/>
                <w:highlight w:val="none"/>
                <w:shd w:val="clear" w:color="auto" w:fill="auto"/>
                <w:lang w:val="en-US" w:eastAsia="zh-CN"/>
              </w:rPr>
              <w:t>南面临路厂界</w:t>
            </w:r>
            <w:r>
              <w:rPr>
                <w:rFonts w:hint="eastAsia" w:ascii="宋体" w:hAnsi="宋体" w:eastAsia="宋体" w:cs="宋体"/>
                <w:b w:val="0"/>
                <w:bCs w:val="0"/>
                <w:color w:val="auto"/>
                <w:sz w:val="24"/>
                <w:szCs w:val="24"/>
                <w:highlight w:val="none"/>
                <w:shd w:val="clear" w:color="auto" w:fill="auto"/>
                <w:lang w:eastAsia="zh-CN"/>
              </w:rPr>
              <w:t>执行《</w:t>
            </w:r>
            <w:r>
              <w:rPr>
                <w:rFonts w:hint="eastAsia" w:ascii="宋体" w:hAnsi="宋体" w:eastAsia="宋体" w:cs="宋体"/>
                <w:color w:val="auto"/>
                <w:sz w:val="21"/>
                <w:szCs w:val="21"/>
                <w:highlight w:val="none"/>
                <w:shd w:val="clear" w:color="auto" w:fill="auto"/>
              </w:rPr>
              <w:t>工业企业厂界环境噪声排放标准</w:t>
            </w:r>
            <w:r>
              <w:rPr>
                <w:rFonts w:hint="eastAsia" w:ascii="宋体" w:hAnsi="宋体" w:eastAsia="宋体" w:cs="宋体"/>
                <w:b w:val="0"/>
                <w:bCs w:val="0"/>
                <w:color w:val="auto"/>
                <w:sz w:val="24"/>
                <w:szCs w:val="24"/>
                <w:highlight w:val="none"/>
                <w:shd w:val="clear" w:color="auto" w:fill="auto"/>
                <w:lang w:eastAsia="zh-CN"/>
              </w:rPr>
              <w:t>》</w:t>
            </w:r>
            <w:r>
              <w:rPr>
                <w:rFonts w:hint="eastAsia" w:ascii="宋体" w:hAnsi="宋体" w:eastAsia="宋体" w:cs="宋体"/>
                <w:color w:val="auto"/>
                <w:sz w:val="24"/>
                <w:szCs w:val="24"/>
                <w:highlight w:val="none"/>
                <w:shd w:val="clear" w:color="auto" w:fill="auto"/>
              </w:rPr>
              <w:t>GB 12348-2008</w:t>
            </w:r>
            <w:r>
              <w:rPr>
                <w:rFonts w:hint="eastAsia" w:ascii="宋体" w:hAnsi="宋体" w:eastAsia="宋体" w:cs="宋体"/>
                <w:color w:val="auto"/>
                <w:sz w:val="24"/>
                <w:szCs w:val="24"/>
                <w:highlight w:val="none"/>
                <w:shd w:val="clear" w:color="auto" w:fill="auto"/>
                <w:lang w:val="en-US" w:eastAsia="zh-CN"/>
              </w:rPr>
              <w:t xml:space="preserve"> 4类排放标准，其他厂界</w:t>
            </w:r>
            <w:r>
              <w:rPr>
                <w:rFonts w:hint="eastAsia" w:ascii="宋体" w:hAnsi="宋体" w:eastAsia="宋体" w:cs="宋体"/>
                <w:b w:val="0"/>
                <w:bCs w:val="0"/>
                <w:color w:val="auto"/>
                <w:sz w:val="24"/>
                <w:szCs w:val="24"/>
                <w:highlight w:val="none"/>
                <w:shd w:val="clear" w:color="auto" w:fill="auto"/>
                <w:lang w:eastAsia="zh-CN"/>
              </w:rPr>
              <w:t>执行《</w:t>
            </w:r>
            <w:r>
              <w:rPr>
                <w:rFonts w:hint="eastAsia" w:ascii="宋体" w:hAnsi="宋体" w:eastAsia="宋体" w:cs="宋体"/>
                <w:color w:val="auto"/>
                <w:sz w:val="21"/>
                <w:szCs w:val="21"/>
                <w:highlight w:val="none"/>
                <w:shd w:val="clear" w:color="auto" w:fill="auto"/>
              </w:rPr>
              <w:t>工业企业厂界环境噪声排放标准</w:t>
            </w:r>
            <w:r>
              <w:rPr>
                <w:rFonts w:hint="eastAsia" w:ascii="宋体" w:hAnsi="宋体" w:eastAsia="宋体" w:cs="宋体"/>
                <w:b w:val="0"/>
                <w:bCs w:val="0"/>
                <w:color w:val="auto"/>
                <w:sz w:val="24"/>
                <w:szCs w:val="24"/>
                <w:highlight w:val="none"/>
                <w:shd w:val="clear" w:color="auto" w:fill="auto"/>
                <w:lang w:eastAsia="zh-CN"/>
              </w:rPr>
              <w:t>》</w:t>
            </w:r>
            <w:r>
              <w:rPr>
                <w:rFonts w:hint="eastAsia" w:ascii="宋体" w:hAnsi="宋体" w:eastAsia="宋体" w:cs="宋体"/>
                <w:color w:val="auto"/>
                <w:sz w:val="24"/>
                <w:szCs w:val="24"/>
                <w:highlight w:val="none"/>
                <w:shd w:val="clear" w:color="auto" w:fill="auto"/>
              </w:rPr>
              <w:t>GB 12348-2008</w:t>
            </w:r>
            <w:r>
              <w:rPr>
                <w:rFonts w:hint="eastAsia" w:ascii="宋体" w:hAnsi="宋体" w:eastAsia="宋体" w:cs="宋体"/>
                <w:color w:val="auto"/>
                <w:sz w:val="24"/>
                <w:szCs w:val="24"/>
                <w:highlight w:val="none"/>
                <w:shd w:val="clear" w:color="auto" w:fill="auto"/>
                <w:lang w:val="en-US" w:eastAsia="zh-CN"/>
              </w:rPr>
              <w:t xml:space="preserve">  3类排放标准。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6" w:type="dxa"/>
            <w:shd w:val="clear" w:color="auto" w:fill="auto"/>
          </w:tcPr>
          <w:p>
            <w:pPr>
              <w:jc w:val="left"/>
              <w:rPr>
                <w:rFonts w:ascii="宋体" w:hAnsi="宋体" w:eastAsia="宋体" w:cs="宋体"/>
                <w:sz w:val="24"/>
                <w:szCs w:val="24"/>
              </w:rPr>
            </w:pPr>
            <w:r>
              <w:rPr>
                <w:rFonts w:hint="eastAsia" w:ascii="宋体" w:hAnsi="宋体" w:eastAsia="宋体" w:cs="宋体"/>
                <w:sz w:val="24"/>
                <w:szCs w:val="24"/>
              </w:rPr>
              <w:t>固废</w:t>
            </w:r>
          </w:p>
        </w:tc>
        <w:tc>
          <w:tcPr>
            <w:tcW w:w="7757" w:type="dxa"/>
            <w:shd w:val="clear" w:color="auto" w:fill="auto"/>
            <w:vAlign w:val="top"/>
          </w:tcPr>
          <w:p>
            <w:pPr>
              <w:ind w:firstLine="480" w:firstLineChars="200"/>
              <w:jc w:val="left"/>
              <w:rPr>
                <w:rFonts w:ascii="宋体" w:hAnsi="宋体" w:eastAsia="宋体" w:cs="宋体"/>
                <w:sz w:val="24"/>
                <w:szCs w:val="24"/>
              </w:rPr>
            </w:pPr>
            <w:r>
              <w:rPr>
                <w:rFonts w:hint="eastAsia" w:ascii="宋体" w:hAnsi="宋体" w:eastAsia="宋体" w:cs="宋体"/>
                <w:color w:val="auto"/>
                <w:sz w:val="24"/>
                <w:szCs w:val="24"/>
                <w:highlight w:val="none"/>
                <w:shd w:val="clear" w:color="auto" w:fill="auto"/>
              </w:rPr>
              <w:t>根据环评及环评批复，我司污水处理厂固体废物主要为污水处理过程中产生的剩余污泥，固体废物满足相关稳定化和脱水处理后，再外运至政府指定的地点，一年预计产生</w:t>
            </w:r>
            <w:r>
              <w:rPr>
                <w:rFonts w:hint="eastAsia" w:ascii="宋体" w:hAnsi="宋体" w:eastAsia="宋体" w:cs="宋体"/>
                <w:color w:val="auto"/>
                <w:sz w:val="24"/>
                <w:szCs w:val="24"/>
                <w:highlight w:val="none"/>
                <w:shd w:val="clear" w:color="auto" w:fill="auto"/>
                <w:lang w:val="en-US" w:eastAsia="zh-CN"/>
              </w:rPr>
              <w:t>5200</w:t>
            </w:r>
            <w:r>
              <w:rPr>
                <w:rFonts w:hint="eastAsia" w:ascii="宋体" w:hAnsi="宋体" w:eastAsia="宋体" w:cs="宋体"/>
                <w:color w:val="auto"/>
                <w:sz w:val="24"/>
                <w:szCs w:val="24"/>
                <w:highlight w:val="none"/>
                <w:shd w:val="clear" w:color="auto" w:fill="auto"/>
              </w:rPr>
              <w:t>吨。</w:t>
            </w:r>
          </w:p>
        </w:tc>
      </w:tr>
    </w:tbl>
    <w:p>
      <w:pPr>
        <w:pStyle w:val="22"/>
        <w:spacing w:line="240" w:lineRule="auto"/>
        <w:ind w:firstLine="560"/>
        <w:outlineLvl w:val="1"/>
        <w:rPr>
          <w:rFonts w:ascii="宋体" w:hAnsi="宋体"/>
          <w:color w:val="FF0000"/>
          <w:sz w:val="28"/>
          <w:szCs w:val="28"/>
        </w:rPr>
      </w:pPr>
      <w:r>
        <w:rPr>
          <w:rFonts w:hint="eastAsia" w:ascii="宋体" w:hAnsi="宋体"/>
          <w:sz w:val="28"/>
          <w:szCs w:val="28"/>
        </w:rPr>
        <w:t>3、污染处理设施情况</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8"/>
        <w:gridCol w:w="66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8" w:type="dxa"/>
            <w:shd w:val="clear" w:color="auto" w:fill="auto"/>
          </w:tcPr>
          <w:p>
            <w:pPr>
              <w:jc w:val="left"/>
              <w:rPr>
                <w:rFonts w:ascii="宋体" w:hAnsi="宋体" w:eastAsia="宋体" w:cs="宋体"/>
                <w:sz w:val="24"/>
                <w:szCs w:val="24"/>
              </w:rPr>
            </w:pPr>
            <w:r>
              <w:rPr>
                <w:rFonts w:hint="eastAsia" w:ascii="宋体" w:hAnsi="宋体" w:eastAsia="宋体" w:cs="宋体"/>
                <w:sz w:val="24"/>
                <w:szCs w:val="24"/>
              </w:rPr>
              <w:t>废水治理设施</w:t>
            </w:r>
          </w:p>
        </w:tc>
        <w:tc>
          <w:tcPr>
            <w:tcW w:w="6672" w:type="dxa"/>
            <w:shd w:val="clear" w:color="auto" w:fill="auto"/>
            <w:vAlign w:val="top"/>
          </w:tcPr>
          <w:p>
            <w:pPr>
              <w:ind w:firstLine="480" w:firstLineChars="200"/>
              <w:jc w:val="left"/>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lang w:eastAsia="zh-CN"/>
              </w:rPr>
              <w:t>寻乌县生活污水处理厂占地面积</w:t>
            </w:r>
            <w:r>
              <w:rPr>
                <w:rFonts w:hint="eastAsia" w:ascii="宋体" w:hAnsi="宋体" w:eastAsia="宋体" w:cs="宋体"/>
                <w:color w:val="auto"/>
                <w:sz w:val="24"/>
                <w:szCs w:val="24"/>
                <w:highlight w:val="none"/>
                <w:shd w:val="clear" w:color="auto" w:fill="auto"/>
                <w:lang w:val="en-US" w:eastAsia="zh-CN"/>
              </w:rPr>
              <w:t>40</w:t>
            </w:r>
            <w:r>
              <w:rPr>
                <w:rFonts w:hint="eastAsia" w:ascii="宋体" w:hAnsi="宋体" w:eastAsia="宋体" w:cs="宋体"/>
                <w:color w:val="auto"/>
                <w:sz w:val="24"/>
                <w:szCs w:val="24"/>
                <w:highlight w:val="none"/>
                <w:shd w:val="clear" w:color="auto" w:fill="auto"/>
                <w:lang w:eastAsia="zh-CN"/>
              </w:rPr>
              <w:t>亩，主要收集处理城区生活污水的处理，2010年完成一期日处理1万吨规模的建设，设计总处理规模为2万吨/日。</w:t>
            </w:r>
            <w:r>
              <w:rPr>
                <w:rFonts w:hint="eastAsia" w:ascii="宋体" w:hAnsi="宋体" w:eastAsia="宋体" w:cs="宋体"/>
                <w:color w:val="auto"/>
                <w:sz w:val="24"/>
                <w:szCs w:val="24"/>
                <w:highlight w:val="none"/>
                <w:shd w:val="clear" w:color="auto" w:fill="auto"/>
              </w:rPr>
              <w:t>二期扩容污水处理能力1万吨∕日、提标</w:t>
            </w:r>
            <w:r>
              <w:rPr>
                <w:rFonts w:hint="eastAsia" w:ascii="宋体" w:hAnsi="宋体" w:eastAsia="宋体" w:cs="宋体"/>
                <w:color w:val="auto"/>
                <w:sz w:val="24"/>
                <w:szCs w:val="24"/>
                <w:highlight w:val="none"/>
                <w:shd w:val="clear" w:color="auto" w:fill="auto"/>
                <w:lang w:val="en-US" w:eastAsia="zh-CN"/>
              </w:rPr>
              <w:t>2</w:t>
            </w:r>
            <w:r>
              <w:rPr>
                <w:rFonts w:hint="eastAsia" w:ascii="宋体" w:hAnsi="宋体" w:eastAsia="宋体" w:cs="宋体"/>
                <w:color w:val="auto"/>
                <w:sz w:val="24"/>
                <w:szCs w:val="24"/>
                <w:highlight w:val="none"/>
                <w:shd w:val="clear" w:color="auto" w:fill="auto"/>
              </w:rPr>
              <w:t>万吨∕日的规模于20</w:t>
            </w:r>
            <w:r>
              <w:rPr>
                <w:rFonts w:hint="eastAsia" w:ascii="宋体" w:hAnsi="宋体" w:eastAsia="宋体" w:cs="宋体"/>
                <w:color w:val="auto"/>
                <w:sz w:val="24"/>
                <w:szCs w:val="24"/>
                <w:highlight w:val="none"/>
                <w:shd w:val="clear" w:color="auto" w:fill="auto"/>
                <w:lang w:val="en-US" w:eastAsia="zh-CN"/>
              </w:rPr>
              <w:t>1</w:t>
            </w:r>
            <w:r>
              <w:rPr>
                <w:rFonts w:hint="eastAsia" w:ascii="宋体" w:hAnsi="宋体" w:eastAsia="宋体" w:cs="宋体"/>
                <w:color w:val="auto"/>
                <w:sz w:val="24"/>
                <w:szCs w:val="24"/>
                <w:highlight w:val="none"/>
                <w:shd w:val="clear" w:color="auto" w:fill="auto"/>
              </w:rPr>
              <w:t>8年</w:t>
            </w:r>
            <w:r>
              <w:rPr>
                <w:rFonts w:hint="eastAsia" w:ascii="宋体" w:hAnsi="宋体" w:eastAsia="宋体" w:cs="宋体"/>
                <w:color w:val="auto"/>
                <w:sz w:val="24"/>
                <w:szCs w:val="24"/>
                <w:highlight w:val="none"/>
                <w:shd w:val="clear" w:color="auto" w:fill="auto"/>
                <w:lang w:val="en-US" w:eastAsia="zh-CN"/>
              </w:rPr>
              <w:t>8</w:t>
            </w:r>
            <w:r>
              <w:rPr>
                <w:rFonts w:hint="eastAsia" w:ascii="宋体" w:hAnsi="宋体" w:eastAsia="宋体" w:cs="宋体"/>
                <w:color w:val="auto"/>
                <w:sz w:val="24"/>
                <w:szCs w:val="24"/>
                <w:highlight w:val="none"/>
                <w:shd w:val="clear" w:color="auto" w:fill="auto"/>
              </w:rPr>
              <w:t>月开工建设，20</w:t>
            </w:r>
            <w:r>
              <w:rPr>
                <w:rFonts w:hint="eastAsia" w:ascii="宋体" w:hAnsi="宋体" w:eastAsia="宋体" w:cs="宋体"/>
                <w:color w:val="auto"/>
                <w:sz w:val="24"/>
                <w:szCs w:val="24"/>
                <w:highlight w:val="none"/>
                <w:shd w:val="clear" w:color="auto" w:fill="auto"/>
                <w:lang w:val="en-US" w:eastAsia="zh-CN"/>
              </w:rPr>
              <w:t>20</w:t>
            </w:r>
            <w:r>
              <w:rPr>
                <w:rFonts w:hint="eastAsia" w:ascii="宋体" w:hAnsi="宋体" w:eastAsia="宋体" w:cs="宋体"/>
                <w:color w:val="auto"/>
                <w:sz w:val="24"/>
                <w:szCs w:val="24"/>
                <w:highlight w:val="none"/>
                <w:shd w:val="clear" w:color="auto" w:fill="auto"/>
              </w:rPr>
              <w:t>年1</w:t>
            </w:r>
            <w:r>
              <w:rPr>
                <w:rFonts w:hint="eastAsia" w:ascii="宋体" w:hAnsi="宋体" w:eastAsia="宋体" w:cs="宋体"/>
                <w:color w:val="auto"/>
                <w:sz w:val="24"/>
                <w:szCs w:val="24"/>
                <w:highlight w:val="none"/>
                <w:shd w:val="clear" w:color="auto" w:fill="auto"/>
                <w:lang w:val="en-US" w:eastAsia="zh-CN"/>
              </w:rPr>
              <w:t>0</w:t>
            </w:r>
            <w:r>
              <w:rPr>
                <w:rFonts w:hint="eastAsia" w:ascii="宋体" w:hAnsi="宋体" w:eastAsia="宋体" w:cs="宋体"/>
                <w:color w:val="auto"/>
                <w:sz w:val="24"/>
                <w:szCs w:val="24"/>
                <w:highlight w:val="none"/>
                <w:shd w:val="clear" w:color="auto" w:fill="auto"/>
              </w:rPr>
              <w:t>月竣工并完成试运行，20</w:t>
            </w:r>
            <w:r>
              <w:rPr>
                <w:rFonts w:hint="eastAsia" w:ascii="宋体" w:hAnsi="宋体" w:eastAsia="宋体" w:cs="宋体"/>
                <w:color w:val="auto"/>
                <w:sz w:val="24"/>
                <w:szCs w:val="24"/>
                <w:highlight w:val="none"/>
                <w:shd w:val="clear" w:color="auto" w:fill="auto"/>
                <w:lang w:val="en-US" w:eastAsia="zh-CN"/>
              </w:rPr>
              <w:t>20</w:t>
            </w:r>
            <w:r>
              <w:rPr>
                <w:rFonts w:hint="eastAsia" w:ascii="宋体" w:hAnsi="宋体" w:eastAsia="宋体" w:cs="宋体"/>
                <w:color w:val="auto"/>
                <w:sz w:val="24"/>
                <w:szCs w:val="24"/>
                <w:highlight w:val="none"/>
                <w:shd w:val="clear" w:color="auto" w:fill="auto"/>
              </w:rPr>
              <w:t>年</w:t>
            </w:r>
            <w:r>
              <w:rPr>
                <w:rFonts w:hint="eastAsia" w:ascii="宋体" w:hAnsi="宋体" w:eastAsia="宋体" w:cs="宋体"/>
                <w:color w:val="auto"/>
                <w:sz w:val="24"/>
                <w:szCs w:val="24"/>
                <w:highlight w:val="none"/>
                <w:shd w:val="clear" w:color="auto" w:fill="auto"/>
                <w:lang w:val="en-US" w:eastAsia="zh-CN"/>
              </w:rPr>
              <w:t>11</w:t>
            </w:r>
            <w:r>
              <w:rPr>
                <w:rFonts w:hint="eastAsia" w:ascii="宋体" w:hAnsi="宋体" w:eastAsia="宋体" w:cs="宋体"/>
                <w:color w:val="auto"/>
                <w:sz w:val="24"/>
                <w:szCs w:val="24"/>
                <w:highlight w:val="none"/>
                <w:shd w:val="clear" w:color="auto" w:fill="auto"/>
              </w:rPr>
              <w:t>月</w:t>
            </w:r>
            <w:r>
              <w:rPr>
                <w:rFonts w:hint="eastAsia" w:ascii="宋体" w:hAnsi="宋体" w:eastAsia="宋体" w:cs="宋体"/>
                <w:color w:val="auto"/>
                <w:sz w:val="24"/>
                <w:szCs w:val="24"/>
                <w:highlight w:val="none"/>
                <w:shd w:val="clear" w:color="auto" w:fill="auto"/>
                <w:lang w:val="en-US" w:eastAsia="zh-CN"/>
              </w:rPr>
              <w:t>1</w:t>
            </w:r>
            <w:r>
              <w:rPr>
                <w:rFonts w:hint="eastAsia" w:ascii="宋体" w:hAnsi="宋体" w:eastAsia="宋体" w:cs="宋体"/>
                <w:color w:val="auto"/>
                <w:sz w:val="24"/>
                <w:szCs w:val="24"/>
                <w:highlight w:val="none"/>
                <w:shd w:val="clear" w:color="auto" w:fill="auto"/>
              </w:rPr>
              <w:t>日完成特许经营权转让正式移交我公司管理运行</w:t>
            </w:r>
            <w:r>
              <w:rPr>
                <w:rFonts w:hint="eastAsia" w:ascii="宋体" w:hAnsi="宋体" w:eastAsia="宋体" w:cs="宋体"/>
                <w:color w:val="auto"/>
                <w:sz w:val="24"/>
                <w:szCs w:val="24"/>
                <w:highlight w:val="none"/>
                <w:shd w:val="clear" w:color="auto" w:fill="auto"/>
                <w:lang w:eastAsia="zh-CN"/>
              </w:rPr>
              <w:t>，现处理规模为2万吨/日，</w:t>
            </w:r>
            <w:r>
              <w:rPr>
                <w:rFonts w:hint="eastAsia" w:ascii="宋体" w:hAnsi="宋体" w:eastAsia="宋体" w:cs="宋体"/>
                <w:color w:val="auto"/>
                <w:sz w:val="24"/>
                <w:szCs w:val="24"/>
                <w:highlight w:val="none"/>
                <w:shd w:val="clear" w:color="auto" w:fill="auto"/>
              </w:rPr>
              <w:t>提标</w:t>
            </w:r>
            <w:r>
              <w:rPr>
                <w:rFonts w:hint="eastAsia" w:ascii="宋体" w:hAnsi="宋体" w:eastAsia="宋体" w:cs="宋体"/>
                <w:color w:val="auto"/>
                <w:sz w:val="24"/>
                <w:szCs w:val="24"/>
                <w:highlight w:val="none"/>
                <w:shd w:val="clear" w:color="auto" w:fill="auto"/>
                <w:lang w:val="en-US" w:eastAsia="zh-CN"/>
              </w:rPr>
              <w:t>2</w:t>
            </w:r>
            <w:r>
              <w:rPr>
                <w:rFonts w:hint="eastAsia" w:ascii="宋体" w:hAnsi="宋体" w:eastAsia="宋体" w:cs="宋体"/>
                <w:color w:val="auto"/>
                <w:sz w:val="24"/>
                <w:szCs w:val="24"/>
                <w:highlight w:val="none"/>
                <w:shd w:val="clear" w:color="auto" w:fill="auto"/>
              </w:rPr>
              <w:t>万吨∕日的规模运行。</w:t>
            </w:r>
          </w:p>
          <w:p>
            <w:pPr>
              <w:jc w:val="left"/>
              <w:rPr>
                <w:rFonts w:ascii="宋体" w:hAnsi="宋体" w:eastAsia="宋体" w:cs="宋体"/>
                <w:sz w:val="24"/>
                <w:szCs w:val="24"/>
              </w:rPr>
            </w:pPr>
            <w:r>
              <w:rPr>
                <w:rFonts w:hint="eastAsia" w:ascii="宋体" w:hAnsi="宋体" w:eastAsia="宋体" w:cs="宋体"/>
                <w:color w:val="auto"/>
                <w:sz w:val="24"/>
                <w:szCs w:val="24"/>
                <w:highlight w:val="none"/>
                <w:shd w:val="clear" w:color="auto" w:fill="auto"/>
                <w:lang w:eastAsia="zh-CN"/>
              </w:rPr>
              <w:t>污水处理工艺为“沉砂池+改良型氧化沟工艺+二沉池+</w:t>
            </w:r>
            <w:r>
              <w:rPr>
                <w:rFonts w:hint="eastAsia" w:ascii="宋体" w:hAnsi="宋体" w:eastAsia="宋体" w:cs="宋体"/>
                <w:color w:val="auto"/>
                <w:sz w:val="24"/>
                <w:szCs w:val="24"/>
                <w:highlight w:val="none"/>
                <w:shd w:val="clear" w:color="auto" w:fill="auto"/>
              </w:rPr>
              <w:t>高效沉淀＋连续砂滤＋消毒工艺</w:t>
            </w:r>
            <w:r>
              <w:rPr>
                <w:rFonts w:hint="eastAsia" w:ascii="宋体" w:hAnsi="宋体" w:eastAsia="宋体" w:cs="宋体"/>
                <w:color w:val="auto"/>
                <w:sz w:val="24"/>
                <w:szCs w:val="24"/>
                <w:highlight w:val="none"/>
                <w:shd w:val="clear" w:color="auto" w:fill="auto"/>
                <w:lang w:eastAsia="zh-CN"/>
              </w:rPr>
              <w:t>”，</w:t>
            </w:r>
            <w:r>
              <w:rPr>
                <w:rFonts w:hint="eastAsia" w:ascii="宋体" w:hAnsi="宋体" w:eastAsia="宋体" w:cs="宋体"/>
                <w:color w:val="auto"/>
                <w:sz w:val="24"/>
                <w:szCs w:val="24"/>
                <w:highlight w:val="none"/>
                <w:shd w:val="clear" w:color="auto" w:fill="auto"/>
              </w:rPr>
              <w:t>处理厂主要构筑物有：粗格栅、提升泵房、细格栅、沉砂池、氧化沟、二沉池、配水排泥井、污泥浓缩脱水及高温发酵车间、配电房、综合加药间、二次提升泵房、高效沉淀池、连续砂滤池、接触消毒池等</w:t>
            </w:r>
            <w:r>
              <w:rPr>
                <w:rFonts w:hint="eastAsia" w:ascii="宋体" w:hAnsi="宋体" w:eastAsia="宋体" w:cs="宋体"/>
                <w:color w:val="auto"/>
                <w:sz w:val="24"/>
                <w:szCs w:val="24"/>
                <w:highlight w:val="none"/>
                <w:shd w:val="clear" w:color="auto" w:fill="auto"/>
                <w:lang w:eastAsia="zh-CN"/>
              </w:rPr>
              <w:t>设备设施</w:t>
            </w:r>
            <w:r>
              <w:rPr>
                <w:rFonts w:hint="eastAsia" w:ascii="宋体" w:hAnsi="宋体" w:eastAsia="宋体" w:cs="宋体"/>
                <w:color w:val="auto"/>
                <w:sz w:val="24"/>
                <w:szCs w:val="24"/>
                <w:highlight w:val="none"/>
                <w:shd w:val="clear" w:color="auto" w:fil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8" w:type="dxa"/>
            <w:shd w:val="clear" w:color="auto" w:fill="auto"/>
          </w:tcPr>
          <w:p>
            <w:pPr>
              <w:jc w:val="left"/>
              <w:rPr>
                <w:rFonts w:ascii="宋体" w:hAnsi="宋体" w:eastAsia="宋体" w:cs="宋体"/>
                <w:sz w:val="24"/>
                <w:szCs w:val="24"/>
              </w:rPr>
            </w:pPr>
            <w:r>
              <w:rPr>
                <w:rFonts w:hint="eastAsia" w:ascii="宋体" w:hAnsi="宋体" w:eastAsia="宋体" w:cs="宋体"/>
                <w:sz w:val="24"/>
                <w:szCs w:val="24"/>
              </w:rPr>
              <w:t>废气治理设施</w:t>
            </w:r>
          </w:p>
        </w:tc>
        <w:tc>
          <w:tcPr>
            <w:tcW w:w="6672" w:type="dxa"/>
            <w:shd w:val="clear" w:color="auto" w:fill="auto"/>
            <w:vAlign w:val="top"/>
          </w:tcPr>
          <w:p>
            <w:pPr>
              <w:jc w:val="left"/>
              <w:rPr>
                <w:rFonts w:ascii="宋体" w:hAnsi="宋体" w:eastAsia="宋体" w:cs="宋体"/>
                <w:sz w:val="24"/>
                <w:szCs w:val="24"/>
              </w:rPr>
            </w:pPr>
            <w:r>
              <w:rPr>
                <w:rFonts w:hint="eastAsia" w:ascii="宋体" w:hAnsi="宋体" w:eastAsia="宋体" w:cs="宋体"/>
                <w:color w:val="auto"/>
                <w:sz w:val="24"/>
                <w:szCs w:val="24"/>
                <w:highlight w:val="none"/>
                <w:shd w:val="clear" w:color="auto" w:fill="auto"/>
                <w:lang w:val="en-US" w:eastAsia="zh-CN"/>
              </w:rPr>
              <w:t>各处理设施的无组织</w:t>
            </w:r>
            <w:r>
              <w:rPr>
                <w:rFonts w:hint="eastAsia" w:ascii="宋体" w:hAnsi="宋体" w:eastAsia="宋体" w:cs="宋体"/>
                <w:color w:val="auto"/>
                <w:sz w:val="24"/>
                <w:szCs w:val="24"/>
                <w:highlight w:val="none"/>
                <w:shd w:val="clear" w:color="auto" w:fill="auto"/>
              </w:rPr>
              <w:t>废气源通过风管收集至生物土壤滤池处理后</w:t>
            </w:r>
            <w:r>
              <w:rPr>
                <w:rFonts w:hint="eastAsia" w:ascii="宋体" w:hAnsi="宋体" w:eastAsia="宋体" w:cs="宋体"/>
                <w:color w:val="auto"/>
                <w:sz w:val="24"/>
                <w:szCs w:val="24"/>
                <w:highlight w:val="none"/>
                <w:shd w:val="clear" w:color="auto" w:fill="auto"/>
                <w:lang w:val="en-US" w:eastAsia="zh-CN"/>
              </w:rPr>
              <w:t>通过15米的废气排放筒排出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8" w:type="dxa"/>
            <w:shd w:val="clear" w:color="auto" w:fill="auto"/>
          </w:tcPr>
          <w:p>
            <w:pPr>
              <w:jc w:val="left"/>
              <w:rPr>
                <w:rFonts w:ascii="宋体" w:hAnsi="宋体" w:eastAsia="宋体" w:cs="宋体"/>
                <w:sz w:val="24"/>
                <w:szCs w:val="24"/>
              </w:rPr>
            </w:pPr>
            <w:r>
              <w:rPr>
                <w:rFonts w:hint="eastAsia" w:ascii="宋体" w:hAnsi="宋体" w:eastAsia="宋体" w:cs="宋体"/>
                <w:sz w:val="24"/>
                <w:szCs w:val="24"/>
              </w:rPr>
              <w:t>噪声治理设施</w:t>
            </w:r>
          </w:p>
        </w:tc>
        <w:tc>
          <w:tcPr>
            <w:tcW w:w="6672" w:type="dxa"/>
            <w:shd w:val="clear" w:color="auto" w:fill="auto"/>
            <w:vAlign w:val="top"/>
          </w:tcPr>
          <w:p>
            <w:pPr>
              <w:jc w:val="left"/>
              <w:rPr>
                <w:rFonts w:ascii="宋体" w:hAnsi="宋体" w:eastAsia="宋体" w:cs="宋体"/>
                <w:sz w:val="24"/>
                <w:szCs w:val="24"/>
              </w:rPr>
            </w:pPr>
            <w:r>
              <w:rPr>
                <w:rFonts w:hint="eastAsia" w:ascii="宋体" w:hAnsi="宋体" w:eastAsia="宋体" w:cs="宋体"/>
                <w:color w:val="auto"/>
                <w:sz w:val="24"/>
                <w:szCs w:val="24"/>
                <w:highlight w:val="none"/>
                <w:shd w:val="clear" w:color="auto" w:fill="auto"/>
              </w:rPr>
              <w:t>采用低噪音环保设备并通过安装在室内、水下和消音装置及厂区内外种植树木等措施防治噪音。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8" w:type="dxa"/>
            <w:shd w:val="clear" w:color="auto" w:fill="auto"/>
          </w:tcPr>
          <w:p>
            <w:pPr>
              <w:jc w:val="left"/>
              <w:rPr>
                <w:rFonts w:ascii="宋体" w:hAnsi="宋体" w:eastAsia="宋体" w:cs="宋体"/>
                <w:sz w:val="24"/>
                <w:szCs w:val="24"/>
              </w:rPr>
            </w:pPr>
            <w:r>
              <w:rPr>
                <w:rFonts w:hint="eastAsia" w:ascii="宋体" w:hAnsi="宋体" w:eastAsia="宋体" w:cs="宋体"/>
                <w:sz w:val="24"/>
                <w:szCs w:val="24"/>
              </w:rPr>
              <w:t>固废治理设施</w:t>
            </w:r>
          </w:p>
        </w:tc>
        <w:tc>
          <w:tcPr>
            <w:tcW w:w="6672" w:type="dxa"/>
            <w:shd w:val="clear" w:color="auto" w:fill="auto"/>
            <w:vAlign w:val="top"/>
          </w:tcPr>
          <w:p>
            <w:pPr>
              <w:spacing w:line="360" w:lineRule="auto"/>
              <w:rPr>
                <w:rFonts w:ascii="宋体" w:hAnsi="宋体" w:eastAsia="宋体" w:cs="宋体"/>
                <w:sz w:val="24"/>
                <w:szCs w:val="24"/>
              </w:rPr>
            </w:pPr>
            <w:r>
              <w:rPr>
                <w:rFonts w:hint="eastAsia" w:ascii="宋体" w:hAnsi="宋体" w:eastAsia="宋体" w:cs="宋体"/>
                <w:color w:val="auto"/>
                <w:sz w:val="24"/>
                <w:szCs w:val="24"/>
                <w:highlight w:val="none"/>
                <w:shd w:val="clear" w:color="auto" w:fill="auto"/>
                <w:lang w:eastAsia="zh-CN"/>
              </w:rPr>
              <w:t>污泥经板框压滤</w:t>
            </w:r>
            <w:r>
              <w:rPr>
                <w:rFonts w:hint="eastAsia" w:ascii="宋体" w:hAnsi="宋体" w:eastAsia="宋体" w:cs="宋体"/>
                <w:color w:val="auto"/>
                <w:sz w:val="24"/>
                <w:szCs w:val="24"/>
                <w:highlight w:val="none"/>
                <w:shd w:val="clear" w:color="auto" w:fill="auto"/>
              </w:rPr>
              <w:t>处理后</w:t>
            </w:r>
            <w:r>
              <w:rPr>
                <w:rFonts w:hint="eastAsia" w:ascii="宋体" w:hAnsi="宋体" w:eastAsia="宋体" w:cs="宋体"/>
                <w:color w:val="auto"/>
                <w:sz w:val="24"/>
                <w:szCs w:val="24"/>
                <w:highlight w:val="none"/>
                <w:shd w:val="clear" w:color="auto" w:fill="auto"/>
                <w:lang w:val="en-US" w:eastAsia="zh-CN"/>
              </w:rPr>
              <w:t>含水率降至60%以下</w:t>
            </w:r>
            <w:r>
              <w:rPr>
                <w:rFonts w:hint="eastAsia" w:ascii="宋体" w:hAnsi="宋体" w:eastAsia="宋体" w:cs="宋体"/>
                <w:color w:val="auto"/>
                <w:sz w:val="24"/>
                <w:szCs w:val="24"/>
                <w:highlight w:val="none"/>
                <w:shd w:val="clear" w:color="auto" w:fill="auto"/>
                <w:lang w:eastAsia="zh-CN"/>
              </w:rPr>
              <w:t>，再外运</w:t>
            </w:r>
            <w:r>
              <w:rPr>
                <w:rFonts w:hint="eastAsia" w:ascii="宋体" w:hAnsi="宋体" w:eastAsia="宋体" w:cs="宋体"/>
                <w:color w:val="auto"/>
                <w:sz w:val="24"/>
                <w:szCs w:val="24"/>
                <w:highlight w:val="none"/>
                <w:shd w:val="clear" w:color="auto" w:fill="auto"/>
                <w:lang w:val="en-US" w:eastAsia="zh-CN"/>
              </w:rPr>
              <w:t>深能环保（寻乌）有限公司进行焚烧处理</w:t>
            </w:r>
            <w:r>
              <w:rPr>
                <w:rFonts w:hint="eastAsia" w:ascii="宋体" w:hAnsi="宋体" w:eastAsia="宋体" w:cs="宋体"/>
                <w:color w:val="auto"/>
                <w:sz w:val="24"/>
                <w:szCs w:val="24"/>
                <w:highlight w:val="none"/>
                <w:shd w:val="clear" w:color="auto" w:fill="auto"/>
                <w:lang w:eastAsia="zh-CN"/>
              </w:rPr>
              <w:t>。</w:t>
            </w:r>
          </w:p>
        </w:tc>
      </w:tr>
    </w:tbl>
    <w:p>
      <w:pPr>
        <w:pStyle w:val="22"/>
        <w:spacing w:line="240" w:lineRule="auto"/>
        <w:ind w:firstLine="0" w:firstLineChars="0"/>
        <w:jc w:val="left"/>
        <w:rPr>
          <w:rFonts w:ascii="宋体" w:hAnsi="宋体"/>
          <w:sz w:val="28"/>
          <w:szCs w:val="28"/>
        </w:rPr>
      </w:pPr>
      <w:r>
        <w:rPr>
          <w:rFonts w:hint="eastAsia" w:ascii="宋体" w:hAnsi="宋体"/>
          <w:b/>
          <w:bCs/>
          <w:sz w:val="28"/>
          <w:szCs w:val="28"/>
        </w:rPr>
        <w:t>二、工艺流程及监测点位</w:t>
      </w:r>
      <w:r>
        <w:rPr>
          <w:rFonts w:hint="eastAsia" w:ascii="宋体" w:hAnsi="宋体"/>
          <w:color w:val="auto"/>
          <w:sz w:val="28"/>
          <w:szCs w:val="28"/>
          <w:highlight w:val="none"/>
          <w:shd w:val="clear" w:color="auto" w:fill="auto"/>
          <w:lang w:val="en-US"/>
        </w:rPr>
        <w:drawing>
          <wp:inline distT="0" distB="0" distL="114300" distR="114300">
            <wp:extent cx="4938395" cy="2607310"/>
            <wp:effectExtent l="0" t="0" r="0" b="0"/>
            <wp:docPr id="5" name="图片 5" descr="E:\Desktop\日常文件\自行监测方案修改资料\工艺流程图.png工艺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E:\Desktop\日常文件\自行监测方案修改资料\工艺流程图.png工艺流程图"/>
                    <pic:cNvPicPr>
                      <a:picLocks noChangeAspect="1"/>
                    </pic:cNvPicPr>
                  </pic:nvPicPr>
                  <pic:blipFill>
                    <a:blip r:embed="rId7"/>
                    <a:srcRect/>
                    <a:stretch>
                      <a:fillRect/>
                    </a:stretch>
                  </pic:blipFill>
                  <pic:spPr>
                    <a:xfrm>
                      <a:off x="0" y="0"/>
                      <a:ext cx="4938395" cy="2607310"/>
                    </a:xfrm>
                    <a:prstGeom prst="rect">
                      <a:avLst/>
                    </a:prstGeom>
                  </pic:spPr>
                </pic:pic>
              </a:graphicData>
            </a:graphic>
          </wp:inline>
        </w:drawing>
      </w:r>
    </w:p>
    <w:p>
      <w:pPr>
        <w:pStyle w:val="22"/>
        <w:spacing w:line="240" w:lineRule="auto"/>
        <w:ind w:firstLine="557" w:firstLineChars="199"/>
        <w:jc w:val="center"/>
        <w:rPr>
          <w:rFonts w:hint="eastAsia" w:ascii="宋体" w:hAnsi="宋体"/>
          <w:sz w:val="28"/>
          <w:szCs w:val="28"/>
        </w:rPr>
      </w:pPr>
      <w:r>
        <w:rPr>
          <w:rFonts w:hint="eastAsia" w:ascii="宋体" w:hAnsi="宋体"/>
          <w:sz w:val="28"/>
          <w:szCs w:val="28"/>
        </w:rPr>
        <w:t>图1  工艺流程图</w:t>
      </w:r>
    </w:p>
    <w:p>
      <w:pPr>
        <w:pStyle w:val="22"/>
        <w:spacing w:line="240" w:lineRule="auto"/>
        <w:ind w:firstLine="557" w:firstLineChars="199"/>
        <w:jc w:val="center"/>
        <w:rPr>
          <w:rFonts w:hint="eastAsia" w:ascii="宋体" w:hAnsi="宋体"/>
          <w:sz w:val="28"/>
          <w:szCs w:val="28"/>
        </w:rPr>
      </w:pPr>
      <w:r>
        <w:rPr>
          <w:sz w:val="28"/>
        </w:rPr>
        <mc:AlternateContent>
          <mc:Choice Requires="wps">
            <w:drawing>
              <wp:anchor distT="0" distB="0" distL="114300" distR="114300" simplePos="0" relativeHeight="251659264" behindDoc="0" locked="0" layoutInCell="1" allowOverlap="1">
                <wp:simplePos x="0" y="0"/>
                <wp:positionH relativeFrom="column">
                  <wp:posOffset>-439420</wp:posOffset>
                </wp:positionH>
                <wp:positionV relativeFrom="paragraph">
                  <wp:posOffset>111125</wp:posOffset>
                </wp:positionV>
                <wp:extent cx="1442720" cy="1594485"/>
                <wp:effectExtent l="6350" t="6350" r="17780" b="18415"/>
                <wp:wrapNone/>
                <wp:docPr id="1" name="圆角矩形 1"/>
                <wp:cNvGraphicFramePr/>
                <a:graphic xmlns:a="http://schemas.openxmlformats.org/drawingml/2006/main">
                  <a:graphicData uri="http://schemas.microsoft.com/office/word/2010/wordprocessingShape">
                    <wps:wsp>
                      <wps:cNvSpPr/>
                      <wps:spPr>
                        <a:xfrm>
                          <a:off x="4911090" y="3278505"/>
                          <a:ext cx="1922780" cy="2684145"/>
                        </a:xfrm>
                        <a:prstGeom prst="roundRect">
                          <a:avLst/>
                        </a:prstGeom>
                        <a:solidFill>
                          <a:srgbClr val="FFFFFF"/>
                        </a:solidFill>
                        <a:ln w="12700" cap="flat" cmpd="sng" algn="ctr">
                          <a:solidFill>
                            <a:srgbClr val="70AD47"/>
                          </a:solidFill>
                          <a:prstDash val="solid"/>
                          <a:miter lim="800000"/>
                        </a:ln>
                        <a:effectLst/>
                      </wps:spPr>
                      <wps:txbx>
                        <w:txbxContent>
                          <w:p>
                            <w:pPr>
                              <w:pStyle w:val="22"/>
                              <w:spacing w:line="240" w:lineRule="auto"/>
                              <w:ind w:firstLine="0" w:firstLineChars="0"/>
                              <w:jc w:val="left"/>
                              <w:rPr>
                                <w:rFonts w:ascii="宋体" w:hAnsi="宋体"/>
                                <w:color w:val="FF0000"/>
                                <w:sz w:val="28"/>
                                <w:szCs w:val="28"/>
                                <w:highlight w:val="yellow"/>
                                <w:lang w:val="en-US"/>
                              </w:rPr>
                            </w:pPr>
                            <w:r>
                              <w:rPr>
                                <w:rFonts w:hint="eastAsia" w:ascii="宋体" w:hAnsi="宋体"/>
                                <w:sz w:val="22"/>
                                <w:szCs w:val="22"/>
                                <w:lang w:val="en-US"/>
                              </w:rPr>
                              <w:t>注：根据监测期间的风向确定点位布设，上风向设一个参照点，下风向设三个监控点。</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34.6pt;margin-top:8.75pt;height:125.55pt;width:113.6pt;z-index:251659264;v-text-anchor:middle;mso-width-relative:page;mso-height-relative:page;" fillcolor="#FFFFFF" filled="t" stroked="t" coordsize="21600,21600" arcsize="0.166666666666667" o:gfxdata="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AI6SjA1wAAAAoBAAAPAAAAAAAAAAEAIAAAACIAAABkcnMvZG93bnJldi54bWxQSwECFAAU&#10;AAAACACHTuJAq/1mxZ0CAAAlBQAADgAAAAAAAAABACAAAAAmAQAAZHJzL2Uyb0RvYy54bWxQSwUG&#10;AAAAAAYABgBZAQAANQYAAAAA&#10;">
                <v:fill on="t" focussize="0,0"/>
                <v:stroke weight="1pt" color="#70AD47" miterlimit="8" joinstyle="miter"/>
                <v:imagedata o:title=""/>
                <o:lock v:ext="edit" aspectratio="f"/>
                <v:textbox>
                  <w:txbxContent>
                    <w:p>
                      <w:pPr>
                        <w:pStyle w:val="22"/>
                        <w:spacing w:line="240" w:lineRule="auto"/>
                        <w:ind w:firstLine="0" w:firstLineChars="0"/>
                        <w:jc w:val="left"/>
                        <w:rPr>
                          <w:rFonts w:ascii="宋体" w:hAnsi="宋体"/>
                          <w:color w:val="FF0000"/>
                          <w:sz w:val="28"/>
                          <w:szCs w:val="28"/>
                          <w:highlight w:val="yellow"/>
                          <w:lang w:val="en-US"/>
                        </w:rPr>
                      </w:pPr>
                      <w:r>
                        <w:rPr>
                          <w:rFonts w:hint="eastAsia" w:ascii="宋体" w:hAnsi="宋体"/>
                          <w:sz w:val="22"/>
                          <w:szCs w:val="22"/>
                          <w:lang w:val="en-US"/>
                        </w:rPr>
                        <w:t>注：根据监测期间的风向确定点位布设，上风向设一个参照点，下风向设三个监控点。</w:t>
                      </w:r>
                    </w:p>
                    <w:p>
                      <w:pPr>
                        <w:jc w:val="center"/>
                      </w:pPr>
                    </w:p>
                  </w:txbxContent>
                </v:textbox>
              </v:roundrect>
            </w:pict>
          </mc:Fallback>
        </mc:AlternateContent>
      </w:r>
      <w:r>
        <w:rPr>
          <w:rFonts w:hint="eastAsia" w:ascii="宋体" w:hAnsi="宋体"/>
          <w:color w:val="auto"/>
          <w:sz w:val="28"/>
          <w:szCs w:val="28"/>
          <w:highlight w:val="none"/>
          <w:shd w:val="clear" w:color="auto" w:fill="auto"/>
          <w:lang w:val="en-US"/>
        </w:rPr>
        <w:drawing>
          <wp:inline distT="0" distB="0" distL="114300" distR="114300">
            <wp:extent cx="3563620" cy="6118225"/>
            <wp:effectExtent l="0" t="0" r="17780" b="15875"/>
            <wp:docPr id="6" name="图片 6" descr="E:\Desktop\日常文件\自行监测方案修改资料\自行监测点位图.png自行监测点位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Desktop\日常文件\自行监测方案修改资料\自行监测点位图.png自行监测点位图"/>
                    <pic:cNvPicPr>
                      <a:picLocks noChangeAspect="1"/>
                    </pic:cNvPicPr>
                  </pic:nvPicPr>
                  <pic:blipFill>
                    <a:blip r:embed="rId8"/>
                    <a:srcRect/>
                    <a:stretch>
                      <a:fillRect/>
                    </a:stretch>
                  </pic:blipFill>
                  <pic:spPr>
                    <a:xfrm>
                      <a:off x="0" y="0"/>
                      <a:ext cx="3563620" cy="6118225"/>
                    </a:xfrm>
                    <a:prstGeom prst="rect">
                      <a:avLst/>
                    </a:prstGeom>
                  </pic:spPr>
                </pic:pic>
              </a:graphicData>
            </a:graphic>
          </wp:inline>
        </w:drawing>
      </w:r>
    </w:p>
    <w:p>
      <w:pPr>
        <w:pStyle w:val="22"/>
        <w:spacing w:line="240" w:lineRule="auto"/>
        <w:ind w:firstLine="0" w:firstLineChars="0"/>
        <w:jc w:val="center"/>
        <w:rPr>
          <w:rFonts w:ascii="宋体" w:hAnsi="宋体"/>
          <w:sz w:val="28"/>
          <w:szCs w:val="28"/>
        </w:rPr>
      </w:pPr>
      <w:bookmarkStart w:id="0" w:name="JCDWSYT"/>
    </w:p>
    <w:bookmarkEnd w:id="0"/>
    <w:p>
      <w:pPr>
        <w:pStyle w:val="22"/>
        <w:spacing w:line="240" w:lineRule="auto"/>
        <w:ind w:firstLine="557" w:firstLineChars="199"/>
        <w:jc w:val="center"/>
        <w:rPr>
          <w:rFonts w:ascii="宋体" w:hAnsi="宋体"/>
          <w:color w:val="FF0000"/>
          <w:sz w:val="28"/>
          <w:szCs w:val="28"/>
          <w:highlight w:val="yellow"/>
        </w:rPr>
      </w:pPr>
      <w:r>
        <w:rPr>
          <w:rFonts w:hint="eastAsia" w:ascii="宋体" w:hAnsi="宋体"/>
          <w:sz w:val="28"/>
          <w:szCs w:val="28"/>
          <w:lang w:val="en-US"/>
        </w:rPr>
        <w:t>图2   监测点位图</w:t>
      </w:r>
    </w:p>
    <w:p>
      <w:pPr>
        <w:pStyle w:val="22"/>
        <w:spacing w:line="240" w:lineRule="auto"/>
        <w:ind w:firstLine="562"/>
        <w:outlineLvl w:val="0"/>
        <w:rPr>
          <w:rFonts w:hint="eastAsia" w:ascii="宋体" w:hAnsi="宋体"/>
          <w:b/>
          <w:bCs/>
          <w:sz w:val="28"/>
          <w:szCs w:val="28"/>
          <w:lang w:val="en-US"/>
        </w:rPr>
      </w:pPr>
    </w:p>
    <w:p>
      <w:pPr>
        <w:pStyle w:val="22"/>
        <w:spacing w:line="240" w:lineRule="auto"/>
        <w:ind w:firstLine="562"/>
        <w:outlineLvl w:val="0"/>
        <w:rPr>
          <w:rFonts w:hint="eastAsia" w:ascii="宋体" w:hAnsi="宋体"/>
          <w:b/>
          <w:bCs/>
          <w:sz w:val="28"/>
          <w:szCs w:val="28"/>
          <w:lang w:val="en-US"/>
        </w:rPr>
      </w:pPr>
    </w:p>
    <w:p>
      <w:pPr>
        <w:pStyle w:val="22"/>
        <w:spacing w:line="240" w:lineRule="auto"/>
        <w:ind w:firstLine="562"/>
        <w:outlineLvl w:val="0"/>
        <w:rPr>
          <w:rFonts w:hint="eastAsia" w:ascii="宋体" w:hAnsi="宋体"/>
          <w:b/>
          <w:bCs/>
          <w:sz w:val="28"/>
          <w:szCs w:val="28"/>
          <w:lang w:val="en-US"/>
        </w:rPr>
      </w:pPr>
    </w:p>
    <w:p>
      <w:pPr>
        <w:pStyle w:val="22"/>
        <w:spacing w:line="240" w:lineRule="auto"/>
        <w:ind w:firstLine="562"/>
        <w:outlineLvl w:val="0"/>
        <w:rPr>
          <w:rFonts w:hint="eastAsia" w:ascii="宋体" w:hAnsi="宋体"/>
          <w:b/>
          <w:bCs/>
          <w:sz w:val="28"/>
          <w:szCs w:val="28"/>
          <w:lang w:val="en-US"/>
        </w:rPr>
      </w:pPr>
    </w:p>
    <w:p>
      <w:pPr>
        <w:pStyle w:val="22"/>
        <w:spacing w:line="240" w:lineRule="auto"/>
        <w:ind w:firstLine="562"/>
        <w:outlineLvl w:val="0"/>
        <w:rPr>
          <w:rFonts w:hint="eastAsia" w:ascii="宋体" w:hAnsi="宋体"/>
          <w:b/>
          <w:bCs/>
          <w:sz w:val="28"/>
          <w:szCs w:val="28"/>
          <w:lang w:val="en-US"/>
        </w:rPr>
      </w:pPr>
    </w:p>
    <w:p>
      <w:pPr>
        <w:pStyle w:val="22"/>
        <w:spacing w:line="240" w:lineRule="auto"/>
        <w:ind w:firstLine="562"/>
        <w:outlineLvl w:val="0"/>
        <w:rPr>
          <w:rFonts w:ascii="宋体" w:hAnsi="宋体"/>
          <w:b/>
          <w:bCs/>
          <w:sz w:val="28"/>
          <w:szCs w:val="28"/>
        </w:rPr>
      </w:pPr>
      <w:r>
        <w:rPr>
          <w:rFonts w:hint="eastAsia" w:ascii="宋体" w:hAnsi="宋体"/>
          <w:b/>
          <w:bCs/>
          <w:sz w:val="28"/>
          <w:szCs w:val="28"/>
          <w:lang w:val="en-US"/>
        </w:rPr>
        <w:t>三</w:t>
      </w:r>
      <w:r>
        <w:rPr>
          <w:rFonts w:hint="eastAsia" w:ascii="宋体" w:hAnsi="宋体"/>
          <w:b/>
          <w:bCs/>
          <w:sz w:val="28"/>
          <w:szCs w:val="28"/>
        </w:rPr>
        <w:t>、监测指标及相关信息</w:t>
      </w:r>
    </w:p>
    <w:p>
      <w:pPr>
        <w:pStyle w:val="22"/>
        <w:spacing w:line="240" w:lineRule="auto"/>
        <w:ind w:firstLine="560"/>
        <w:rPr>
          <w:rFonts w:hint="eastAsia" w:ascii="宋体" w:hAnsi="宋体"/>
          <w:sz w:val="28"/>
          <w:szCs w:val="28"/>
        </w:rPr>
      </w:pPr>
      <w:r>
        <w:rPr>
          <w:rFonts w:hint="eastAsia" w:ascii="宋体" w:hAnsi="宋体"/>
          <w:sz w:val="28"/>
          <w:szCs w:val="28"/>
        </w:rPr>
        <w:t>本公司自行监测的具体监测点位、监测指标、监测频次和监测方法见下表。</w:t>
      </w:r>
    </w:p>
    <w:tbl>
      <w:tblPr>
        <w:tblStyle w:val="12"/>
        <w:tblW w:w="892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65"/>
        <w:gridCol w:w="705"/>
        <w:gridCol w:w="1260"/>
        <w:gridCol w:w="1309"/>
        <w:gridCol w:w="2188"/>
        <w:gridCol w:w="259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830" w:type="dxa"/>
            <w:gridSpan w:val="3"/>
            <w:vAlign w:val="center"/>
          </w:tcPr>
          <w:p>
            <w:pPr>
              <w:pStyle w:val="40"/>
              <w:keepNext w:val="0"/>
              <w:keepLines w:val="0"/>
              <w:suppressLineNumbers w:val="0"/>
              <w:snapToGrid w:val="0"/>
              <w:spacing w:before="0" w:beforeAutospacing="0" w:after="0" w:afterAutospacing="0"/>
              <w:ind w:left="0" w:right="0"/>
              <w:contextualSpacing/>
              <w:jc w:val="center"/>
              <w:rPr>
                <w:rFonts w:hint="eastAsia" w:ascii="宋体" w:hAnsi="宋体" w:eastAsia="宋体" w:cs="宋体"/>
                <w:color w:val="auto"/>
                <w:sz w:val="28"/>
                <w:szCs w:val="28"/>
              </w:rPr>
            </w:pPr>
            <w:r>
              <w:rPr>
                <w:rFonts w:hint="eastAsia" w:ascii="宋体" w:hAnsi="宋体" w:eastAsia="宋体" w:cs="宋体"/>
                <w:color w:val="auto"/>
                <w:sz w:val="28"/>
                <w:szCs w:val="28"/>
              </w:rPr>
              <w:t>污染源类型</w:t>
            </w:r>
          </w:p>
        </w:tc>
        <w:tc>
          <w:tcPr>
            <w:tcW w:w="1309" w:type="dxa"/>
            <w:vAlign w:val="center"/>
          </w:tcPr>
          <w:p>
            <w:pPr>
              <w:pStyle w:val="40"/>
              <w:keepNext w:val="0"/>
              <w:keepLines w:val="0"/>
              <w:suppressLineNumbers w:val="0"/>
              <w:snapToGrid w:val="0"/>
              <w:spacing w:before="0" w:beforeAutospacing="0" w:after="0" w:afterAutospacing="0"/>
              <w:ind w:left="0" w:right="0"/>
              <w:contextualSpacing/>
              <w:jc w:val="center"/>
              <w:rPr>
                <w:rFonts w:hint="eastAsia" w:ascii="宋体" w:hAnsi="宋体" w:eastAsia="宋体" w:cs="宋体"/>
                <w:color w:val="auto"/>
                <w:sz w:val="28"/>
                <w:szCs w:val="28"/>
              </w:rPr>
            </w:pPr>
            <w:r>
              <w:rPr>
                <w:rFonts w:hint="eastAsia" w:ascii="宋体" w:hAnsi="宋体" w:eastAsia="宋体" w:cs="宋体"/>
                <w:color w:val="auto"/>
                <w:sz w:val="28"/>
                <w:szCs w:val="28"/>
              </w:rPr>
              <w:t>序号</w:t>
            </w:r>
          </w:p>
        </w:tc>
        <w:tc>
          <w:tcPr>
            <w:tcW w:w="2188" w:type="dxa"/>
            <w:vAlign w:val="center"/>
          </w:tcPr>
          <w:p>
            <w:pPr>
              <w:pStyle w:val="40"/>
              <w:keepNext w:val="0"/>
              <w:keepLines w:val="0"/>
              <w:suppressLineNumbers w:val="0"/>
              <w:snapToGrid w:val="0"/>
              <w:spacing w:before="0" w:beforeAutospacing="0" w:after="0" w:afterAutospacing="0"/>
              <w:ind w:left="0" w:right="0"/>
              <w:contextualSpacing/>
              <w:jc w:val="center"/>
              <w:rPr>
                <w:rFonts w:hint="eastAsia" w:ascii="宋体" w:hAnsi="宋体" w:eastAsia="宋体" w:cs="宋体"/>
                <w:color w:val="auto"/>
                <w:sz w:val="28"/>
                <w:szCs w:val="28"/>
              </w:rPr>
            </w:pPr>
            <w:r>
              <w:rPr>
                <w:rFonts w:hint="eastAsia" w:ascii="宋体" w:hAnsi="宋体" w:eastAsia="宋体" w:cs="宋体"/>
                <w:color w:val="auto"/>
                <w:sz w:val="28"/>
                <w:szCs w:val="28"/>
              </w:rPr>
              <w:t>监测点位名称</w:t>
            </w:r>
          </w:p>
        </w:tc>
        <w:tc>
          <w:tcPr>
            <w:tcW w:w="2599" w:type="dxa"/>
            <w:vAlign w:val="center"/>
          </w:tcPr>
          <w:p>
            <w:pPr>
              <w:pStyle w:val="40"/>
              <w:keepNext w:val="0"/>
              <w:keepLines w:val="0"/>
              <w:suppressLineNumbers w:val="0"/>
              <w:snapToGrid w:val="0"/>
              <w:spacing w:before="0" w:beforeAutospacing="0" w:after="0" w:afterAutospacing="0"/>
              <w:ind w:left="0" w:right="0"/>
              <w:contextualSpacing/>
              <w:jc w:val="center"/>
              <w:rPr>
                <w:rFonts w:hint="eastAsia" w:ascii="宋体" w:hAnsi="宋体" w:eastAsia="宋体" w:cs="宋体"/>
                <w:color w:val="auto"/>
                <w:sz w:val="28"/>
                <w:szCs w:val="28"/>
              </w:rPr>
            </w:pPr>
            <w:r>
              <w:rPr>
                <w:rFonts w:hint="eastAsia" w:ascii="宋体" w:hAnsi="宋体" w:eastAsia="宋体" w:cs="宋体"/>
                <w:color w:val="auto"/>
                <w:sz w:val="28"/>
                <w:szCs w:val="28"/>
              </w:rPr>
              <w:t>排口编号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3" w:hRule="atLeast"/>
          <w:jc w:val="center"/>
        </w:trPr>
        <w:tc>
          <w:tcPr>
            <w:tcW w:w="2830" w:type="dxa"/>
            <w:gridSpan w:val="3"/>
            <w:vMerge w:val="restart"/>
            <w:vAlign w:val="center"/>
          </w:tcPr>
          <w:p>
            <w:pPr>
              <w:pStyle w:val="40"/>
              <w:keepNext w:val="0"/>
              <w:keepLines w:val="0"/>
              <w:suppressLineNumbers w:val="0"/>
              <w:snapToGrid w:val="0"/>
              <w:spacing w:before="0" w:beforeAutospacing="0" w:after="0" w:afterAutospacing="0"/>
              <w:ind w:left="0" w:right="0"/>
              <w:contextualSpacing/>
              <w:jc w:val="center"/>
              <w:rPr>
                <w:rFonts w:hint="eastAsia" w:ascii="宋体" w:hAnsi="宋体" w:eastAsia="宋体" w:cs="宋体"/>
                <w:color w:val="auto"/>
                <w:sz w:val="28"/>
                <w:szCs w:val="28"/>
              </w:rPr>
            </w:pPr>
            <w:r>
              <w:rPr>
                <w:rFonts w:hint="eastAsia" w:ascii="宋体" w:hAnsi="宋体" w:eastAsia="宋体" w:cs="宋体"/>
                <w:color w:val="auto"/>
                <w:sz w:val="28"/>
                <w:szCs w:val="28"/>
              </w:rPr>
              <w:t>废水</w:t>
            </w:r>
          </w:p>
        </w:tc>
        <w:tc>
          <w:tcPr>
            <w:tcW w:w="1309" w:type="dxa"/>
            <w:vAlign w:val="center"/>
          </w:tcPr>
          <w:p>
            <w:pPr>
              <w:pStyle w:val="40"/>
              <w:keepNext w:val="0"/>
              <w:keepLines w:val="0"/>
              <w:suppressLineNumbers w:val="0"/>
              <w:snapToGrid w:val="0"/>
              <w:spacing w:before="0" w:beforeAutospacing="0" w:after="0" w:afterAutospacing="0"/>
              <w:ind w:left="0" w:right="0"/>
              <w:contextualSpacing/>
              <w:jc w:val="center"/>
              <w:rPr>
                <w:rFonts w:hint="default"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1</w:t>
            </w:r>
          </w:p>
        </w:tc>
        <w:tc>
          <w:tcPr>
            <w:tcW w:w="2188" w:type="dxa"/>
            <w:vAlign w:val="center"/>
          </w:tcPr>
          <w:p>
            <w:pPr>
              <w:pStyle w:val="40"/>
              <w:keepNext w:val="0"/>
              <w:keepLines w:val="0"/>
              <w:suppressLineNumbers w:val="0"/>
              <w:snapToGrid w:val="0"/>
              <w:spacing w:before="0" w:beforeAutospacing="0" w:after="0" w:afterAutospacing="0"/>
              <w:ind w:left="0" w:right="0"/>
              <w:contextualSpacing/>
              <w:jc w:val="center"/>
              <w:rPr>
                <w:rFonts w:hint="default"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一期</w:t>
            </w:r>
            <w:r>
              <w:rPr>
                <w:rFonts w:hint="eastAsia" w:ascii="宋体" w:hAnsi="宋体" w:eastAsia="宋体" w:cs="宋体"/>
                <w:color w:val="auto"/>
                <w:sz w:val="28"/>
                <w:szCs w:val="28"/>
                <w:lang w:eastAsia="zh-CN"/>
              </w:rPr>
              <w:t>进水口</w:t>
            </w:r>
          </w:p>
        </w:tc>
        <w:tc>
          <w:tcPr>
            <w:tcW w:w="2599" w:type="dxa"/>
            <w:tcBorders/>
            <w:vAlign w:val="center"/>
          </w:tcPr>
          <w:p>
            <w:pPr>
              <w:pStyle w:val="40"/>
              <w:keepNext w:val="0"/>
              <w:keepLines w:val="0"/>
              <w:suppressLineNumbers w:val="0"/>
              <w:snapToGrid w:val="0"/>
              <w:spacing w:before="0" w:beforeAutospacing="0" w:after="0" w:afterAutospacing="0"/>
              <w:ind w:left="0" w:right="0"/>
              <w:contextualSpacing/>
              <w:jc w:val="center"/>
              <w:rPr>
                <w:rFonts w:hint="default" w:ascii="宋体" w:hAnsi="宋体" w:eastAsia="宋体" w:cs="宋体"/>
                <w:color w:val="auto"/>
                <w:sz w:val="28"/>
                <w:szCs w:val="28"/>
                <w:lang w:val="en-US" w:eastAsia="zh-CN"/>
              </w:rPr>
            </w:pPr>
            <w:r>
              <w:rPr>
                <w:rFonts w:hint="default" w:ascii="宋体" w:hAnsi="宋体" w:eastAsia="宋体" w:cs="宋体"/>
                <w:color w:val="auto"/>
                <w:sz w:val="28"/>
                <w:szCs w:val="28"/>
                <w:lang w:val="en-US" w:eastAsia="zh-CN"/>
              </w:rPr>
              <w:t>MW001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8" w:hRule="atLeast"/>
          <w:jc w:val="center"/>
        </w:trPr>
        <w:tc>
          <w:tcPr>
            <w:tcW w:w="2830" w:type="dxa"/>
            <w:gridSpan w:val="3"/>
            <w:vMerge w:val="continue"/>
            <w:vAlign w:val="center"/>
          </w:tcPr>
          <w:p>
            <w:pPr>
              <w:pStyle w:val="40"/>
              <w:keepNext w:val="0"/>
              <w:keepLines w:val="0"/>
              <w:suppressLineNumbers w:val="0"/>
              <w:snapToGrid w:val="0"/>
              <w:spacing w:before="0" w:beforeAutospacing="0" w:after="0" w:afterAutospacing="0"/>
              <w:ind w:left="0" w:right="0"/>
              <w:contextualSpacing/>
              <w:jc w:val="center"/>
              <w:rPr>
                <w:rFonts w:hint="eastAsia" w:ascii="宋体" w:hAnsi="宋体" w:eastAsia="宋体" w:cs="宋体"/>
                <w:color w:val="auto"/>
                <w:sz w:val="28"/>
                <w:szCs w:val="28"/>
              </w:rPr>
            </w:pPr>
          </w:p>
        </w:tc>
        <w:tc>
          <w:tcPr>
            <w:tcW w:w="1309" w:type="dxa"/>
            <w:vAlign w:val="center"/>
          </w:tcPr>
          <w:p>
            <w:pPr>
              <w:pStyle w:val="40"/>
              <w:keepNext w:val="0"/>
              <w:keepLines w:val="0"/>
              <w:suppressLineNumbers w:val="0"/>
              <w:snapToGrid w:val="0"/>
              <w:spacing w:before="0" w:beforeAutospacing="0" w:after="0" w:afterAutospacing="0"/>
              <w:ind w:left="0" w:right="0"/>
              <w:contextualSpacing/>
              <w:jc w:val="center"/>
              <w:rPr>
                <w:rFonts w:hint="eastAsia" w:ascii="宋体" w:hAnsi="宋体" w:eastAsia="宋体" w:cs="宋体"/>
                <w:color w:val="auto"/>
                <w:sz w:val="28"/>
                <w:szCs w:val="28"/>
                <w:lang w:eastAsia="zh-CN"/>
              </w:rPr>
            </w:pPr>
            <w:r>
              <w:rPr>
                <w:rFonts w:hint="eastAsia" w:ascii="宋体" w:hAnsi="宋体" w:eastAsia="宋体" w:cs="宋体"/>
                <w:color w:val="auto"/>
                <w:sz w:val="28"/>
                <w:szCs w:val="28"/>
                <w:lang w:val="en-US" w:eastAsia="zh-CN"/>
              </w:rPr>
              <w:t>2</w:t>
            </w:r>
          </w:p>
        </w:tc>
        <w:tc>
          <w:tcPr>
            <w:tcW w:w="2188" w:type="dxa"/>
            <w:vAlign w:val="center"/>
          </w:tcPr>
          <w:p>
            <w:pPr>
              <w:pStyle w:val="40"/>
              <w:keepNext w:val="0"/>
              <w:keepLines w:val="0"/>
              <w:suppressLineNumbers w:val="0"/>
              <w:snapToGrid w:val="0"/>
              <w:spacing w:before="0" w:beforeAutospacing="0" w:after="0" w:afterAutospacing="0"/>
              <w:ind w:left="0" w:right="0"/>
              <w:contextualSpacing/>
              <w:jc w:val="center"/>
              <w:rPr>
                <w:rFonts w:hint="eastAsia" w:ascii="宋体" w:hAnsi="宋体" w:eastAsia="宋体" w:cs="宋体"/>
                <w:color w:val="auto"/>
                <w:sz w:val="28"/>
                <w:szCs w:val="28"/>
              </w:rPr>
            </w:pPr>
            <w:r>
              <w:rPr>
                <w:rFonts w:hint="eastAsia" w:ascii="宋体" w:hAnsi="宋体" w:eastAsia="宋体" w:cs="宋体"/>
                <w:color w:val="auto"/>
                <w:sz w:val="28"/>
                <w:szCs w:val="28"/>
              </w:rPr>
              <w:t>出水总排放口</w:t>
            </w:r>
          </w:p>
        </w:tc>
        <w:tc>
          <w:tcPr>
            <w:tcW w:w="2599" w:type="dxa"/>
            <w:vAlign w:val="center"/>
          </w:tcPr>
          <w:p>
            <w:pPr>
              <w:pStyle w:val="40"/>
              <w:keepNext w:val="0"/>
              <w:keepLines w:val="0"/>
              <w:suppressLineNumbers w:val="0"/>
              <w:snapToGrid w:val="0"/>
              <w:spacing w:before="0" w:beforeAutospacing="0" w:after="0" w:afterAutospacing="0"/>
              <w:ind w:left="0" w:right="0"/>
              <w:contextualSpacing/>
              <w:jc w:val="center"/>
              <w:rPr>
                <w:rFonts w:hint="default"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DW001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830" w:type="dxa"/>
            <w:gridSpan w:val="3"/>
            <w:vMerge w:val="continue"/>
            <w:vAlign w:val="center"/>
          </w:tcPr>
          <w:p>
            <w:pPr>
              <w:pStyle w:val="40"/>
              <w:keepNext w:val="0"/>
              <w:keepLines w:val="0"/>
              <w:suppressLineNumbers w:val="0"/>
              <w:snapToGrid w:val="0"/>
              <w:spacing w:before="0" w:beforeAutospacing="0" w:after="0" w:afterAutospacing="0"/>
              <w:ind w:left="0" w:right="0"/>
              <w:contextualSpacing/>
              <w:jc w:val="center"/>
              <w:rPr>
                <w:rFonts w:hint="eastAsia" w:ascii="宋体" w:hAnsi="宋体" w:eastAsia="宋体" w:cs="宋体"/>
                <w:color w:val="auto"/>
                <w:sz w:val="28"/>
                <w:szCs w:val="28"/>
              </w:rPr>
            </w:pPr>
          </w:p>
        </w:tc>
        <w:tc>
          <w:tcPr>
            <w:tcW w:w="1309" w:type="dxa"/>
            <w:vAlign w:val="center"/>
          </w:tcPr>
          <w:p>
            <w:pPr>
              <w:pStyle w:val="40"/>
              <w:keepNext w:val="0"/>
              <w:keepLines w:val="0"/>
              <w:suppressLineNumbers w:val="0"/>
              <w:snapToGrid w:val="0"/>
              <w:spacing w:before="0" w:beforeAutospacing="0" w:after="0" w:afterAutospacing="0"/>
              <w:ind w:left="0" w:right="0"/>
              <w:contextualSpacing/>
              <w:jc w:val="center"/>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3</w:t>
            </w:r>
          </w:p>
        </w:tc>
        <w:tc>
          <w:tcPr>
            <w:tcW w:w="2188" w:type="dxa"/>
            <w:vAlign w:val="center"/>
          </w:tcPr>
          <w:p>
            <w:pPr>
              <w:pStyle w:val="40"/>
              <w:keepNext w:val="0"/>
              <w:keepLines w:val="0"/>
              <w:suppressLineNumbers w:val="0"/>
              <w:snapToGrid w:val="0"/>
              <w:spacing w:before="0" w:beforeAutospacing="0" w:after="0" w:afterAutospacing="0"/>
              <w:ind w:left="0" w:right="0"/>
              <w:contextualSpacing/>
              <w:jc w:val="center"/>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雨水排放口</w:t>
            </w:r>
          </w:p>
        </w:tc>
        <w:tc>
          <w:tcPr>
            <w:tcW w:w="2599" w:type="dxa"/>
            <w:vAlign w:val="center"/>
          </w:tcPr>
          <w:p>
            <w:pPr>
              <w:pStyle w:val="40"/>
              <w:keepNext w:val="0"/>
              <w:keepLines w:val="0"/>
              <w:suppressLineNumbers w:val="0"/>
              <w:snapToGrid w:val="0"/>
              <w:spacing w:before="0" w:beforeAutospacing="0" w:after="0" w:afterAutospacing="0"/>
              <w:ind w:left="0" w:right="0"/>
              <w:contextualSpacing/>
              <w:jc w:val="center"/>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DW002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3" w:hRule="atLeast"/>
          <w:jc w:val="center"/>
        </w:trPr>
        <w:tc>
          <w:tcPr>
            <w:tcW w:w="1570" w:type="dxa"/>
            <w:gridSpan w:val="2"/>
            <w:vMerge w:val="restart"/>
            <w:vAlign w:val="center"/>
          </w:tcPr>
          <w:p>
            <w:pPr>
              <w:pStyle w:val="40"/>
              <w:keepNext w:val="0"/>
              <w:keepLines w:val="0"/>
              <w:suppressLineNumbers w:val="0"/>
              <w:snapToGrid w:val="0"/>
              <w:spacing w:before="0" w:beforeAutospacing="0" w:after="0" w:afterAutospacing="0"/>
              <w:ind w:left="0" w:right="0"/>
              <w:contextualSpacing/>
              <w:jc w:val="center"/>
              <w:rPr>
                <w:rFonts w:hint="eastAsia" w:ascii="宋体" w:hAnsi="宋体" w:eastAsia="宋体" w:cs="宋体"/>
                <w:color w:val="auto"/>
                <w:sz w:val="28"/>
                <w:szCs w:val="28"/>
              </w:rPr>
            </w:pPr>
            <w:r>
              <w:rPr>
                <w:rFonts w:hint="eastAsia" w:ascii="宋体" w:hAnsi="宋体" w:eastAsia="宋体" w:cs="宋体"/>
                <w:color w:val="auto"/>
                <w:sz w:val="28"/>
                <w:szCs w:val="28"/>
              </w:rPr>
              <w:t>废气</w:t>
            </w:r>
          </w:p>
        </w:tc>
        <w:tc>
          <w:tcPr>
            <w:tcW w:w="1260" w:type="dxa"/>
            <w:vMerge w:val="restart"/>
            <w:vAlign w:val="center"/>
          </w:tcPr>
          <w:p>
            <w:pPr>
              <w:pStyle w:val="40"/>
              <w:keepNext w:val="0"/>
              <w:keepLines w:val="0"/>
              <w:suppressLineNumbers w:val="0"/>
              <w:snapToGrid w:val="0"/>
              <w:spacing w:before="0" w:beforeAutospacing="0" w:after="0" w:afterAutospacing="0"/>
              <w:ind w:left="0" w:right="0"/>
              <w:contextualSpacing/>
              <w:jc w:val="center"/>
              <w:rPr>
                <w:rFonts w:hint="eastAsia" w:ascii="宋体" w:hAnsi="宋体" w:eastAsia="宋体" w:cs="宋体"/>
                <w:color w:val="auto"/>
                <w:sz w:val="28"/>
                <w:szCs w:val="28"/>
              </w:rPr>
            </w:pPr>
            <w:r>
              <w:rPr>
                <w:rFonts w:hint="eastAsia" w:ascii="宋体" w:hAnsi="宋体" w:eastAsia="宋体" w:cs="宋体"/>
                <w:color w:val="auto"/>
                <w:sz w:val="28"/>
                <w:szCs w:val="28"/>
              </w:rPr>
              <w:t>无组织</w:t>
            </w:r>
          </w:p>
        </w:tc>
        <w:tc>
          <w:tcPr>
            <w:tcW w:w="1309" w:type="dxa"/>
            <w:vAlign w:val="center"/>
          </w:tcPr>
          <w:p>
            <w:pPr>
              <w:pStyle w:val="40"/>
              <w:keepNext w:val="0"/>
              <w:keepLines w:val="0"/>
              <w:suppressLineNumbers w:val="0"/>
              <w:snapToGrid w:val="0"/>
              <w:spacing w:before="0" w:beforeAutospacing="0" w:after="0" w:afterAutospacing="0"/>
              <w:ind w:left="0" w:right="0"/>
              <w:contextualSpacing/>
              <w:jc w:val="center"/>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1</w:t>
            </w:r>
          </w:p>
        </w:tc>
        <w:tc>
          <w:tcPr>
            <w:tcW w:w="2188" w:type="dxa"/>
            <w:vAlign w:val="center"/>
          </w:tcPr>
          <w:p>
            <w:pPr>
              <w:pStyle w:val="40"/>
              <w:keepNext w:val="0"/>
              <w:keepLines w:val="0"/>
              <w:suppressLineNumbers w:val="0"/>
              <w:snapToGrid w:val="0"/>
              <w:spacing w:before="0" w:beforeAutospacing="0" w:after="0" w:afterAutospacing="0"/>
              <w:ind w:left="0" w:right="0"/>
              <w:contextualSpacing/>
              <w:jc w:val="center"/>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上风向</w:t>
            </w:r>
          </w:p>
        </w:tc>
        <w:tc>
          <w:tcPr>
            <w:tcW w:w="2599" w:type="dxa"/>
            <w:vAlign w:val="center"/>
          </w:tcPr>
          <w:p>
            <w:pPr>
              <w:pStyle w:val="40"/>
              <w:keepNext w:val="0"/>
              <w:keepLines w:val="0"/>
              <w:suppressLineNumbers w:val="0"/>
              <w:snapToGrid w:val="0"/>
              <w:spacing w:before="0" w:beforeAutospacing="0" w:after="0" w:afterAutospacing="0"/>
              <w:ind w:left="0" w:right="0"/>
              <w:contextualSpacing/>
              <w:jc w:val="center"/>
              <w:rPr>
                <w:rFonts w:hint="default"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SF001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5" w:hRule="atLeast"/>
          <w:jc w:val="center"/>
        </w:trPr>
        <w:tc>
          <w:tcPr>
            <w:tcW w:w="1570" w:type="dxa"/>
            <w:gridSpan w:val="2"/>
            <w:vMerge w:val="continue"/>
            <w:vAlign w:val="center"/>
          </w:tcPr>
          <w:p>
            <w:pPr>
              <w:pStyle w:val="40"/>
              <w:keepNext w:val="0"/>
              <w:keepLines w:val="0"/>
              <w:suppressLineNumbers w:val="0"/>
              <w:snapToGrid w:val="0"/>
              <w:spacing w:before="0" w:beforeAutospacing="0" w:after="0" w:afterAutospacing="0"/>
              <w:ind w:left="0" w:right="0"/>
              <w:contextualSpacing/>
              <w:jc w:val="center"/>
              <w:rPr>
                <w:rFonts w:hint="default"/>
                <w:color w:val="auto"/>
              </w:rPr>
            </w:pPr>
          </w:p>
        </w:tc>
        <w:tc>
          <w:tcPr>
            <w:tcW w:w="1260" w:type="dxa"/>
            <w:vMerge w:val="continue"/>
            <w:vAlign w:val="center"/>
          </w:tcPr>
          <w:p>
            <w:pPr>
              <w:pStyle w:val="40"/>
              <w:keepNext w:val="0"/>
              <w:keepLines w:val="0"/>
              <w:suppressLineNumbers w:val="0"/>
              <w:snapToGrid w:val="0"/>
              <w:spacing w:before="0" w:beforeAutospacing="0" w:after="0" w:afterAutospacing="0"/>
              <w:ind w:left="0" w:right="0"/>
              <w:contextualSpacing/>
              <w:jc w:val="center"/>
              <w:rPr>
                <w:rFonts w:hint="default"/>
                <w:color w:val="auto"/>
              </w:rPr>
            </w:pPr>
          </w:p>
        </w:tc>
        <w:tc>
          <w:tcPr>
            <w:tcW w:w="1309" w:type="dxa"/>
            <w:vAlign w:val="center"/>
          </w:tcPr>
          <w:p>
            <w:pPr>
              <w:pStyle w:val="40"/>
              <w:keepNext w:val="0"/>
              <w:keepLines w:val="0"/>
              <w:suppressLineNumbers w:val="0"/>
              <w:snapToGrid w:val="0"/>
              <w:spacing w:before="0" w:beforeAutospacing="0" w:after="0" w:afterAutospacing="0"/>
              <w:ind w:left="0" w:right="0"/>
              <w:contextualSpacing/>
              <w:jc w:val="center"/>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2</w:t>
            </w:r>
          </w:p>
        </w:tc>
        <w:tc>
          <w:tcPr>
            <w:tcW w:w="2188" w:type="dxa"/>
            <w:vAlign w:val="center"/>
          </w:tcPr>
          <w:p>
            <w:pPr>
              <w:pStyle w:val="40"/>
              <w:keepNext w:val="0"/>
              <w:keepLines w:val="0"/>
              <w:suppressLineNumbers w:val="0"/>
              <w:snapToGrid w:val="0"/>
              <w:spacing w:before="0" w:beforeAutospacing="0" w:after="0" w:afterAutospacing="0"/>
              <w:ind w:left="0" w:right="0"/>
              <w:contextualSpacing/>
              <w:jc w:val="center"/>
              <w:rPr>
                <w:rFonts w:hint="default" w:ascii="宋体" w:hAnsi="宋体" w:eastAsia="宋体" w:cs="宋体"/>
                <w:color w:val="auto"/>
                <w:sz w:val="28"/>
                <w:szCs w:val="28"/>
                <w:lang w:val="en-US" w:eastAsia="zh-CN"/>
              </w:rPr>
            </w:pPr>
            <w:r>
              <w:rPr>
                <w:rFonts w:hint="eastAsia" w:ascii="宋体" w:hAnsi="宋体" w:eastAsia="宋体" w:cs="宋体"/>
                <w:color w:val="auto"/>
                <w:sz w:val="28"/>
                <w:szCs w:val="28"/>
                <w:lang w:eastAsia="zh-CN"/>
              </w:rPr>
              <w:t>下风向</w:t>
            </w:r>
            <w:r>
              <w:rPr>
                <w:rFonts w:hint="eastAsia" w:ascii="宋体" w:hAnsi="宋体" w:eastAsia="宋体" w:cs="宋体"/>
                <w:color w:val="auto"/>
                <w:sz w:val="28"/>
                <w:szCs w:val="28"/>
                <w:lang w:val="en-US" w:eastAsia="zh-CN"/>
              </w:rPr>
              <w:t>1</w:t>
            </w:r>
          </w:p>
        </w:tc>
        <w:tc>
          <w:tcPr>
            <w:tcW w:w="2599" w:type="dxa"/>
            <w:vAlign w:val="center"/>
          </w:tcPr>
          <w:p>
            <w:pPr>
              <w:pStyle w:val="40"/>
              <w:keepNext w:val="0"/>
              <w:keepLines w:val="0"/>
              <w:suppressLineNumbers w:val="0"/>
              <w:snapToGrid w:val="0"/>
              <w:spacing w:before="0" w:beforeAutospacing="0" w:after="0" w:afterAutospacing="0"/>
              <w:ind w:left="0" w:right="0"/>
              <w:contextualSpacing/>
              <w:jc w:val="center"/>
              <w:rPr>
                <w:rFonts w:hint="default"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XF001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2" w:hRule="atLeast"/>
          <w:jc w:val="center"/>
        </w:trPr>
        <w:tc>
          <w:tcPr>
            <w:tcW w:w="1570" w:type="dxa"/>
            <w:gridSpan w:val="2"/>
            <w:vMerge w:val="continue"/>
            <w:vAlign w:val="center"/>
          </w:tcPr>
          <w:p>
            <w:pPr>
              <w:pStyle w:val="40"/>
              <w:keepNext w:val="0"/>
              <w:keepLines w:val="0"/>
              <w:suppressLineNumbers w:val="0"/>
              <w:snapToGrid w:val="0"/>
              <w:spacing w:before="0" w:beforeAutospacing="0" w:after="0" w:afterAutospacing="0"/>
              <w:ind w:left="0" w:right="0"/>
              <w:contextualSpacing/>
              <w:jc w:val="center"/>
              <w:rPr>
                <w:rFonts w:hint="eastAsia" w:ascii="宋体" w:hAnsi="宋体" w:eastAsia="宋体" w:cs="宋体"/>
                <w:color w:val="auto"/>
                <w:sz w:val="28"/>
                <w:szCs w:val="28"/>
              </w:rPr>
            </w:pPr>
          </w:p>
        </w:tc>
        <w:tc>
          <w:tcPr>
            <w:tcW w:w="1260" w:type="dxa"/>
            <w:vMerge w:val="continue"/>
            <w:vAlign w:val="center"/>
          </w:tcPr>
          <w:p>
            <w:pPr>
              <w:pStyle w:val="40"/>
              <w:keepNext w:val="0"/>
              <w:keepLines w:val="0"/>
              <w:suppressLineNumbers w:val="0"/>
              <w:snapToGrid w:val="0"/>
              <w:spacing w:before="0" w:beforeAutospacing="0" w:after="0" w:afterAutospacing="0"/>
              <w:ind w:left="0" w:right="0"/>
              <w:contextualSpacing/>
              <w:jc w:val="center"/>
              <w:rPr>
                <w:rFonts w:hint="eastAsia" w:ascii="宋体" w:hAnsi="宋体" w:eastAsia="宋体" w:cs="宋体"/>
                <w:color w:val="auto"/>
                <w:sz w:val="28"/>
                <w:szCs w:val="28"/>
              </w:rPr>
            </w:pPr>
          </w:p>
        </w:tc>
        <w:tc>
          <w:tcPr>
            <w:tcW w:w="1309" w:type="dxa"/>
            <w:vAlign w:val="center"/>
          </w:tcPr>
          <w:p>
            <w:pPr>
              <w:pStyle w:val="40"/>
              <w:keepNext w:val="0"/>
              <w:keepLines w:val="0"/>
              <w:suppressLineNumbers w:val="0"/>
              <w:snapToGrid w:val="0"/>
              <w:spacing w:before="0" w:beforeAutospacing="0" w:after="0" w:afterAutospacing="0"/>
              <w:ind w:left="0" w:right="0"/>
              <w:contextualSpacing/>
              <w:jc w:val="center"/>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3</w:t>
            </w:r>
          </w:p>
        </w:tc>
        <w:tc>
          <w:tcPr>
            <w:tcW w:w="2188" w:type="dxa"/>
            <w:vAlign w:val="center"/>
          </w:tcPr>
          <w:p>
            <w:pPr>
              <w:pStyle w:val="40"/>
              <w:keepNext w:val="0"/>
              <w:keepLines w:val="0"/>
              <w:suppressLineNumbers w:val="0"/>
              <w:snapToGrid w:val="0"/>
              <w:spacing w:before="0" w:beforeAutospacing="0" w:after="0" w:afterAutospacing="0"/>
              <w:ind w:left="0" w:right="0"/>
              <w:contextualSpacing/>
              <w:jc w:val="center"/>
              <w:rPr>
                <w:rFonts w:hint="default" w:ascii="宋体" w:hAnsi="宋体" w:eastAsia="宋体" w:cs="宋体"/>
                <w:color w:val="auto"/>
                <w:sz w:val="28"/>
                <w:szCs w:val="28"/>
                <w:lang w:val="en-US" w:eastAsia="zh-CN"/>
              </w:rPr>
            </w:pPr>
            <w:r>
              <w:rPr>
                <w:rFonts w:hint="eastAsia" w:ascii="宋体" w:hAnsi="宋体" w:eastAsia="宋体" w:cs="宋体"/>
                <w:color w:val="auto"/>
                <w:sz w:val="28"/>
                <w:szCs w:val="28"/>
                <w:lang w:eastAsia="zh-CN"/>
              </w:rPr>
              <w:t>下风向</w:t>
            </w:r>
            <w:r>
              <w:rPr>
                <w:rFonts w:hint="eastAsia" w:ascii="宋体" w:hAnsi="宋体" w:eastAsia="宋体" w:cs="宋体"/>
                <w:color w:val="auto"/>
                <w:sz w:val="28"/>
                <w:szCs w:val="28"/>
                <w:lang w:val="en-US" w:eastAsia="zh-CN"/>
              </w:rPr>
              <w:t>2</w:t>
            </w:r>
          </w:p>
        </w:tc>
        <w:tc>
          <w:tcPr>
            <w:tcW w:w="2599" w:type="dxa"/>
            <w:vAlign w:val="center"/>
          </w:tcPr>
          <w:p>
            <w:pPr>
              <w:pStyle w:val="40"/>
              <w:keepNext w:val="0"/>
              <w:keepLines w:val="0"/>
              <w:suppressLineNumbers w:val="0"/>
              <w:snapToGrid w:val="0"/>
              <w:spacing w:before="0" w:beforeAutospacing="0" w:after="0" w:afterAutospacing="0"/>
              <w:ind w:left="0" w:right="0"/>
              <w:contextualSpacing/>
              <w:jc w:val="center"/>
              <w:rPr>
                <w:rFonts w:hint="default" w:ascii="宋体" w:hAnsi="宋体" w:eastAsia="宋体" w:cs="宋体"/>
                <w:color w:val="auto"/>
                <w:sz w:val="28"/>
                <w:szCs w:val="28"/>
                <w:lang w:val="en-US"/>
              </w:rPr>
            </w:pPr>
            <w:r>
              <w:rPr>
                <w:rFonts w:hint="eastAsia" w:ascii="宋体" w:hAnsi="宋体" w:eastAsia="宋体" w:cs="宋体"/>
                <w:color w:val="auto"/>
                <w:sz w:val="28"/>
                <w:szCs w:val="28"/>
                <w:lang w:val="en-US" w:eastAsia="zh-CN"/>
              </w:rPr>
              <w:t>XF002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8" w:hRule="atLeast"/>
          <w:jc w:val="center"/>
        </w:trPr>
        <w:tc>
          <w:tcPr>
            <w:tcW w:w="1570" w:type="dxa"/>
            <w:gridSpan w:val="2"/>
            <w:vMerge w:val="continue"/>
            <w:vAlign w:val="center"/>
          </w:tcPr>
          <w:p>
            <w:pPr>
              <w:pStyle w:val="40"/>
              <w:keepNext w:val="0"/>
              <w:keepLines w:val="0"/>
              <w:suppressLineNumbers w:val="0"/>
              <w:snapToGrid w:val="0"/>
              <w:spacing w:before="0" w:beforeAutospacing="0" w:after="0" w:afterAutospacing="0"/>
              <w:ind w:left="0" w:right="0"/>
              <w:contextualSpacing/>
              <w:jc w:val="center"/>
              <w:rPr>
                <w:rFonts w:hint="default"/>
                <w:color w:val="auto"/>
              </w:rPr>
            </w:pPr>
          </w:p>
        </w:tc>
        <w:tc>
          <w:tcPr>
            <w:tcW w:w="1260" w:type="dxa"/>
            <w:vMerge w:val="continue"/>
            <w:vAlign w:val="center"/>
          </w:tcPr>
          <w:p>
            <w:pPr>
              <w:pStyle w:val="40"/>
              <w:keepNext w:val="0"/>
              <w:keepLines w:val="0"/>
              <w:suppressLineNumbers w:val="0"/>
              <w:snapToGrid w:val="0"/>
              <w:spacing w:before="0" w:beforeAutospacing="0" w:after="0" w:afterAutospacing="0"/>
              <w:ind w:left="0" w:right="0"/>
              <w:contextualSpacing/>
              <w:jc w:val="center"/>
              <w:rPr>
                <w:rFonts w:hint="default"/>
                <w:color w:val="auto"/>
              </w:rPr>
            </w:pPr>
          </w:p>
        </w:tc>
        <w:tc>
          <w:tcPr>
            <w:tcW w:w="1309" w:type="dxa"/>
            <w:vAlign w:val="center"/>
          </w:tcPr>
          <w:p>
            <w:pPr>
              <w:pStyle w:val="40"/>
              <w:keepNext w:val="0"/>
              <w:keepLines w:val="0"/>
              <w:suppressLineNumbers w:val="0"/>
              <w:snapToGrid w:val="0"/>
              <w:spacing w:before="0" w:beforeAutospacing="0" w:after="0" w:afterAutospacing="0"/>
              <w:ind w:left="0" w:right="0"/>
              <w:contextualSpacing/>
              <w:jc w:val="center"/>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4</w:t>
            </w:r>
          </w:p>
        </w:tc>
        <w:tc>
          <w:tcPr>
            <w:tcW w:w="2188" w:type="dxa"/>
            <w:vAlign w:val="center"/>
          </w:tcPr>
          <w:p>
            <w:pPr>
              <w:pStyle w:val="40"/>
              <w:keepNext w:val="0"/>
              <w:keepLines w:val="0"/>
              <w:suppressLineNumbers w:val="0"/>
              <w:snapToGrid w:val="0"/>
              <w:spacing w:before="0" w:beforeAutospacing="0" w:after="0" w:afterAutospacing="0"/>
              <w:ind w:left="0" w:right="0"/>
              <w:contextualSpacing/>
              <w:jc w:val="center"/>
              <w:rPr>
                <w:rFonts w:hint="default" w:ascii="宋体" w:hAnsi="宋体" w:eastAsia="宋体" w:cs="宋体"/>
                <w:color w:val="auto"/>
                <w:sz w:val="28"/>
                <w:szCs w:val="28"/>
                <w:lang w:val="en-US" w:eastAsia="zh-CN"/>
              </w:rPr>
            </w:pPr>
            <w:r>
              <w:rPr>
                <w:rFonts w:hint="eastAsia" w:ascii="宋体" w:hAnsi="宋体" w:eastAsia="宋体" w:cs="宋体"/>
                <w:color w:val="auto"/>
                <w:sz w:val="28"/>
                <w:szCs w:val="28"/>
                <w:lang w:eastAsia="zh-CN"/>
              </w:rPr>
              <w:t>下风向</w:t>
            </w:r>
            <w:r>
              <w:rPr>
                <w:rFonts w:hint="eastAsia" w:ascii="宋体" w:hAnsi="宋体" w:eastAsia="宋体" w:cs="宋体"/>
                <w:color w:val="auto"/>
                <w:sz w:val="28"/>
                <w:szCs w:val="28"/>
                <w:lang w:val="en-US" w:eastAsia="zh-CN"/>
              </w:rPr>
              <w:t>3</w:t>
            </w:r>
          </w:p>
        </w:tc>
        <w:tc>
          <w:tcPr>
            <w:tcW w:w="2599" w:type="dxa"/>
            <w:vAlign w:val="center"/>
          </w:tcPr>
          <w:p>
            <w:pPr>
              <w:pStyle w:val="40"/>
              <w:keepNext w:val="0"/>
              <w:keepLines w:val="0"/>
              <w:suppressLineNumbers w:val="0"/>
              <w:snapToGrid w:val="0"/>
              <w:spacing w:before="0" w:beforeAutospacing="0" w:after="0" w:afterAutospacing="0"/>
              <w:ind w:left="0" w:right="0"/>
              <w:contextualSpacing/>
              <w:jc w:val="center"/>
              <w:rPr>
                <w:rFonts w:hint="default" w:ascii="宋体" w:hAnsi="宋体" w:eastAsia="宋体" w:cs="宋体"/>
                <w:color w:val="auto"/>
                <w:sz w:val="28"/>
                <w:szCs w:val="28"/>
                <w:lang w:val="en-US"/>
              </w:rPr>
            </w:pPr>
            <w:r>
              <w:rPr>
                <w:rFonts w:hint="eastAsia" w:ascii="宋体" w:hAnsi="宋体" w:eastAsia="宋体" w:cs="宋体"/>
                <w:color w:val="auto"/>
                <w:sz w:val="28"/>
                <w:szCs w:val="28"/>
                <w:lang w:val="en-US" w:eastAsia="zh-CN"/>
              </w:rPr>
              <w:t>XF003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94" w:hRule="atLeast"/>
          <w:jc w:val="center"/>
        </w:trPr>
        <w:tc>
          <w:tcPr>
            <w:tcW w:w="1570" w:type="dxa"/>
            <w:gridSpan w:val="2"/>
            <w:vMerge w:val="continue"/>
            <w:vAlign w:val="center"/>
          </w:tcPr>
          <w:p>
            <w:pPr>
              <w:keepNext w:val="0"/>
              <w:keepLines w:val="0"/>
              <w:suppressLineNumbers w:val="0"/>
              <w:spacing w:before="0" w:beforeAutospacing="0" w:after="0" w:afterAutospacing="0"/>
              <w:ind w:left="0" w:right="0"/>
              <w:rPr>
                <w:rFonts w:hint="eastAsia" w:ascii="宋体" w:hAnsi="宋体" w:eastAsia="宋体" w:cs="宋体"/>
                <w:color w:val="auto"/>
                <w:sz w:val="28"/>
                <w:szCs w:val="28"/>
              </w:rPr>
            </w:pPr>
          </w:p>
        </w:tc>
        <w:tc>
          <w:tcPr>
            <w:tcW w:w="1260" w:type="dxa"/>
            <w:vMerge w:val="continue"/>
            <w:vAlign w:val="center"/>
          </w:tcPr>
          <w:p>
            <w:pPr>
              <w:keepNext w:val="0"/>
              <w:keepLines w:val="0"/>
              <w:suppressLineNumbers w:val="0"/>
              <w:spacing w:before="0" w:beforeAutospacing="0" w:after="0" w:afterAutospacing="0"/>
              <w:ind w:left="0" w:right="0"/>
              <w:rPr>
                <w:rFonts w:hint="eastAsia" w:ascii="宋体" w:hAnsi="宋体" w:eastAsia="宋体" w:cs="宋体"/>
                <w:color w:val="auto"/>
                <w:sz w:val="28"/>
                <w:szCs w:val="28"/>
              </w:rPr>
            </w:pPr>
          </w:p>
        </w:tc>
        <w:tc>
          <w:tcPr>
            <w:tcW w:w="1309" w:type="dxa"/>
            <w:vAlign w:val="center"/>
          </w:tcPr>
          <w:p>
            <w:pPr>
              <w:pStyle w:val="40"/>
              <w:keepNext w:val="0"/>
              <w:keepLines w:val="0"/>
              <w:suppressLineNumbers w:val="0"/>
              <w:snapToGrid w:val="0"/>
              <w:spacing w:before="0" w:beforeAutospacing="0" w:after="0" w:afterAutospacing="0"/>
              <w:ind w:left="0" w:right="0"/>
              <w:contextualSpacing/>
              <w:jc w:val="center"/>
              <w:rPr>
                <w:rFonts w:hint="eastAsia" w:ascii="宋体" w:hAnsi="宋体" w:eastAsia="宋体" w:cs="宋体"/>
                <w:color w:val="auto"/>
                <w:sz w:val="28"/>
                <w:szCs w:val="28"/>
                <w:lang w:eastAsia="zh-CN"/>
              </w:rPr>
            </w:pPr>
            <w:r>
              <w:rPr>
                <w:rFonts w:hint="eastAsia" w:ascii="宋体" w:hAnsi="宋体" w:eastAsia="宋体" w:cs="宋体"/>
                <w:color w:val="auto"/>
                <w:sz w:val="28"/>
                <w:szCs w:val="28"/>
                <w:lang w:val="en-US" w:eastAsia="zh-CN"/>
              </w:rPr>
              <w:t>5</w:t>
            </w:r>
          </w:p>
        </w:tc>
        <w:tc>
          <w:tcPr>
            <w:tcW w:w="2188" w:type="dxa"/>
            <w:vAlign w:val="center"/>
          </w:tcPr>
          <w:p>
            <w:pPr>
              <w:pStyle w:val="40"/>
              <w:keepNext w:val="0"/>
              <w:keepLines w:val="0"/>
              <w:suppressLineNumbers w:val="0"/>
              <w:snapToGrid w:val="0"/>
              <w:spacing w:before="0" w:beforeAutospacing="0" w:after="0" w:afterAutospacing="0"/>
              <w:ind w:left="0" w:right="0"/>
              <w:contextualSpacing/>
              <w:jc w:val="center"/>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厂区体积浓度最高处</w:t>
            </w:r>
          </w:p>
        </w:tc>
        <w:tc>
          <w:tcPr>
            <w:tcW w:w="2599" w:type="dxa"/>
            <w:vAlign w:val="center"/>
          </w:tcPr>
          <w:p>
            <w:pPr>
              <w:pStyle w:val="40"/>
              <w:keepNext w:val="0"/>
              <w:keepLines w:val="0"/>
              <w:suppressLineNumbers w:val="0"/>
              <w:snapToGrid w:val="0"/>
              <w:spacing w:before="0" w:beforeAutospacing="0" w:after="0" w:afterAutospacing="0"/>
              <w:ind w:left="0" w:right="0"/>
              <w:contextualSpacing/>
              <w:jc w:val="center"/>
              <w:rPr>
                <w:rFonts w:hint="eastAsia" w:ascii="宋体" w:hAnsi="宋体" w:eastAsia="宋体" w:cs="宋体"/>
                <w:color w:val="auto"/>
                <w:sz w:val="28"/>
                <w:szCs w:val="28"/>
              </w:rPr>
            </w:pPr>
            <w:r>
              <w:rPr>
                <w:rFonts w:hint="eastAsia" w:ascii="宋体" w:hAnsi="宋体" w:eastAsia="宋体" w:cs="宋体"/>
                <w:color w:val="auto"/>
                <w:sz w:val="28"/>
                <w:szCs w:val="28"/>
              </w:rPr>
              <w:t>CN001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94" w:hRule="atLeast"/>
          <w:jc w:val="center"/>
        </w:trPr>
        <w:tc>
          <w:tcPr>
            <w:tcW w:w="1570" w:type="dxa"/>
            <w:gridSpan w:val="2"/>
            <w:vMerge w:val="continue"/>
            <w:vAlign w:val="center"/>
          </w:tcPr>
          <w:p>
            <w:pPr>
              <w:keepNext w:val="0"/>
              <w:keepLines w:val="0"/>
              <w:suppressLineNumbers w:val="0"/>
              <w:spacing w:before="0" w:beforeAutospacing="0" w:after="0" w:afterAutospacing="0"/>
              <w:ind w:left="0" w:right="0"/>
              <w:rPr>
                <w:rFonts w:hint="eastAsia" w:ascii="宋体" w:hAnsi="宋体" w:eastAsia="宋体" w:cs="宋体"/>
                <w:color w:val="auto"/>
                <w:sz w:val="28"/>
                <w:szCs w:val="28"/>
              </w:rPr>
            </w:pPr>
          </w:p>
        </w:tc>
        <w:tc>
          <w:tcPr>
            <w:tcW w:w="1260" w:type="dxa"/>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sz w:val="28"/>
                <w:szCs w:val="28"/>
                <w:lang w:val="en-US" w:eastAsia="zh-CN"/>
              </w:rPr>
            </w:pPr>
          </w:p>
        </w:tc>
        <w:tc>
          <w:tcPr>
            <w:tcW w:w="1309" w:type="dxa"/>
            <w:vAlign w:val="center"/>
          </w:tcPr>
          <w:p>
            <w:pPr>
              <w:pStyle w:val="40"/>
              <w:keepNext w:val="0"/>
              <w:keepLines w:val="0"/>
              <w:suppressLineNumbers w:val="0"/>
              <w:snapToGrid w:val="0"/>
              <w:spacing w:before="0" w:beforeAutospacing="0" w:after="0" w:afterAutospacing="0"/>
              <w:ind w:left="0" w:right="0"/>
              <w:contextualSpacing/>
              <w:jc w:val="center"/>
              <w:rPr>
                <w:rFonts w:hint="default"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6</w:t>
            </w:r>
          </w:p>
        </w:tc>
        <w:tc>
          <w:tcPr>
            <w:tcW w:w="2188" w:type="dxa"/>
            <w:vAlign w:val="center"/>
          </w:tcPr>
          <w:p>
            <w:pPr>
              <w:pStyle w:val="40"/>
              <w:keepNext w:val="0"/>
              <w:keepLines w:val="0"/>
              <w:suppressLineNumbers w:val="0"/>
              <w:snapToGrid w:val="0"/>
              <w:spacing w:before="0" w:beforeAutospacing="0" w:after="0" w:afterAutospacing="0"/>
              <w:ind w:left="0" w:leftChars="0" w:right="0" w:rightChars="0"/>
              <w:contextualSpacing/>
              <w:jc w:val="center"/>
              <w:rPr>
                <w:rFonts w:hint="eastAsia" w:ascii="宋体" w:hAnsi="宋体" w:eastAsia="宋体" w:cs="宋体"/>
                <w:color w:val="auto"/>
                <w:kern w:val="2"/>
                <w:sz w:val="28"/>
                <w:szCs w:val="28"/>
                <w:lang w:val="en-US" w:eastAsia="zh-CN" w:bidi="ar-SA"/>
              </w:rPr>
            </w:pPr>
            <w:r>
              <w:rPr>
                <w:rFonts w:hint="eastAsia" w:ascii="宋体" w:hAnsi="宋体" w:eastAsia="宋体" w:cs="宋体"/>
                <w:color w:val="auto"/>
                <w:sz w:val="28"/>
                <w:szCs w:val="28"/>
                <w:lang w:eastAsia="zh-CN"/>
              </w:rPr>
              <w:t>厂区体积浓度最高处</w:t>
            </w:r>
          </w:p>
        </w:tc>
        <w:tc>
          <w:tcPr>
            <w:tcW w:w="2599" w:type="dxa"/>
            <w:vAlign w:val="center"/>
          </w:tcPr>
          <w:p>
            <w:pPr>
              <w:pStyle w:val="40"/>
              <w:keepNext w:val="0"/>
              <w:keepLines w:val="0"/>
              <w:suppressLineNumbers w:val="0"/>
              <w:snapToGrid w:val="0"/>
              <w:spacing w:before="0" w:beforeAutospacing="0" w:after="0" w:afterAutospacing="0"/>
              <w:ind w:left="0" w:leftChars="0" w:right="0" w:rightChars="0"/>
              <w:contextualSpacing/>
              <w:jc w:val="center"/>
              <w:rPr>
                <w:rFonts w:hint="eastAsia" w:ascii="宋体" w:hAnsi="宋体" w:eastAsia="宋体" w:cs="宋体"/>
                <w:color w:val="auto"/>
                <w:kern w:val="2"/>
                <w:sz w:val="28"/>
                <w:szCs w:val="28"/>
                <w:lang w:val="en-US" w:eastAsia="zh-CN" w:bidi="ar-SA"/>
              </w:rPr>
            </w:pPr>
            <w:r>
              <w:rPr>
                <w:rFonts w:hint="eastAsia" w:ascii="宋体" w:hAnsi="宋体" w:eastAsia="宋体" w:cs="宋体"/>
                <w:color w:val="auto"/>
                <w:sz w:val="28"/>
                <w:szCs w:val="28"/>
              </w:rPr>
              <w:t>CN00</w:t>
            </w:r>
            <w:r>
              <w:rPr>
                <w:rFonts w:hint="eastAsia" w:ascii="宋体" w:hAnsi="宋体" w:eastAsia="宋体" w:cs="宋体"/>
                <w:color w:val="auto"/>
                <w:sz w:val="28"/>
                <w:szCs w:val="28"/>
                <w:lang w:val="en-US" w:eastAsia="zh-CN"/>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3" w:hRule="atLeast"/>
          <w:jc w:val="center"/>
        </w:trPr>
        <w:tc>
          <w:tcPr>
            <w:tcW w:w="1570" w:type="dxa"/>
            <w:gridSpan w:val="2"/>
            <w:vMerge w:val="continue"/>
            <w:vAlign w:val="center"/>
          </w:tcPr>
          <w:p>
            <w:pPr>
              <w:keepNext w:val="0"/>
              <w:keepLines w:val="0"/>
              <w:suppressLineNumbers w:val="0"/>
              <w:spacing w:before="0" w:beforeAutospacing="0" w:after="0" w:afterAutospacing="0"/>
              <w:ind w:left="0" w:right="0"/>
              <w:rPr>
                <w:rFonts w:hint="eastAsia" w:ascii="宋体" w:hAnsi="宋体" w:eastAsia="宋体" w:cs="宋体"/>
                <w:color w:val="auto"/>
                <w:sz w:val="28"/>
                <w:szCs w:val="28"/>
              </w:rPr>
            </w:pPr>
          </w:p>
        </w:tc>
        <w:tc>
          <w:tcPr>
            <w:tcW w:w="1260" w:type="dxa"/>
            <w:vMerge w:val="restart"/>
            <w:vAlign w:val="center"/>
          </w:tcPr>
          <w:p>
            <w:pPr>
              <w:pStyle w:val="40"/>
              <w:keepNext w:val="0"/>
              <w:keepLines w:val="0"/>
              <w:suppressLineNumbers w:val="0"/>
              <w:snapToGrid w:val="0"/>
              <w:spacing w:before="0" w:beforeAutospacing="0" w:after="0" w:afterAutospacing="0"/>
              <w:ind w:left="0" w:right="0"/>
              <w:contextualSpacing/>
              <w:jc w:val="center"/>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有组织</w:t>
            </w:r>
          </w:p>
        </w:tc>
        <w:tc>
          <w:tcPr>
            <w:tcW w:w="1309" w:type="dxa"/>
            <w:vAlign w:val="center"/>
          </w:tcPr>
          <w:p>
            <w:pPr>
              <w:pStyle w:val="40"/>
              <w:keepNext w:val="0"/>
              <w:keepLines w:val="0"/>
              <w:suppressLineNumbers w:val="0"/>
              <w:snapToGrid w:val="0"/>
              <w:spacing w:before="0" w:beforeAutospacing="0" w:after="0" w:afterAutospacing="0"/>
              <w:ind w:left="0" w:right="0"/>
              <w:contextualSpacing/>
              <w:jc w:val="center"/>
              <w:rPr>
                <w:rFonts w:hint="default"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1</w:t>
            </w:r>
          </w:p>
        </w:tc>
        <w:tc>
          <w:tcPr>
            <w:tcW w:w="2188" w:type="dxa"/>
            <w:vAlign w:val="center"/>
          </w:tcPr>
          <w:p>
            <w:pPr>
              <w:pStyle w:val="40"/>
              <w:keepNext w:val="0"/>
              <w:keepLines w:val="0"/>
              <w:suppressLineNumbers w:val="0"/>
              <w:snapToGrid w:val="0"/>
              <w:spacing w:before="0" w:beforeAutospacing="0" w:after="0" w:afterAutospacing="0"/>
              <w:ind w:left="0" w:right="0"/>
              <w:contextualSpacing/>
              <w:jc w:val="center"/>
              <w:rPr>
                <w:rFonts w:hint="default"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有组织排放口</w:t>
            </w:r>
          </w:p>
        </w:tc>
        <w:tc>
          <w:tcPr>
            <w:tcW w:w="2599" w:type="dxa"/>
            <w:vAlign w:val="center"/>
          </w:tcPr>
          <w:p>
            <w:pPr>
              <w:pStyle w:val="40"/>
              <w:keepNext w:val="0"/>
              <w:keepLines w:val="0"/>
              <w:suppressLineNumbers w:val="0"/>
              <w:snapToGrid w:val="0"/>
              <w:spacing w:before="0" w:beforeAutospacing="0" w:after="0" w:afterAutospacing="0"/>
              <w:ind w:left="0" w:right="0"/>
              <w:contextualSpacing/>
              <w:jc w:val="center"/>
              <w:rPr>
                <w:rFonts w:hint="default"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DA001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3" w:hRule="atLeast"/>
          <w:jc w:val="center"/>
        </w:trPr>
        <w:tc>
          <w:tcPr>
            <w:tcW w:w="1570" w:type="dxa"/>
            <w:gridSpan w:val="2"/>
            <w:vMerge w:val="continue"/>
            <w:vAlign w:val="center"/>
          </w:tcPr>
          <w:p>
            <w:pPr>
              <w:pStyle w:val="40"/>
              <w:keepNext w:val="0"/>
              <w:keepLines w:val="0"/>
              <w:suppressLineNumbers w:val="0"/>
              <w:snapToGrid w:val="0"/>
              <w:spacing w:before="0" w:beforeAutospacing="0" w:after="0" w:afterAutospacing="0"/>
              <w:ind w:left="0" w:right="0"/>
              <w:contextualSpacing/>
              <w:jc w:val="center"/>
            </w:pPr>
          </w:p>
        </w:tc>
        <w:tc>
          <w:tcPr>
            <w:tcW w:w="1260" w:type="dxa"/>
            <w:vMerge w:val="continue"/>
            <w:vAlign w:val="center"/>
          </w:tcPr>
          <w:p>
            <w:pPr>
              <w:pStyle w:val="40"/>
              <w:keepNext w:val="0"/>
              <w:keepLines w:val="0"/>
              <w:suppressLineNumbers w:val="0"/>
              <w:snapToGrid w:val="0"/>
              <w:spacing w:before="0" w:beforeAutospacing="0" w:after="0" w:afterAutospacing="0"/>
              <w:ind w:left="0" w:right="0"/>
              <w:contextualSpacing/>
              <w:jc w:val="center"/>
            </w:pPr>
          </w:p>
        </w:tc>
        <w:tc>
          <w:tcPr>
            <w:tcW w:w="1309" w:type="dxa"/>
            <w:vAlign w:val="center"/>
          </w:tcPr>
          <w:p>
            <w:pPr>
              <w:pStyle w:val="40"/>
              <w:keepNext w:val="0"/>
              <w:keepLines w:val="0"/>
              <w:suppressLineNumbers w:val="0"/>
              <w:snapToGrid w:val="0"/>
              <w:spacing w:before="0" w:beforeAutospacing="0" w:after="0" w:afterAutospacing="0"/>
              <w:ind w:left="0" w:right="0"/>
              <w:contextualSpacing/>
              <w:jc w:val="center"/>
              <w:rPr>
                <w:rFonts w:hint="default"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2</w:t>
            </w:r>
          </w:p>
        </w:tc>
        <w:tc>
          <w:tcPr>
            <w:tcW w:w="2188" w:type="dxa"/>
            <w:vAlign w:val="center"/>
          </w:tcPr>
          <w:p>
            <w:pPr>
              <w:pStyle w:val="40"/>
              <w:keepNext w:val="0"/>
              <w:keepLines w:val="0"/>
              <w:suppressLineNumbers w:val="0"/>
              <w:snapToGrid w:val="0"/>
              <w:spacing w:before="0" w:beforeAutospacing="0" w:after="0" w:afterAutospacing="0"/>
              <w:ind w:left="0" w:leftChars="0" w:right="0" w:rightChars="0"/>
              <w:contextualSpacing/>
              <w:jc w:val="center"/>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有组织排放口</w:t>
            </w:r>
          </w:p>
        </w:tc>
        <w:tc>
          <w:tcPr>
            <w:tcW w:w="2599" w:type="dxa"/>
            <w:vAlign w:val="center"/>
          </w:tcPr>
          <w:p>
            <w:pPr>
              <w:pStyle w:val="40"/>
              <w:keepNext w:val="0"/>
              <w:keepLines w:val="0"/>
              <w:suppressLineNumbers w:val="0"/>
              <w:snapToGrid w:val="0"/>
              <w:spacing w:before="0" w:beforeAutospacing="0" w:after="0" w:afterAutospacing="0"/>
              <w:ind w:left="0" w:leftChars="0" w:right="0" w:rightChars="0"/>
              <w:contextualSpacing/>
              <w:jc w:val="center"/>
              <w:rPr>
                <w:rFonts w:hint="default"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DA002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830" w:type="dxa"/>
            <w:gridSpan w:val="3"/>
            <w:vMerge w:val="restart"/>
            <w:vAlign w:val="center"/>
          </w:tcPr>
          <w:p>
            <w:pPr>
              <w:pStyle w:val="40"/>
              <w:keepNext w:val="0"/>
              <w:keepLines w:val="0"/>
              <w:suppressLineNumbers w:val="0"/>
              <w:snapToGrid w:val="0"/>
              <w:spacing w:before="0" w:beforeAutospacing="0" w:after="0" w:afterAutospacing="0"/>
              <w:ind w:left="0" w:right="0"/>
              <w:contextualSpacing/>
              <w:jc w:val="center"/>
              <w:rPr>
                <w:rFonts w:hint="eastAsia" w:ascii="宋体" w:hAnsi="宋体" w:eastAsia="宋体" w:cs="宋体"/>
                <w:color w:val="auto"/>
                <w:sz w:val="28"/>
                <w:szCs w:val="28"/>
              </w:rPr>
            </w:pPr>
            <w:r>
              <w:rPr>
                <w:rFonts w:hint="eastAsia" w:ascii="宋体" w:hAnsi="宋体" w:eastAsia="宋体" w:cs="宋体"/>
                <w:color w:val="auto"/>
                <w:sz w:val="28"/>
                <w:szCs w:val="28"/>
              </w:rPr>
              <w:t>噪声</w:t>
            </w:r>
          </w:p>
        </w:tc>
        <w:tc>
          <w:tcPr>
            <w:tcW w:w="1309" w:type="dxa"/>
            <w:vAlign w:val="center"/>
          </w:tcPr>
          <w:p>
            <w:pPr>
              <w:pStyle w:val="40"/>
              <w:keepNext w:val="0"/>
              <w:keepLines w:val="0"/>
              <w:suppressLineNumbers w:val="0"/>
              <w:snapToGrid w:val="0"/>
              <w:spacing w:before="0" w:beforeAutospacing="0" w:after="0" w:afterAutospacing="0"/>
              <w:ind w:left="0" w:right="0"/>
              <w:contextualSpacing/>
              <w:jc w:val="center"/>
              <w:rPr>
                <w:rFonts w:hint="eastAsia" w:ascii="宋体" w:hAnsi="宋体" w:eastAsia="宋体" w:cs="宋体"/>
                <w:color w:val="auto"/>
                <w:sz w:val="28"/>
                <w:szCs w:val="28"/>
              </w:rPr>
            </w:pPr>
            <w:r>
              <w:rPr>
                <w:rFonts w:hint="eastAsia" w:ascii="宋体" w:hAnsi="宋体" w:eastAsia="宋体" w:cs="宋体"/>
                <w:color w:val="auto"/>
                <w:sz w:val="28"/>
                <w:szCs w:val="28"/>
              </w:rPr>
              <w:t>1</w:t>
            </w:r>
          </w:p>
        </w:tc>
        <w:tc>
          <w:tcPr>
            <w:tcW w:w="2188" w:type="dxa"/>
            <w:vAlign w:val="center"/>
          </w:tcPr>
          <w:p>
            <w:pPr>
              <w:pStyle w:val="41"/>
              <w:keepNext w:val="0"/>
              <w:keepLines w:val="0"/>
              <w:suppressLineNumbers w:val="0"/>
              <w:snapToGrid w:val="0"/>
              <w:spacing w:before="0" w:beforeAutospacing="0" w:after="0" w:afterAutospacing="0"/>
              <w:ind w:left="0" w:right="0"/>
              <w:contextualSpacing/>
              <w:rPr>
                <w:rFonts w:hint="eastAsia" w:ascii="宋体" w:hAnsi="宋体" w:eastAsia="宋体" w:cs="宋体"/>
                <w:color w:val="auto"/>
                <w:sz w:val="28"/>
                <w:szCs w:val="28"/>
              </w:rPr>
            </w:pPr>
            <w:r>
              <w:rPr>
                <w:rFonts w:hint="eastAsia" w:ascii="宋体" w:hAnsi="宋体" w:eastAsia="宋体" w:cs="宋体"/>
                <w:color w:val="auto"/>
                <w:sz w:val="28"/>
                <w:szCs w:val="28"/>
              </w:rPr>
              <w:t xml:space="preserve">  厂界噪声（东）</w:t>
            </w:r>
          </w:p>
        </w:tc>
        <w:tc>
          <w:tcPr>
            <w:tcW w:w="2599" w:type="dxa"/>
            <w:vAlign w:val="center"/>
          </w:tcPr>
          <w:p>
            <w:pPr>
              <w:pStyle w:val="40"/>
              <w:keepNext w:val="0"/>
              <w:keepLines w:val="0"/>
              <w:suppressLineNumbers w:val="0"/>
              <w:snapToGrid w:val="0"/>
              <w:spacing w:before="0" w:beforeAutospacing="0" w:after="0" w:afterAutospacing="0"/>
              <w:ind w:left="0" w:right="0"/>
              <w:contextualSpacing/>
              <w:jc w:val="center"/>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ZS001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830" w:type="dxa"/>
            <w:gridSpan w:val="3"/>
            <w:vMerge w:val="continue"/>
            <w:vAlign w:val="center"/>
          </w:tcPr>
          <w:p>
            <w:pPr>
              <w:keepNext w:val="0"/>
              <w:keepLines w:val="0"/>
              <w:suppressLineNumbers w:val="0"/>
              <w:spacing w:before="0" w:beforeAutospacing="0" w:after="0" w:afterAutospacing="0"/>
              <w:ind w:left="0" w:right="0"/>
              <w:rPr>
                <w:rFonts w:hint="eastAsia" w:ascii="宋体" w:hAnsi="宋体" w:eastAsia="宋体" w:cs="宋体"/>
                <w:color w:val="auto"/>
                <w:sz w:val="28"/>
                <w:szCs w:val="28"/>
              </w:rPr>
            </w:pPr>
          </w:p>
        </w:tc>
        <w:tc>
          <w:tcPr>
            <w:tcW w:w="1309" w:type="dxa"/>
            <w:vAlign w:val="center"/>
          </w:tcPr>
          <w:p>
            <w:pPr>
              <w:pStyle w:val="40"/>
              <w:keepNext w:val="0"/>
              <w:keepLines w:val="0"/>
              <w:suppressLineNumbers w:val="0"/>
              <w:snapToGrid w:val="0"/>
              <w:spacing w:before="0" w:beforeAutospacing="0" w:after="0" w:afterAutospacing="0"/>
              <w:ind w:left="0" w:right="0"/>
              <w:contextualSpacing/>
              <w:jc w:val="center"/>
              <w:rPr>
                <w:rFonts w:hint="eastAsia" w:ascii="宋体" w:hAnsi="宋体" w:eastAsia="宋体" w:cs="宋体"/>
                <w:color w:val="auto"/>
                <w:sz w:val="28"/>
                <w:szCs w:val="28"/>
              </w:rPr>
            </w:pPr>
            <w:r>
              <w:rPr>
                <w:rFonts w:hint="eastAsia" w:ascii="宋体" w:hAnsi="宋体" w:eastAsia="宋体" w:cs="宋体"/>
                <w:color w:val="auto"/>
                <w:sz w:val="28"/>
                <w:szCs w:val="28"/>
              </w:rPr>
              <w:t>2</w:t>
            </w:r>
          </w:p>
        </w:tc>
        <w:tc>
          <w:tcPr>
            <w:tcW w:w="2188" w:type="dxa"/>
            <w:vAlign w:val="center"/>
          </w:tcPr>
          <w:p>
            <w:pPr>
              <w:pStyle w:val="41"/>
              <w:keepNext w:val="0"/>
              <w:keepLines w:val="0"/>
              <w:suppressLineNumbers w:val="0"/>
              <w:snapToGrid w:val="0"/>
              <w:spacing w:before="0" w:beforeAutospacing="0" w:after="0" w:afterAutospacing="0"/>
              <w:ind w:left="0" w:right="0"/>
              <w:contextualSpacing/>
              <w:rPr>
                <w:rFonts w:hint="eastAsia" w:ascii="宋体" w:hAnsi="宋体" w:eastAsia="宋体" w:cs="宋体"/>
                <w:color w:val="auto"/>
                <w:sz w:val="28"/>
                <w:szCs w:val="28"/>
              </w:rPr>
            </w:pPr>
            <w:r>
              <w:rPr>
                <w:rFonts w:hint="eastAsia" w:ascii="宋体" w:hAnsi="宋体" w:eastAsia="宋体" w:cs="宋体"/>
                <w:color w:val="auto"/>
                <w:sz w:val="28"/>
                <w:szCs w:val="28"/>
              </w:rPr>
              <w:t xml:space="preserve">  厂界噪声（南）</w:t>
            </w:r>
          </w:p>
        </w:tc>
        <w:tc>
          <w:tcPr>
            <w:tcW w:w="2599" w:type="dxa"/>
            <w:vAlign w:val="center"/>
          </w:tcPr>
          <w:p>
            <w:pPr>
              <w:pStyle w:val="40"/>
              <w:keepNext w:val="0"/>
              <w:keepLines w:val="0"/>
              <w:suppressLineNumbers w:val="0"/>
              <w:snapToGrid w:val="0"/>
              <w:spacing w:before="0" w:beforeAutospacing="0" w:after="0" w:afterAutospacing="0"/>
              <w:ind w:left="0" w:right="0"/>
              <w:contextualSpacing/>
              <w:jc w:val="center"/>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ZS002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830" w:type="dxa"/>
            <w:gridSpan w:val="3"/>
            <w:vMerge w:val="continue"/>
            <w:vAlign w:val="center"/>
          </w:tcPr>
          <w:p>
            <w:pPr>
              <w:keepNext w:val="0"/>
              <w:keepLines w:val="0"/>
              <w:suppressLineNumbers w:val="0"/>
              <w:spacing w:before="0" w:beforeAutospacing="0" w:after="0" w:afterAutospacing="0"/>
              <w:ind w:left="0" w:right="0"/>
              <w:rPr>
                <w:rFonts w:hint="eastAsia" w:ascii="宋体" w:hAnsi="宋体" w:eastAsia="宋体" w:cs="宋体"/>
                <w:color w:val="auto"/>
                <w:sz w:val="28"/>
                <w:szCs w:val="28"/>
              </w:rPr>
            </w:pPr>
          </w:p>
        </w:tc>
        <w:tc>
          <w:tcPr>
            <w:tcW w:w="1309" w:type="dxa"/>
            <w:vAlign w:val="center"/>
          </w:tcPr>
          <w:p>
            <w:pPr>
              <w:pStyle w:val="40"/>
              <w:keepNext w:val="0"/>
              <w:keepLines w:val="0"/>
              <w:suppressLineNumbers w:val="0"/>
              <w:snapToGrid w:val="0"/>
              <w:spacing w:before="0" w:beforeAutospacing="0" w:after="0" w:afterAutospacing="0"/>
              <w:ind w:left="0" w:right="0"/>
              <w:contextualSpacing/>
              <w:jc w:val="center"/>
              <w:rPr>
                <w:rFonts w:hint="eastAsia" w:ascii="宋体" w:hAnsi="宋体" w:eastAsia="宋体" w:cs="宋体"/>
                <w:color w:val="auto"/>
                <w:sz w:val="28"/>
                <w:szCs w:val="28"/>
              </w:rPr>
            </w:pPr>
            <w:r>
              <w:rPr>
                <w:rFonts w:hint="eastAsia" w:ascii="宋体" w:hAnsi="宋体" w:eastAsia="宋体" w:cs="宋体"/>
                <w:color w:val="auto"/>
                <w:sz w:val="28"/>
                <w:szCs w:val="28"/>
              </w:rPr>
              <w:t>3</w:t>
            </w:r>
          </w:p>
        </w:tc>
        <w:tc>
          <w:tcPr>
            <w:tcW w:w="2188" w:type="dxa"/>
            <w:vAlign w:val="center"/>
          </w:tcPr>
          <w:p>
            <w:pPr>
              <w:pStyle w:val="41"/>
              <w:keepNext w:val="0"/>
              <w:keepLines w:val="0"/>
              <w:suppressLineNumbers w:val="0"/>
              <w:snapToGrid w:val="0"/>
              <w:spacing w:before="0" w:beforeAutospacing="0" w:after="0" w:afterAutospacing="0"/>
              <w:ind w:left="0" w:right="0" w:firstLine="280" w:firstLineChars="100"/>
              <w:contextualSpacing/>
              <w:rPr>
                <w:rFonts w:hint="eastAsia" w:ascii="宋体" w:hAnsi="宋体" w:eastAsia="宋体" w:cs="宋体"/>
                <w:color w:val="auto"/>
                <w:sz w:val="28"/>
                <w:szCs w:val="28"/>
              </w:rPr>
            </w:pPr>
            <w:r>
              <w:rPr>
                <w:rFonts w:hint="eastAsia" w:ascii="宋体" w:hAnsi="宋体" w:eastAsia="宋体" w:cs="宋体"/>
                <w:color w:val="auto"/>
                <w:sz w:val="28"/>
                <w:szCs w:val="28"/>
              </w:rPr>
              <w:t>厂界噪声（西）</w:t>
            </w:r>
          </w:p>
        </w:tc>
        <w:tc>
          <w:tcPr>
            <w:tcW w:w="2599" w:type="dxa"/>
            <w:vAlign w:val="center"/>
          </w:tcPr>
          <w:p>
            <w:pPr>
              <w:pStyle w:val="40"/>
              <w:keepNext w:val="0"/>
              <w:keepLines w:val="0"/>
              <w:suppressLineNumbers w:val="0"/>
              <w:snapToGrid w:val="0"/>
              <w:spacing w:before="0" w:beforeAutospacing="0" w:after="0" w:afterAutospacing="0"/>
              <w:ind w:left="0" w:right="0"/>
              <w:contextualSpacing/>
              <w:jc w:val="center"/>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ZS003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830" w:type="dxa"/>
            <w:gridSpan w:val="3"/>
            <w:vMerge w:val="continue"/>
            <w:vAlign w:val="center"/>
          </w:tcPr>
          <w:p>
            <w:pPr>
              <w:keepNext w:val="0"/>
              <w:keepLines w:val="0"/>
              <w:suppressLineNumbers w:val="0"/>
              <w:spacing w:before="0" w:beforeAutospacing="0" w:after="0" w:afterAutospacing="0"/>
              <w:ind w:left="0" w:right="0"/>
              <w:rPr>
                <w:rFonts w:hint="eastAsia" w:ascii="宋体" w:hAnsi="宋体" w:eastAsia="宋体" w:cs="宋体"/>
                <w:color w:val="auto"/>
                <w:sz w:val="28"/>
                <w:szCs w:val="28"/>
              </w:rPr>
            </w:pPr>
          </w:p>
        </w:tc>
        <w:tc>
          <w:tcPr>
            <w:tcW w:w="1309" w:type="dxa"/>
            <w:vAlign w:val="center"/>
          </w:tcPr>
          <w:p>
            <w:pPr>
              <w:pStyle w:val="40"/>
              <w:keepNext w:val="0"/>
              <w:keepLines w:val="0"/>
              <w:suppressLineNumbers w:val="0"/>
              <w:snapToGrid w:val="0"/>
              <w:spacing w:before="0" w:beforeAutospacing="0" w:after="0" w:afterAutospacing="0"/>
              <w:ind w:left="0" w:right="0"/>
              <w:contextualSpacing/>
              <w:jc w:val="center"/>
              <w:rPr>
                <w:rFonts w:hint="eastAsia" w:ascii="宋体" w:hAnsi="宋体" w:eastAsia="宋体" w:cs="宋体"/>
                <w:color w:val="auto"/>
                <w:sz w:val="28"/>
                <w:szCs w:val="28"/>
              </w:rPr>
            </w:pPr>
            <w:r>
              <w:rPr>
                <w:rFonts w:hint="eastAsia" w:ascii="宋体" w:hAnsi="宋体" w:eastAsia="宋体" w:cs="宋体"/>
                <w:color w:val="auto"/>
                <w:sz w:val="28"/>
                <w:szCs w:val="28"/>
              </w:rPr>
              <w:t>4</w:t>
            </w:r>
          </w:p>
        </w:tc>
        <w:tc>
          <w:tcPr>
            <w:tcW w:w="2188" w:type="dxa"/>
            <w:vAlign w:val="center"/>
          </w:tcPr>
          <w:p>
            <w:pPr>
              <w:pStyle w:val="41"/>
              <w:keepNext w:val="0"/>
              <w:keepLines w:val="0"/>
              <w:suppressLineNumbers w:val="0"/>
              <w:snapToGrid w:val="0"/>
              <w:spacing w:before="0" w:beforeAutospacing="0" w:after="0" w:afterAutospacing="0"/>
              <w:ind w:left="0" w:right="0" w:firstLine="280" w:firstLineChars="100"/>
              <w:contextualSpacing/>
              <w:rPr>
                <w:rFonts w:hint="eastAsia" w:ascii="宋体" w:hAnsi="宋体" w:eastAsia="宋体" w:cs="宋体"/>
                <w:color w:val="auto"/>
                <w:sz w:val="28"/>
                <w:szCs w:val="28"/>
              </w:rPr>
            </w:pPr>
            <w:r>
              <w:rPr>
                <w:rFonts w:hint="eastAsia" w:ascii="宋体" w:hAnsi="宋体" w:eastAsia="宋体" w:cs="宋体"/>
                <w:color w:val="auto"/>
                <w:sz w:val="28"/>
                <w:szCs w:val="28"/>
              </w:rPr>
              <w:t>厂界噪声（北）</w:t>
            </w:r>
          </w:p>
        </w:tc>
        <w:tc>
          <w:tcPr>
            <w:tcW w:w="2599" w:type="dxa"/>
            <w:vAlign w:val="center"/>
          </w:tcPr>
          <w:p>
            <w:pPr>
              <w:pStyle w:val="40"/>
              <w:keepNext w:val="0"/>
              <w:keepLines w:val="0"/>
              <w:suppressLineNumbers w:val="0"/>
              <w:snapToGrid w:val="0"/>
              <w:spacing w:before="0" w:beforeAutospacing="0" w:after="0" w:afterAutospacing="0"/>
              <w:ind w:left="0" w:right="0"/>
              <w:contextualSpacing/>
              <w:jc w:val="center"/>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ZS004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1" w:hRule="atLeast"/>
          <w:jc w:val="center"/>
        </w:trPr>
        <w:tc>
          <w:tcPr>
            <w:tcW w:w="865" w:type="dxa"/>
            <w:vMerge w:val="restart"/>
            <w:vAlign w:val="center"/>
          </w:tcPr>
          <w:p>
            <w:pPr>
              <w:pStyle w:val="21"/>
              <w:keepNext w:val="0"/>
              <w:keepLines w:val="0"/>
              <w:suppressLineNumbers w:val="0"/>
              <w:adjustRightInd w:val="0"/>
              <w:snapToGrid w:val="0"/>
              <w:spacing w:before="0" w:beforeAutospacing="0" w:after="0" w:afterAutospacing="0"/>
              <w:ind w:left="0" w:leftChars="0" w:right="0" w:firstLine="0" w:firstLineChars="0"/>
              <w:jc w:val="both"/>
              <w:rPr>
                <w:rFonts w:hint="eastAsia" w:ascii="宋体" w:hAnsi="宋体" w:eastAsia="宋体" w:cs="宋体"/>
                <w:color w:val="auto"/>
                <w:sz w:val="28"/>
                <w:szCs w:val="28"/>
              </w:rPr>
            </w:pPr>
            <w:r>
              <w:rPr>
                <w:rFonts w:hint="eastAsia" w:ascii="宋体" w:hAnsi="宋体" w:eastAsia="宋体" w:cs="宋体"/>
                <w:color w:val="auto"/>
                <w:sz w:val="28"/>
                <w:szCs w:val="28"/>
              </w:rPr>
              <w:t>周边环境质量</w:t>
            </w:r>
          </w:p>
        </w:tc>
        <w:tc>
          <w:tcPr>
            <w:tcW w:w="1965" w:type="dxa"/>
            <w:gridSpan w:val="2"/>
            <w:vMerge w:val="restart"/>
            <w:vAlign w:val="center"/>
          </w:tcPr>
          <w:p>
            <w:pPr>
              <w:pStyle w:val="21"/>
              <w:keepNext w:val="0"/>
              <w:keepLines w:val="0"/>
              <w:suppressLineNumbers w:val="0"/>
              <w:adjustRightInd w:val="0"/>
              <w:snapToGrid w:val="0"/>
              <w:spacing w:before="0" w:beforeAutospacing="0" w:after="0" w:afterAutospacing="0"/>
              <w:ind w:left="0" w:leftChars="0" w:right="0" w:firstLine="0" w:firstLineChars="0"/>
              <w:jc w:val="center"/>
              <w:rPr>
                <w:rFonts w:hint="eastAsia" w:ascii="宋体" w:hAnsi="宋体" w:eastAsia="宋体" w:cs="宋体"/>
                <w:color w:val="auto"/>
                <w:sz w:val="28"/>
                <w:szCs w:val="28"/>
              </w:rPr>
            </w:pPr>
            <w:r>
              <w:rPr>
                <w:rFonts w:hint="eastAsia" w:ascii="宋体" w:hAnsi="宋体" w:eastAsia="宋体" w:cs="宋体"/>
                <w:color w:val="auto"/>
                <w:sz w:val="28"/>
                <w:szCs w:val="28"/>
              </w:rPr>
              <w:t>地</w:t>
            </w:r>
            <w:r>
              <w:rPr>
                <w:rFonts w:hint="eastAsia" w:ascii="宋体" w:hAnsi="宋体" w:eastAsia="宋体" w:cs="宋体"/>
                <w:color w:val="auto"/>
                <w:sz w:val="28"/>
                <w:szCs w:val="28"/>
                <w:lang w:val="en-US" w:eastAsia="zh-CN"/>
              </w:rPr>
              <w:t>表</w:t>
            </w:r>
            <w:r>
              <w:rPr>
                <w:rFonts w:hint="eastAsia" w:ascii="宋体" w:hAnsi="宋体" w:eastAsia="宋体" w:cs="宋体"/>
                <w:color w:val="auto"/>
                <w:sz w:val="28"/>
                <w:szCs w:val="28"/>
              </w:rPr>
              <w:t>水</w:t>
            </w:r>
          </w:p>
        </w:tc>
        <w:tc>
          <w:tcPr>
            <w:tcW w:w="1309" w:type="dxa"/>
            <w:vAlign w:val="center"/>
          </w:tcPr>
          <w:p>
            <w:pPr>
              <w:pStyle w:val="21"/>
              <w:keepNext w:val="0"/>
              <w:keepLines w:val="0"/>
              <w:suppressLineNumbers w:val="0"/>
              <w:adjustRightInd w:val="0"/>
              <w:snapToGrid w:val="0"/>
              <w:spacing w:before="0" w:beforeAutospacing="0" w:after="0" w:afterAutospacing="0"/>
              <w:ind w:left="0" w:leftChars="0" w:right="0" w:firstLine="0" w:firstLineChars="0"/>
              <w:jc w:val="center"/>
              <w:rPr>
                <w:rFonts w:hint="eastAsia" w:ascii="宋体" w:hAnsi="宋体" w:eastAsia="宋体" w:cs="宋体"/>
                <w:color w:val="auto"/>
                <w:sz w:val="28"/>
                <w:szCs w:val="28"/>
              </w:rPr>
            </w:pPr>
            <w:r>
              <w:rPr>
                <w:rFonts w:hint="eastAsia" w:ascii="宋体" w:hAnsi="宋体" w:eastAsia="宋体" w:cs="宋体"/>
                <w:color w:val="auto"/>
                <w:sz w:val="28"/>
                <w:szCs w:val="28"/>
                <w:lang w:val="en-US" w:eastAsia="zh-CN"/>
              </w:rPr>
              <w:t>1</w:t>
            </w:r>
          </w:p>
        </w:tc>
        <w:tc>
          <w:tcPr>
            <w:tcW w:w="2188" w:type="dxa"/>
            <w:vAlign w:val="center"/>
          </w:tcPr>
          <w:p>
            <w:pPr>
              <w:pStyle w:val="21"/>
              <w:keepNext w:val="0"/>
              <w:keepLines w:val="0"/>
              <w:suppressLineNumbers w:val="0"/>
              <w:adjustRightInd w:val="0"/>
              <w:snapToGrid w:val="0"/>
              <w:spacing w:before="0" w:beforeAutospacing="0" w:after="0" w:afterAutospacing="0"/>
              <w:ind w:left="0" w:leftChars="0" w:right="0" w:firstLine="0" w:firstLineChars="0"/>
              <w:jc w:val="center"/>
              <w:rPr>
                <w:rFonts w:hint="eastAsia" w:ascii="宋体" w:hAnsi="宋体" w:eastAsia="宋体" w:cs="宋体"/>
                <w:color w:val="auto"/>
                <w:kern w:val="2"/>
                <w:sz w:val="28"/>
                <w:szCs w:val="28"/>
                <w:lang w:val="en-US" w:eastAsia="zh-CN" w:bidi="ar-SA"/>
              </w:rPr>
            </w:pPr>
            <w:r>
              <w:rPr>
                <w:rFonts w:hint="eastAsia" w:ascii="宋体" w:hAnsi="宋体" w:eastAsia="宋体" w:cs="宋体"/>
                <w:color w:val="auto"/>
                <w:kern w:val="2"/>
                <w:sz w:val="28"/>
                <w:szCs w:val="28"/>
                <w:lang w:val="en-US" w:eastAsia="zh-CN" w:bidi="ar-SA"/>
              </w:rPr>
              <w:t>入河排污口上游500米</w:t>
            </w:r>
          </w:p>
        </w:tc>
        <w:tc>
          <w:tcPr>
            <w:tcW w:w="2599" w:type="dxa"/>
            <w:vAlign w:val="center"/>
          </w:tcPr>
          <w:p>
            <w:pPr>
              <w:pStyle w:val="40"/>
              <w:keepNext w:val="0"/>
              <w:keepLines w:val="0"/>
              <w:suppressLineNumbers w:val="0"/>
              <w:snapToGrid w:val="0"/>
              <w:spacing w:before="0" w:beforeAutospacing="0" w:after="0" w:afterAutospacing="0"/>
              <w:ind w:left="0" w:right="0"/>
              <w:contextualSpacing/>
              <w:jc w:val="center"/>
              <w:rPr>
                <w:rFonts w:hint="default"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ZB001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5" w:hRule="atLeast"/>
          <w:jc w:val="center"/>
        </w:trPr>
        <w:tc>
          <w:tcPr>
            <w:tcW w:w="865" w:type="dxa"/>
            <w:vMerge w:val="continue"/>
            <w:vAlign w:val="center"/>
          </w:tcPr>
          <w:p>
            <w:pPr>
              <w:pStyle w:val="21"/>
              <w:keepNext w:val="0"/>
              <w:keepLines w:val="0"/>
              <w:suppressLineNumbers w:val="0"/>
              <w:adjustRightInd w:val="0"/>
              <w:snapToGrid w:val="0"/>
              <w:spacing w:before="0" w:beforeAutospacing="0" w:after="0" w:afterAutospacing="0"/>
              <w:ind w:left="0" w:right="0"/>
              <w:jc w:val="center"/>
              <w:rPr>
                <w:rFonts w:hint="default"/>
                <w:color w:val="auto"/>
              </w:rPr>
            </w:pPr>
          </w:p>
        </w:tc>
        <w:tc>
          <w:tcPr>
            <w:tcW w:w="1965" w:type="dxa"/>
            <w:gridSpan w:val="2"/>
            <w:vMerge w:val="continue"/>
            <w:vAlign w:val="center"/>
          </w:tcPr>
          <w:p>
            <w:pPr>
              <w:pStyle w:val="21"/>
              <w:keepNext w:val="0"/>
              <w:keepLines w:val="0"/>
              <w:suppressLineNumbers w:val="0"/>
              <w:adjustRightInd w:val="0"/>
              <w:snapToGrid w:val="0"/>
              <w:spacing w:before="0" w:beforeAutospacing="0" w:after="0" w:afterAutospacing="0"/>
              <w:ind w:left="0" w:right="0"/>
              <w:jc w:val="center"/>
              <w:rPr>
                <w:rFonts w:hint="default"/>
                <w:color w:val="auto"/>
              </w:rPr>
            </w:pPr>
          </w:p>
        </w:tc>
        <w:tc>
          <w:tcPr>
            <w:tcW w:w="1309" w:type="dxa"/>
            <w:vAlign w:val="center"/>
          </w:tcPr>
          <w:p>
            <w:pPr>
              <w:pStyle w:val="21"/>
              <w:keepNext w:val="0"/>
              <w:keepLines w:val="0"/>
              <w:suppressLineNumbers w:val="0"/>
              <w:adjustRightInd w:val="0"/>
              <w:snapToGrid w:val="0"/>
              <w:spacing w:before="0" w:beforeAutospacing="0" w:after="0" w:afterAutospacing="0"/>
              <w:ind w:left="0" w:leftChars="0" w:right="0" w:firstLine="0" w:firstLineChars="0"/>
              <w:jc w:val="center"/>
              <w:rPr>
                <w:rFonts w:hint="default"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2</w:t>
            </w:r>
          </w:p>
        </w:tc>
        <w:tc>
          <w:tcPr>
            <w:tcW w:w="2188" w:type="dxa"/>
            <w:vAlign w:val="center"/>
          </w:tcPr>
          <w:p>
            <w:pPr>
              <w:pStyle w:val="21"/>
              <w:keepNext w:val="0"/>
              <w:keepLines w:val="0"/>
              <w:suppressLineNumbers w:val="0"/>
              <w:adjustRightInd w:val="0"/>
              <w:snapToGrid w:val="0"/>
              <w:spacing w:before="0" w:beforeAutospacing="0" w:after="0" w:afterAutospacing="0"/>
              <w:ind w:left="0" w:leftChars="0" w:right="0" w:firstLine="0" w:firstLineChars="0"/>
              <w:jc w:val="center"/>
              <w:rPr>
                <w:rFonts w:hint="eastAsia" w:ascii="宋体" w:hAnsi="宋体" w:eastAsia="宋体" w:cs="宋体"/>
                <w:color w:val="auto"/>
                <w:kern w:val="2"/>
                <w:sz w:val="28"/>
                <w:szCs w:val="28"/>
                <w:lang w:val="en-US" w:eastAsia="zh-CN" w:bidi="ar-SA"/>
              </w:rPr>
            </w:pPr>
            <w:r>
              <w:rPr>
                <w:rFonts w:hint="eastAsia" w:ascii="宋体" w:hAnsi="宋体" w:eastAsia="宋体" w:cs="宋体"/>
                <w:color w:val="auto"/>
                <w:kern w:val="2"/>
                <w:sz w:val="28"/>
                <w:szCs w:val="28"/>
                <w:lang w:val="en-US" w:eastAsia="zh-CN" w:bidi="ar-SA"/>
              </w:rPr>
              <w:t>入河排污口下游1500米</w:t>
            </w:r>
          </w:p>
        </w:tc>
        <w:tc>
          <w:tcPr>
            <w:tcW w:w="2599" w:type="dxa"/>
            <w:vAlign w:val="center"/>
          </w:tcPr>
          <w:p>
            <w:pPr>
              <w:pStyle w:val="40"/>
              <w:keepNext w:val="0"/>
              <w:keepLines w:val="0"/>
              <w:suppressLineNumbers w:val="0"/>
              <w:snapToGrid w:val="0"/>
              <w:spacing w:before="0" w:beforeAutospacing="0" w:after="0" w:afterAutospacing="0"/>
              <w:ind w:left="0" w:right="0"/>
              <w:contextualSpacing/>
              <w:jc w:val="center"/>
              <w:rPr>
                <w:rFonts w:hint="default"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ZB002</w:t>
            </w:r>
          </w:p>
        </w:tc>
      </w:tr>
    </w:tbl>
    <w:p>
      <w:pPr>
        <w:pStyle w:val="22"/>
        <w:spacing w:line="240" w:lineRule="auto"/>
        <w:ind w:firstLine="560"/>
        <w:rPr>
          <w:rFonts w:hint="eastAsia" w:ascii="宋体" w:hAnsi="宋体"/>
          <w:sz w:val="28"/>
          <w:szCs w:val="28"/>
        </w:rPr>
      </w:pPr>
    </w:p>
    <w:p>
      <w:pPr>
        <w:pStyle w:val="22"/>
        <w:spacing w:line="240" w:lineRule="auto"/>
        <w:ind w:firstLine="560"/>
        <w:rPr>
          <w:rFonts w:ascii="宋体" w:hAnsi="宋体"/>
          <w:sz w:val="28"/>
          <w:szCs w:val="28"/>
        </w:rPr>
        <w:sectPr>
          <w:footerReference r:id="rId5" w:type="default"/>
          <w:pgSz w:w="11906" w:h="16838"/>
          <w:pgMar w:top="1440" w:right="1800" w:bottom="1440" w:left="1800" w:header="851" w:footer="992" w:gutter="0"/>
          <w:cols w:space="425" w:num="1"/>
          <w:docGrid w:type="lines" w:linePitch="312" w:charSpace="0"/>
        </w:sectPr>
      </w:pPr>
    </w:p>
    <w:p>
      <w:pPr>
        <w:adjustRightInd w:val="0"/>
        <w:snapToGrid w:val="0"/>
        <w:ind w:firstLine="560" w:firstLineChars="200"/>
        <w:jc w:val="left"/>
        <w:outlineLvl w:val="1"/>
        <w:rPr>
          <w:rFonts w:ascii="宋体" w:hAnsi="宋体" w:eastAsia="宋体" w:cs="宋体"/>
          <w:color w:val="auto"/>
          <w:sz w:val="28"/>
          <w:szCs w:val="28"/>
          <w:highlight w:val="none"/>
        </w:rPr>
      </w:pPr>
      <w:r>
        <w:rPr>
          <w:rFonts w:hint="eastAsia" w:ascii="宋体" w:hAnsi="宋体" w:eastAsia="宋体" w:cs="宋体"/>
          <w:color w:val="auto"/>
          <w:sz w:val="28"/>
          <w:szCs w:val="28"/>
          <w:highlight w:val="none"/>
        </w:rPr>
        <w:t>1、废气无组织自行监测及记录信息表</w:t>
      </w:r>
      <w:bookmarkStart w:id="1" w:name="BIAO15"/>
    </w:p>
    <w:bookmarkEnd w:id="1"/>
    <w:tbl>
      <w:tblPr>
        <w:tblStyle w:val="12"/>
        <w:tblW w:w="22159" w:type="dxa"/>
        <w:tblInd w:w="9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547"/>
        <w:gridCol w:w="900"/>
        <w:gridCol w:w="886"/>
        <w:gridCol w:w="955"/>
        <w:gridCol w:w="904"/>
        <w:gridCol w:w="809"/>
        <w:gridCol w:w="2983"/>
        <w:gridCol w:w="1418"/>
        <w:gridCol w:w="1631"/>
        <w:gridCol w:w="1771"/>
        <w:gridCol w:w="1701"/>
        <w:gridCol w:w="3827"/>
        <w:gridCol w:w="1984"/>
        <w:gridCol w:w="184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043" w:hRule="atLeast"/>
          <w:tblHeader/>
        </w:trPr>
        <w:tc>
          <w:tcPr>
            <w:tcW w:w="547"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序号</w:t>
            </w:r>
          </w:p>
        </w:tc>
        <w:tc>
          <w:tcPr>
            <w:tcW w:w="900"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污染源类别/监测类别</w:t>
            </w:r>
          </w:p>
        </w:tc>
        <w:tc>
          <w:tcPr>
            <w:tcW w:w="886"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排放口编号/监测点位</w:t>
            </w:r>
          </w:p>
        </w:tc>
        <w:tc>
          <w:tcPr>
            <w:tcW w:w="955"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监测点位名称</w:t>
            </w:r>
          </w:p>
        </w:tc>
        <w:tc>
          <w:tcPr>
            <w:tcW w:w="904"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监测指标</w:t>
            </w:r>
          </w:p>
        </w:tc>
        <w:tc>
          <w:tcPr>
            <w:tcW w:w="809"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监测设施</w:t>
            </w:r>
          </w:p>
        </w:tc>
        <w:tc>
          <w:tcPr>
            <w:tcW w:w="2983"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排放标准</w:t>
            </w:r>
          </w:p>
        </w:tc>
        <w:tc>
          <w:tcPr>
            <w:tcW w:w="1418"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排放限值</w:t>
            </w:r>
          </w:p>
        </w:tc>
        <w:tc>
          <w:tcPr>
            <w:tcW w:w="1631"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方法检出限</w:t>
            </w:r>
          </w:p>
        </w:tc>
        <w:tc>
          <w:tcPr>
            <w:tcW w:w="1771"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手工监测采样方法及个数</w:t>
            </w:r>
          </w:p>
        </w:tc>
        <w:tc>
          <w:tcPr>
            <w:tcW w:w="1701"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手工监测频次</w:t>
            </w:r>
          </w:p>
        </w:tc>
        <w:tc>
          <w:tcPr>
            <w:tcW w:w="3827"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手工测定方法</w:t>
            </w:r>
          </w:p>
        </w:tc>
        <w:tc>
          <w:tcPr>
            <w:tcW w:w="1984"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手工检测设备</w:t>
            </w:r>
          </w:p>
        </w:tc>
        <w:tc>
          <w:tcPr>
            <w:tcW w:w="1843"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其他信息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557" w:hRule="atLeast"/>
        </w:trPr>
        <w:tc>
          <w:tcPr>
            <w:tcW w:w="547"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1</w:t>
            </w:r>
          </w:p>
        </w:tc>
        <w:tc>
          <w:tcPr>
            <w:tcW w:w="900" w:type="dxa"/>
            <w:tcBorders>
              <w:tl2br w:val="nil"/>
              <w:tr2bl w:val="nil"/>
            </w:tcBorders>
            <w:shd w:val="clear" w:color="auto" w:fill="auto"/>
            <w:vAlign w:val="center"/>
          </w:tcPr>
          <w:p>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废气</w:t>
            </w:r>
          </w:p>
        </w:tc>
        <w:tc>
          <w:tcPr>
            <w:tcW w:w="886" w:type="dxa"/>
            <w:tcBorders>
              <w:tl2br w:val="nil"/>
              <w:tr2bl w:val="nil"/>
            </w:tcBorders>
            <w:shd w:val="clear" w:color="auto" w:fill="auto"/>
            <w:vAlign w:val="center"/>
          </w:tcPr>
          <w:p>
            <w:pPr>
              <w:widowControl/>
              <w:jc w:val="left"/>
              <w:textAlignment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kern w:val="0"/>
                <w:sz w:val="24"/>
                <w:szCs w:val="24"/>
                <w:highlight w:val="none"/>
                <w:shd w:val="clear" w:color="auto" w:fill="auto"/>
                <w:lang w:val="en-US" w:eastAsia="zh-CN"/>
              </w:rPr>
              <w:t>SF001</w:t>
            </w:r>
          </w:p>
        </w:tc>
        <w:tc>
          <w:tcPr>
            <w:tcW w:w="955" w:type="dxa"/>
            <w:tcBorders>
              <w:tl2br w:val="nil"/>
              <w:tr2bl w:val="nil"/>
            </w:tcBorders>
            <w:shd w:val="clear" w:color="auto" w:fill="auto"/>
            <w:vAlign w:val="center"/>
          </w:tcPr>
          <w:p>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厂界上风向1</w:t>
            </w:r>
          </w:p>
        </w:tc>
        <w:tc>
          <w:tcPr>
            <w:tcW w:w="904" w:type="dxa"/>
            <w:tcBorders>
              <w:tl2br w:val="nil"/>
              <w:tr2bl w:val="nil"/>
            </w:tcBorders>
            <w:shd w:val="clear" w:color="auto" w:fill="auto"/>
            <w:vAlign w:val="center"/>
          </w:tcPr>
          <w:p>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臭气浓度</w:t>
            </w:r>
          </w:p>
        </w:tc>
        <w:tc>
          <w:tcPr>
            <w:tcW w:w="809" w:type="dxa"/>
            <w:tcBorders>
              <w:tl2br w:val="nil"/>
              <w:tr2bl w:val="nil"/>
            </w:tcBorders>
            <w:shd w:val="clear" w:color="auto" w:fill="auto"/>
            <w:vAlign w:val="center"/>
          </w:tcPr>
          <w:p>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手工</w:t>
            </w:r>
          </w:p>
        </w:tc>
        <w:tc>
          <w:tcPr>
            <w:tcW w:w="2983" w:type="dxa"/>
            <w:tcBorders>
              <w:tl2br w:val="nil"/>
              <w:tr2bl w:val="nil"/>
            </w:tcBorders>
            <w:shd w:val="clear" w:color="auto" w:fill="auto"/>
            <w:vAlign w:val="center"/>
          </w:tcPr>
          <w:p>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《城镇污水处理厂污染物排放标准》（GB18918-2002）二级标准排放</w:t>
            </w:r>
          </w:p>
        </w:tc>
        <w:tc>
          <w:tcPr>
            <w:tcW w:w="1418" w:type="dxa"/>
            <w:tcBorders>
              <w:tl2br w:val="nil"/>
              <w:tr2bl w:val="nil"/>
            </w:tcBorders>
            <w:shd w:val="clear" w:color="auto" w:fill="auto"/>
            <w:vAlign w:val="center"/>
          </w:tcPr>
          <w:p>
            <w:pPr>
              <w:widowControl/>
              <w:jc w:val="left"/>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上限:20（无量纲）</w:t>
            </w:r>
          </w:p>
        </w:tc>
        <w:tc>
          <w:tcPr>
            <w:tcW w:w="1631" w:type="dxa"/>
            <w:tcBorders>
              <w:tl2br w:val="nil"/>
              <w:tr2bl w:val="nil"/>
            </w:tcBorders>
            <w:shd w:val="clear" w:color="auto" w:fill="auto"/>
            <w:vAlign w:val="center"/>
          </w:tcPr>
          <w:p>
            <w:pPr>
              <w:widowControl/>
              <w:jc w:val="left"/>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10(无量纲）</w:t>
            </w:r>
          </w:p>
        </w:tc>
        <w:tc>
          <w:tcPr>
            <w:tcW w:w="1771" w:type="dxa"/>
            <w:tcBorders>
              <w:tl2br w:val="nil"/>
              <w:tr2bl w:val="nil"/>
            </w:tcBorders>
            <w:shd w:val="clear" w:color="auto" w:fill="auto"/>
            <w:vAlign w:val="center"/>
          </w:tcPr>
          <w:p>
            <w:pPr>
              <w:widowControl/>
              <w:jc w:val="left"/>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xml:space="preserve">非连续采样 </w:t>
            </w:r>
          </w:p>
          <w:p>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至少</w:t>
            </w:r>
            <w:r>
              <w:rPr>
                <w:rFonts w:ascii="宋体" w:hAnsi="宋体" w:eastAsia="宋体" w:cs="宋体"/>
                <w:color w:val="auto"/>
                <w:kern w:val="0"/>
                <w:sz w:val="24"/>
                <w:szCs w:val="24"/>
                <w:highlight w:val="none"/>
              </w:rPr>
              <w:t>4</w:t>
            </w:r>
            <w:r>
              <w:rPr>
                <w:rFonts w:hint="eastAsia" w:ascii="宋体" w:hAnsi="宋体" w:eastAsia="宋体" w:cs="宋体"/>
                <w:color w:val="auto"/>
                <w:kern w:val="0"/>
                <w:sz w:val="24"/>
                <w:szCs w:val="24"/>
                <w:highlight w:val="none"/>
              </w:rPr>
              <w:t>个</w:t>
            </w:r>
          </w:p>
        </w:tc>
        <w:tc>
          <w:tcPr>
            <w:tcW w:w="1701" w:type="dxa"/>
            <w:tcBorders>
              <w:tl2br w:val="nil"/>
              <w:tr2bl w:val="nil"/>
            </w:tcBorders>
            <w:shd w:val="clear" w:color="auto" w:fill="auto"/>
            <w:vAlign w:val="center"/>
          </w:tcPr>
          <w:p>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1次/半年</w:t>
            </w:r>
          </w:p>
        </w:tc>
        <w:tc>
          <w:tcPr>
            <w:tcW w:w="3827" w:type="dxa"/>
            <w:tcBorders>
              <w:tl2br w:val="nil"/>
              <w:tr2bl w:val="nil"/>
            </w:tcBorders>
            <w:shd w:val="clear" w:color="auto" w:fill="auto"/>
            <w:vAlign w:val="center"/>
          </w:tcPr>
          <w:p>
            <w:pPr>
              <w:widowControl/>
              <w:jc w:val="left"/>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《空气质量 恶臭的测定 三点比较式臭袋法》</w:t>
            </w:r>
          </w:p>
          <w:p>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GB/T 14675-1993</w:t>
            </w:r>
          </w:p>
        </w:tc>
        <w:tc>
          <w:tcPr>
            <w:tcW w:w="1984" w:type="dxa"/>
            <w:tcBorders>
              <w:tl2br w:val="nil"/>
              <w:tr2bl w:val="nil"/>
            </w:tcBorders>
            <w:shd w:val="clear" w:color="auto" w:fill="auto"/>
            <w:vAlign w:val="center"/>
          </w:tcPr>
          <w:p>
            <w:pPr>
              <w:jc w:val="lef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w:t>
            </w:r>
          </w:p>
        </w:tc>
        <w:tc>
          <w:tcPr>
            <w:tcW w:w="1843" w:type="dxa"/>
            <w:tcBorders>
              <w:tl2br w:val="nil"/>
              <w:tr2bl w:val="nil"/>
            </w:tcBorders>
            <w:shd w:val="clear" w:color="auto" w:fill="auto"/>
            <w:vAlign w:val="center"/>
          </w:tcPr>
          <w:p>
            <w:pPr>
              <w:jc w:val="lef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委托检测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557" w:hRule="atLeast"/>
        </w:trPr>
        <w:tc>
          <w:tcPr>
            <w:tcW w:w="547" w:type="dxa"/>
            <w:tcBorders>
              <w:tl2br w:val="nil"/>
              <w:tr2bl w:val="nil"/>
            </w:tcBorders>
            <w:shd w:val="clear" w:color="auto" w:fill="auto"/>
            <w:vAlign w:val="center"/>
          </w:tcPr>
          <w:p>
            <w:pPr>
              <w:widowControl/>
              <w:jc w:val="center"/>
              <w:textAlignment w:val="center"/>
              <w:rPr>
                <w:color w:val="auto"/>
                <w:highlight w:val="none"/>
              </w:rPr>
            </w:pPr>
            <w:r>
              <w:rPr>
                <w:rFonts w:hint="eastAsia"/>
                <w:color w:val="auto"/>
                <w:highlight w:val="none"/>
              </w:rPr>
              <w:t>2</w:t>
            </w:r>
          </w:p>
        </w:tc>
        <w:tc>
          <w:tcPr>
            <w:tcW w:w="900" w:type="dxa"/>
            <w:tcBorders>
              <w:tl2br w:val="nil"/>
              <w:tr2bl w:val="nil"/>
            </w:tcBorders>
            <w:shd w:val="clear" w:color="auto" w:fill="auto"/>
            <w:vAlign w:val="center"/>
          </w:tcPr>
          <w:p>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废气</w:t>
            </w:r>
          </w:p>
        </w:tc>
        <w:tc>
          <w:tcPr>
            <w:tcW w:w="886" w:type="dxa"/>
            <w:tcBorders>
              <w:tl2br w:val="nil"/>
              <w:tr2bl w:val="nil"/>
            </w:tcBorders>
            <w:shd w:val="clear" w:color="auto" w:fill="auto"/>
            <w:vAlign w:val="center"/>
          </w:tcPr>
          <w:p>
            <w:pPr>
              <w:widowControl/>
              <w:jc w:val="left"/>
              <w:textAlignment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kern w:val="0"/>
                <w:sz w:val="24"/>
                <w:szCs w:val="24"/>
                <w:highlight w:val="none"/>
                <w:shd w:val="clear" w:color="auto" w:fill="auto"/>
                <w:lang w:val="en-US" w:eastAsia="zh-CN"/>
              </w:rPr>
              <w:t>XF001</w:t>
            </w:r>
          </w:p>
        </w:tc>
        <w:tc>
          <w:tcPr>
            <w:tcW w:w="955" w:type="dxa"/>
            <w:tcBorders>
              <w:tl2br w:val="nil"/>
              <w:tr2bl w:val="nil"/>
            </w:tcBorders>
            <w:shd w:val="clear" w:color="auto" w:fill="auto"/>
            <w:vAlign w:val="center"/>
          </w:tcPr>
          <w:p>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厂界下风向1</w:t>
            </w:r>
          </w:p>
        </w:tc>
        <w:tc>
          <w:tcPr>
            <w:tcW w:w="904" w:type="dxa"/>
            <w:tcBorders>
              <w:tl2br w:val="nil"/>
              <w:tr2bl w:val="nil"/>
            </w:tcBorders>
            <w:shd w:val="clear" w:color="auto" w:fill="auto"/>
            <w:vAlign w:val="center"/>
          </w:tcPr>
          <w:p>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臭气浓度</w:t>
            </w:r>
          </w:p>
        </w:tc>
        <w:tc>
          <w:tcPr>
            <w:tcW w:w="809" w:type="dxa"/>
            <w:tcBorders>
              <w:tl2br w:val="nil"/>
              <w:tr2bl w:val="nil"/>
            </w:tcBorders>
            <w:shd w:val="clear" w:color="auto" w:fill="auto"/>
            <w:vAlign w:val="center"/>
          </w:tcPr>
          <w:p>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手工</w:t>
            </w:r>
          </w:p>
        </w:tc>
        <w:tc>
          <w:tcPr>
            <w:tcW w:w="2983" w:type="dxa"/>
            <w:tcBorders>
              <w:tl2br w:val="nil"/>
              <w:tr2bl w:val="nil"/>
            </w:tcBorders>
            <w:shd w:val="clear" w:color="auto" w:fill="auto"/>
            <w:vAlign w:val="center"/>
          </w:tcPr>
          <w:p>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《城镇污水处理厂污染物排放标准》（GB18918-2002）二级标准排放</w:t>
            </w:r>
          </w:p>
        </w:tc>
        <w:tc>
          <w:tcPr>
            <w:tcW w:w="1418" w:type="dxa"/>
            <w:tcBorders>
              <w:tl2br w:val="nil"/>
              <w:tr2bl w:val="nil"/>
            </w:tcBorders>
            <w:shd w:val="clear" w:color="auto" w:fill="auto"/>
            <w:vAlign w:val="center"/>
          </w:tcPr>
          <w:p>
            <w:pPr>
              <w:widowControl/>
              <w:jc w:val="left"/>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上限:20（无量纲）</w:t>
            </w:r>
          </w:p>
        </w:tc>
        <w:tc>
          <w:tcPr>
            <w:tcW w:w="1631" w:type="dxa"/>
            <w:tcBorders>
              <w:tl2br w:val="nil"/>
              <w:tr2bl w:val="nil"/>
            </w:tcBorders>
            <w:shd w:val="clear" w:color="auto" w:fill="auto"/>
            <w:vAlign w:val="center"/>
          </w:tcPr>
          <w:p>
            <w:pPr>
              <w:widowControl/>
              <w:jc w:val="left"/>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10(无量纲）</w:t>
            </w:r>
          </w:p>
        </w:tc>
        <w:tc>
          <w:tcPr>
            <w:tcW w:w="1771" w:type="dxa"/>
            <w:tcBorders>
              <w:tl2br w:val="nil"/>
              <w:tr2bl w:val="nil"/>
            </w:tcBorders>
            <w:shd w:val="clear" w:color="auto" w:fill="auto"/>
            <w:vAlign w:val="center"/>
          </w:tcPr>
          <w:p>
            <w:pPr>
              <w:widowControl/>
              <w:jc w:val="left"/>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xml:space="preserve">非连续采样 </w:t>
            </w:r>
          </w:p>
          <w:p>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至少</w:t>
            </w:r>
            <w:r>
              <w:rPr>
                <w:rFonts w:ascii="宋体" w:hAnsi="宋体" w:eastAsia="宋体" w:cs="宋体"/>
                <w:color w:val="auto"/>
                <w:kern w:val="0"/>
                <w:sz w:val="24"/>
                <w:szCs w:val="24"/>
                <w:highlight w:val="none"/>
              </w:rPr>
              <w:t>4</w:t>
            </w:r>
            <w:r>
              <w:rPr>
                <w:rFonts w:hint="eastAsia" w:ascii="宋体" w:hAnsi="宋体" w:eastAsia="宋体" w:cs="宋体"/>
                <w:color w:val="auto"/>
                <w:kern w:val="0"/>
                <w:sz w:val="24"/>
                <w:szCs w:val="24"/>
                <w:highlight w:val="none"/>
              </w:rPr>
              <w:t>个</w:t>
            </w:r>
          </w:p>
        </w:tc>
        <w:tc>
          <w:tcPr>
            <w:tcW w:w="1701" w:type="dxa"/>
            <w:tcBorders>
              <w:tl2br w:val="nil"/>
              <w:tr2bl w:val="nil"/>
            </w:tcBorders>
            <w:shd w:val="clear" w:color="auto" w:fill="auto"/>
            <w:vAlign w:val="center"/>
          </w:tcPr>
          <w:p>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1次/半年</w:t>
            </w:r>
          </w:p>
        </w:tc>
        <w:tc>
          <w:tcPr>
            <w:tcW w:w="3827" w:type="dxa"/>
            <w:tcBorders>
              <w:tl2br w:val="nil"/>
              <w:tr2bl w:val="nil"/>
            </w:tcBorders>
            <w:shd w:val="clear" w:color="auto" w:fill="auto"/>
            <w:vAlign w:val="center"/>
          </w:tcPr>
          <w:p>
            <w:pPr>
              <w:widowControl/>
              <w:jc w:val="left"/>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《空气质量 恶臭的测定 三点比较式臭袋法》</w:t>
            </w:r>
          </w:p>
          <w:p>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GB/T 14675-1993</w:t>
            </w:r>
          </w:p>
        </w:tc>
        <w:tc>
          <w:tcPr>
            <w:tcW w:w="1984" w:type="dxa"/>
            <w:tcBorders>
              <w:tl2br w:val="nil"/>
              <w:tr2bl w:val="nil"/>
            </w:tcBorders>
            <w:shd w:val="clear" w:color="auto" w:fill="auto"/>
            <w:vAlign w:val="center"/>
          </w:tcPr>
          <w:p>
            <w:pPr>
              <w:jc w:val="lef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w:t>
            </w:r>
          </w:p>
        </w:tc>
        <w:tc>
          <w:tcPr>
            <w:tcW w:w="1843" w:type="dxa"/>
            <w:tcBorders>
              <w:tl2br w:val="nil"/>
              <w:tr2bl w:val="nil"/>
            </w:tcBorders>
            <w:shd w:val="clear" w:color="auto" w:fill="auto"/>
            <w:vAlign w:val="center"/>
          </w:tcPr>
          <w:p>
            <w:pPr>
              <w:jc w:val="lef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委托检测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557" w:hRule="atLeast"/>
        </w:trPr>
        <w:tc>
          <w:tcPr>
            <w:tcW w:w="547"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w:t>
            </w:r>
          </w:p>
        </w:tc>
        <w:tc>
          <w:tcPr>
            <w:tcW w:w="900" w:type="dxa"/>
            <w:tcBorders>
              <w:tl2br w:val="nil"/>
              <w:tr2bl w:val="nil"/>
            </w:tcBorders>
            <w:shd w:val="clear" w:color="auto" w:fill="auto"/>
            <w:vAlign w:val="center"/>
          </w:tcPr>
          <w:p>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废气</w:t>
            </w:r>
          </w:p>
        </w:tc>
        <w:tc>
          <w:tcPr>
            <w:tcW w:w="886" w:type="dxa"/>
            <w:tcBorders>
              <w:tl2br w:val="nil"/>
              <w:tr2bl w:val="nil"/>
            </w:tcBorders>
            <w:shd w:val="clear" w:color="auto" w:fill="auto"/>
            <w:vAlign w:val="center"/>
          </w:tcPr>
          <w:p>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shd w:val="clear" w:color="auto" w:fill="auto"/>
                <w:lang w:val="en-US" w:eastAsia="zh-CN"/>
              </w:rPr>
              <w:t>XF002</w:t>
            </w:r>
          </w:p>
        </w:tc>
        <w:tc>
          <w:tcPr>
            <w:tcW w:w="955" w:type="dxa"/>
            <w:tcBorders>
              <w:tl2br w:val="nil"/>
              <w:tr2bl w:val="nil"/>
            </w:tcBorders>
            <w:shd w:val="clear" w:color="auto" w:fill="auto"/>
            <w:vAlign w:val="center"/>
          </w:tcPr>
          <w:p>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厂界下风向2</w:t>
            </w:r>
          </w:p>
        </w:tc>
        <w:tc>
          <w:tcPr>
            <w:tcW w:w="904" w:type="dxa"/>
            <w:tcBorders>
              <w:tl2br w:val="nil"/>
              <w:tr2bl w:val="nil"/>
            </w:tcBorders>
            <w:shd w:val="clear" w:color="auto" w:fill="auto"/>
            <w:vAlign w:val="center"/>
          </w:tcPr>
          <w:p>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臭气浓度</w:t>
            </w:r>
          </w:p>
        </w:tc>
        <w:tc>
          <w:tcPr>
            <w:tcW w:w="809" w:type="dxa"/>
            <w:tcBorders>
              <w:tl2br w:val="nil"/>
              <w:tr2bl w:val="nil"/>
            </w:tcBorders>
            <w:shd w:val="clear" w:color="auto" w:fill="auto"/>
            <w:vAlign w:val="center"/>
          </w:tcPr>
          <w:p>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手工</w:t>
            </w:r>
          </w:p>
        </w:tc>
        <w:tc>
          <w:tcPr>
            <w:tcW w:w="2983" w:type="dxa"/>
            <w:tcBorders>
              <w:tl2br w:val="nil"/>
              <w:tr2bl w:val="nil"/>
            </w:tcBorders>
            <w:shd w:val="clear" w:color="auto" w:fill="auto"/>
            <w:vAlign w:val="center"/>
          </w:tcPr>
          <w:p>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《城镇污水处理厂污染物排放标准》（GB18918-2002）二级标准排放</w:t>
            </w:r>
          </w:p>
        </w:tc>
        <w:tc>
          <w:tcPr>
            <w:tcW w:w="1418" w:type="dxa"/>
            <w:tcBorders>
              <w:tl2br w:val="nil"/>
              <w:tr2bl w:val="nil"/>
            </w:tcBorders>
            <w:shd w:val="clear" w:color="auto" w:fill="auto"/>
            <w:vAlign w:val="center"/>
          </w:tcPr>
          <w:p>
            <w:pPr>
              <w:widowControl/>
              <w:jc w:val="left"/>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上限:20（无量纲）</w:t>
            </w:r>
          </w:p>
        </w:tc>
        <w:tc>
          <w:tcPr>
            <w:tcW w:w="1631" w:type="dxa"/>
            <w:tcBorders>
              <w:tl2br w:val="nil"/>
              <w:tr2bl w:val="nil"/>
            </w:tcBorders>
            <w:shd w:val="clear" w:color="auto" w:fill="auto"/>
            <w:vAlign w:val="center"/>
          </w:tcPr>
          <w:p>
            <w:pPr>
              <w:widowControl/>
              <w:jc w:val="left"/>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10(无量纲）</w:t>
            </w:r>
          </w:p>
        </w:tc>
        <w:tc>
          <w:tcPr>
            <w:tcW w:w="1771" w:type="dxa"/>
            <w:tcBorders>
              <w:tl2br w:val="nil"/>
              <w:tr2bl w:val="nil"/>
            </w:tcBorders>
            <w:shd w:val="clear" w:color="auto" w:fill="auto"/>
            <w:vAlign w:val="center"/>
          </w:tcPr>
          <w:p>
            <w:pPr>
              <w:widowControl/>
              <w:jc w:val="left"/>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xml:space="preserve">非连续采样 </w:t>
            </w:r>
          </w:p>
          <w:p>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至少</w:t>
            </w:r>
            <w:r>
              <w:rPr>
                <w:rFonts w:ascii="宋体" w:hAnsi="宋体" w:eastAsia="宋体" w:cs="宋体"/>
                <w:color w:val="auto"/>
                <w:kern w:val="0"/>
                <w:sz w:val="24"/>
                <w:szCs w:val="24"/>
                <w:highlight w:val="none"/>
              </w:rPr>
              <w:t>4</w:t>
            </w:r>
            <w:r>
              <w:rPr>
                <w:rFonts w:hint="eastAsia" w:ascii="宋体" w:hAnsi="宋体" w:eastAsia="宋体" w:cs="宋体"/>
                <w:color w:val="auto"/>
                <w:kern w:val="0"/>
                <w:sz w:val="24"/>
                <w:szCs w:val="24"/>
                <w:highlight w:val="none"/>
              </w:rPr>
              <w:t>个</w:t>
            </w:r>
          </w:p>
        </w:tc>
        <w:tc>
          <w:tcPr>
            <w:tcW w:w="1701" w:type="dxa"/>
            <w:tcBorders>
              <w:tl2br w:val="nil"/>
              <w:tr2bl w:val="nil"/>
            </w:tcBorders>
            <w:shd w:val="clear" w:color="auto" w:fill="auto"/>
            <w:vAlign w:val="center"/>
          </w:tcPr>
          <w:p>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1次/半年</w:t>
            </w:r>
          </w:p>
        </w:tc>
        <w:tc>
          <w:tcPr>
            <w:tcW w:w="3827" w:type="dxa"/>
            <w:tcBorders>
              <w:tl2br w:val="nil"/>
              <w:tr2bl w:val="nil"/>
            </w:tcBorders>
            <w:shd w:val="clear" w:color="auto" w:fill="auto"/>
            <w:vAlign w:val="center"/>
          </w:tcPr>
          <w:p>
            <w:pPr>
              <w:widowControl/>
              <w:jc w:val="left"/>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《空气质量 恶臭的测定 三点比较式臭袋法》</w:t>
            </w:r>
          </w:p>
          <w:p>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GB/T 14675-1993</w:t>
            </w:r>
          </w:p>
        </w:tc>
        <w:tc>
          <w:tcPr>
            <w:tcW w:w="1984" w:type="dxa"/>
            <w:tcBorders>
              <w:tl2br w:val="nil"/>
              <w:tr2bl w:val="nil"/>
            </w:tcBorders>
            <w:shd w:val="clear" w:color="auto" w:fill="auto"/>
            <w:vAlign w:val="center"/>
          </w:tcPr>
          <w:p>
            <w:pPr>
              <w:jc w:val="lef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w:t>
            </w:r>
          </w:p>
        </w:tc>
        <w:tc>
          <w:tcPr>
            <w:tcW w:w="1843" w:type="dxa"/>
            <w:tcBorders>
              <w:tl2br w:val="nil"/>
              <w:tr2bl w:val="nil"/>
            </w:tcBorders>
            <w:shd w:val="clear" w:color="auto" w:fill="auto"/>
            <w:vAlign w:val="center"/>
          </w:tcPr>
          <w:p>
            <w:pPr>
              <w:jc w:val="lef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委托检测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557" w:hRule="atLeast"/>
        </w:trPr>
        <w:tc>
          <w:tcPr>
            <w:tcW w:w="547"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4</w:t>
            </w:r>
          </w:p>
        </w:tc>
        <w:tc>
          <w:tcPr>
            <w:tcW w:w="900" w:type="dxa"/>
            <w:tcBorders>
              <w:tl2br w:val="nil"/>
              <w:tr2bl w:val="nil"/>
            </w:tcBorders>
            <w:shd w:val="clear" w:color="auto" w:fill="auto"/>
            <w:vAlign w:val="center"/>
          </w:tcPr>
          <w:p>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废气</w:t>
            </w:r>
          </w:p>
        </w:tc>
        <w:tc>
          <w:tcPr>
            <w:tcW w:w="886" w:type="dxa"/>
            <w:tcBorders>
              <w:tl2br w:val="nil"/>
              <w:tr2bl w:val="nil"/>
            </w:tcBorders>
            <w:shd w:val="clear" w:color="auto" w:fill="auto"/>
            <w:vAlign w:val="center"/>
          </w:tcPr>
          <w:p>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shd w:val="clear" w:color="auto" w:fill="auto"/>
                <w:lang w:val="en-US" w:eastAsia="zh-CN"/>
              </w:rPr>
              <w:t>XF003</w:t>
            </w:r>
          </w:p>
        </w:tc>
        <w:tc>
          <w:tcPr>
            <w:tcW w:w="955" w:type="dxa"/>
            <w:tcBorders>
              <w:tl2br w:val="nil"/>
              <w:tr2bl w:val="nil"/>
            </w:tcBorders>
            <w:shd w:val="clear" w:color="auto" w:fill="auto"/>
            <w:vAlign w:val="center"/>
          </w:tcPr>
          <w:p>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厂界下风向3</w:t>
            </w:r>
          </w:p>
        </w:tc>
        <w:tc>
          <w:tcPr>
            <w:tcW w:w="904" w:type="dxa"/>
            <w:tcBorders>
              <w:tl2br w:val="nil"/>
              <w:tr2bl w:val="nil"/>
            </w:tcBorders>
            <w:shd w:val="clear" w:color="auto" w:fill="auto"/>
            <w:vAlign w:val="center"/>
          </w:tcPr>
          <w:p>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臭气浓度</w:t>
            </w:r>
          </w:p>
        </w:tc>
        <w:tc>
          <w:tcPr>
            <w:tcW w:w="809" w:type="dxa"/>
            <w:tcBorders>
              <w:tl2br w:val="nil"/>
              <w:tr2bl w:val="nil"/>
            </w:tcBorders>
            <w:shd w:val="clear" w:color="auto" w:fill="auto"/>
            <w:vAlign w:val="center"/>
          </w:tcPr>
          <w:p>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手工</w:t>
            </w:r>
          </w:p>
        </w:tc>
        <w:tc>
          <w:tcPr>
            <w:tcW w:w="2983" w:type="dxa"/>
            <w:tcBorders>
              <w:tl2br w:val="nil"/>
              <w:tr2bl w:val="nil"/>
            </w:tcBorders>
            <w:shd w:val="clear" w:color="auto" w:fill="auto"/>
            <w:vAlign w:val="center"/>
          </w:tcPr>
          <w:p>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《城镇污水处理厂污染物排放标准》（GB18918-2002）二级标准排放</w:t>
            </w:r>
          </w:p>
        </w:tc>
        <w:tc>
          <w:tcPr>
            <w:tcW w:w="1418" w:type="dxa"/>
            <w:tcBorders>
              <w:tl2br w:val="nil"/>
              <w:tr2bl w:val="nil"/>
            </w:tcBorders>
            <w:shd w:val="clear" w:color="auto" w:fill="auto"/>
            <w:vAlign w:val="center"/>
          </w:tcPr>
          <w:p>
            <w:pPr>
              <w:widowControl/>
              <w:jc w:val="left"/>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上限:20（无量纲）</w:t>
            </w:r>
          </w:p>
        </w:tc>
        <w:tc>
          <w:tcPr>
            <w:tcW w:w="1631" w:type="dxa"/>
            <w:tcBorders>
              <w:tl2br w:val="nil"/>
              <w:tr2bl w:val="nil"/>
            </w:tcBorders>
            <w:shd w:val="clear" w:color="auto" w:fill="auto"/>
            <w:vAlign w:val="center"/>
          </w:tcPr>
          <w:p>
            <w:pPr>
              <w:widowControl/>
              <w:jc w:val="left"/>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10(无量纲）</w:t>
            </w:r>
          </w:p>
        </w:tc>
        <w:tc>
          <w:tcPr>
            <w:tcW w:w="1771" w:type="dxa"/>
            <w:tcBorders>
              <w:tl2br w:val="nil"/>
              <w:tr2bl w:val="nil"/>
            </w:tcBorders>
            <w:shd w:val="clear" w:color="auto" w:fill="auto"/>
            <w:vAlign w:val="center"/>
          </w:tcPr>
          <w:p>
            <w:pPr>
              <w:widowControl/>
              <w:jc w:val="left"/>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xml:space="preserve">非连续采样 </w:t>
            </w:r>
          </w:p>
          <w:p>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至少</w:t>
            </w:r>
            <w:r>
              <w:rPr>
                <w:rFonts w:ascii="宋体" w:hAnsi="宋体" w:eastAsia="宋体" w:cs="宋体"/>
                <w:color w:val="auto"/>
                <w:kern w:val="0"/>
                <w:sz w:val="24"/>
                <w:szCs w:val="24"/>
                <w:highlight w:val="none"/>
              </w:rPr>
              <w:t>4</w:t>
            </w:r>
            <w:r>
              <w:rPr>
                <w:rFonts w:hint="eastAsia" w:ascii="宋体" w:hAnsi="宋体" w:eastAsia="宋体" w:cs="宋体"/>
                <w:color w:val="auto"/>
                <w:kern w:val="0"/>
                <w:sz w:val="24"/>
                <w:szCs w:val="24"/>
                <w:highlight w:val="none"/>
              </w:rPr>
              <w:t>个</w:t>
            </w:r>
          </w:p>
        </w:tc>
        <w:tc>
          <w:tcPr>
            <w:tcW w:w="1701" w:type="dxa"/>
            <w:tcBorders>
              <w:tl2br w:val="nil"/>
              <w:tr2bl w:val="nil"/>
            </w:tcBorders>
            <w:shd w:val="clear" w:color="auto" w:fill="auto"/>
            <w:vAlign w:val="center"/>
          </w:tcPr>
          <w:p>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1次/半年</w:t>
            </w:r>
          </w:p>
        </w:tc>
        <w:tc>
          <w:tcPr>
            <w:tcW w:w="3827" w:type="dxa"/>
            <w:tcBorders>
              <w:tl2br w:val="nil"/>
              <w:tr2bl w:val="nil"/>
            </w:tcBorders>
            <w:shd w:val="clear" w:color="auto" w:fill="auto"/>
            <w:vAlign w:val="center"/>
          </w:tcPr>
          <w:p>
            <w:pPr>
              <w:widowControl/>
              <w:jc w:val="left"/>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《空气质量 恶臭的测定 三点比较式臭袋法》</w:t>
            </w:r>
          </w:p>
          <w:p>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GB/T 14675-1993</w:t>
            </w:r>
          </w:p>
        </w:tc>
        <w:tc>
          <w:tcPr>
            <w:tcW w:w="1984" w:type="dxa"/>
            <w:tcBorders>
              <w:tl2br w:val="nil"/>
              <w:tr2bl w:val="nil"/>
            </w:tcBorders>
            <w:shd w:val="clear" w:color="auto" w:fill="auto"/>
            <w:vAlign w:val="center"/>
          </w:tcPr>
          <w:p>
            <w:pPr>
              <w:jc w:val="lef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w:t>
            </w:r>
          </w:p>
        </w:tc>
        <w:tc>
          <w:tcPr>
            <w:tcW w:w="1843" w:type="dxa"/>
            <w:tcBorders>
              <w:tl2br w:val="nil"/>
              <w:tr2bl w:val="nil"/>
            </w:tcBorders>
            <w:shd w:val="clear" w:color="auto" w:fill="auto"/>
            <w:vAlign w:val="center"/>
          </w:tcPr>
          <w:p>
            <w:pPr>
              <w:jc w:val="lef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委托检测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093" w:hRule="atLeast"/>
        </w:trPr>
        <w:tc>
          <w:tcPr>
            <w:tcW w:w="547"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5</w:t>
            </w:r>
          </w:p>
        </w:tc>
        <w:tc>
          <w:tcPr>
            <w:tcW w:w="900" w:type="dxa"/>
            <w:tcBorders>
              <w:tl2br w:val="nil"/>
              <w:tr2bl w:val="nil"/>
            </w:tcBorders>
            <w:shd w:val="clear" w:color="auto" w:fill="auto"/>
            <w:vAlign w:val="center"/>
          </w:tcPr>
          <w:p>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废气</w:t>
            </w:r>
          </w:p>
        </w:tc>
        <w:tc>
          <w:tcPr>
            <w:tcW w:w="886" w:type="dxa"/>
            <w:tcBorders>
              <w:tl2br w:val="nil"/>
              <w:tr2bl w:val="nil"/>
            </w:tcBorders>
            <w:shd w:val="clear" w:color="auto" w:fill="auto"/>
            <w:vAlign w:val="center"/>
          </w:tcPr>
          <w:p>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shd w:val="clear" w:color="auto" w:fill="auto"/>
                <w:lang w:val="en-US" w:eastAsia="zh-CN"/>
              </w:rPr>
              <w:t>SF001</w:t>
            </w:r>
          </w:p>
        </w:tc>
        <w:tc>
          <w:tcPr>
            <w:tcW w:w="955" w:type="dxa"/>
            <w:tcBorders>
              <w:tl2br w:val="nil"/>
              <w:tr2bl w:val="nil"/>
            </w:tcBorders>
            <w:shd w:val="clear" w:color="auto" w:fill="auto"/>
            <w:vAlign w:val="center"/>
          </w:tcPr>
          <w:p>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厂界上风向1</w:t>
            </w:r>
          </w:p>
        </w:tc>
        <w:tc>
          <w:tcPr>
            <w:tcW w:w="904" w:type="dxa"/>
            <w:tcBorders>
              <w:tl2br w:val="nil"/>
              <w:tr2bl w:val="nil"/>
            </w:tcBorders>
            <w:shd w:val="clear" w:color="auto" w:fill="auto"/>
            <w:vAlign w:val="center"/>
          </w:tcPr>
          <w:p>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氨</w:t>
            </w:r>
          </w:p>
        </w:tc>
        <w:tc>
          <w:tcPr>
            <w:tcW w:w="809" w:type="dxa"/>
            <w:tcBorders>
              <w:tl2br w:val="nil"/>
              <w:tr2bl w:val="nil"/>
            </w:tcBorders>
            <w:shd w:val="clear" w:color="auto" w:fill="auto"/>
            <w:vAlign w:val="center"/>
          </w:tcPr>
          <w:p>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手工</w:t>
            </w:r>
          </w:p>
        </w:tc>
        <w:tc>
          <w:tcPr>
            <w:tcW w:w="2983" w:type="dxa"/>
            <w:tcBorders>
              <w:tl2br w:val="nil"/>
              <w:tr2bl w:val="nil"/>
            </w:tcBorders>
            <w:shd w:val="clear" w:color="auto" w:fill="auto"/>
            <w:vAlign w:val="center"/>
          </w:tcPr>
          <w:p>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《城镇污水处理厂污染物排放标准》（GB18918-2002）二级标准排放</w:t>
            </w:r>
          </w:p>
        </w:tc>
        <w:tc>
          <w:tcPr>
            <w:tcW w:w="1418" w:type="dxa"/>
            <w:tcBorders>
              <w:tl2br w:val="nil"/>
              <w:tr2bl w:val="nil"/>
            </w:tcBorders>
            <w:shd w:val="clear" w:color="auto" w:fill="auto"/>
            <w:vAlign w:val="center"/>
          </w:tcPr>
          <w:p>
            <w:pPr>
              <w:widowControl/>
              <w:jc w:val="left"/>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上限:1.5mg/Nm</w:t>
            </w:r>
            <w:r>
              <w:rPr>
                <w:rFonts w:hint="eastAsia" w:ascii="宋体" w:hAnsi="宋体" w:eastAsia="宋体" w:cs="宋体"/>
                <w:color w:val="auto"/>
                <w:kern w:val="0"/>
                <w:sz w:val="24"/>
                <w:szCs w:val="24"/>
                <w:highlight w:val="none"/>
                <w:vertAlign w:val="superscript"/>
              </w:rPr>
              <w:t>3</w:t>
            </w:r>
          </w:p>
        </w:tc>
        <w:tc>
          <w:tcPr>
            <w:tcW w:w="1631" w:type="dxa"/>
            <w:tcBorders>
              <w:tl2br w:val="nil"/>
              <w:tr2bl w:val="nil"/>
            </w:tcBorders>
            <w:shd w:val="clear" w:color="auto" w:fill="auto"/>
            <w:vAlign w:val="center"/>
          </w:tcPr>
          <w:p>
            <w:pPr>
              <w:widowControl/>
              <w:jc w:val="left"/>
              <w:textAlignment w:val="center"/>
              <w:rPr>
                <w:rFonts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0.01</w:t>
            </w:r>
            <w:r>
              <w:rPr>
                <w:rFonts w:hint="eastAsia" w:ascii="宋体" w:hAnsi="宋体" w:eastAsia="宋体" w:cs="宋体"/>
                <w:color w:val="auto"/>
                <w:kern w:val="0"/>
                <w:sz w:val="24"/>
                <w:szCs w:val="24"/>
                <w:highlight w:val="none"/>
              </w:rPr>
              <w:t>mg/Nm</w:t>
            </w:r>
            <w:r>
              <w:rPr>
                <w:rFonts w:hint="eastAsia" w:ascii="宋体" w:hAnsi="宋体" w:eastAsia="宋体" w:cs="宋体"/>
                <w:color w:val="auto"/>
                <w:kern w:val="0"/>
                <w:sz w:val="24"/>
                <w:szCs w:val="24"/>
                <w:highlight w:val="none"/>
                <w:vertAlign w:val="superscript"/>
              </w:rPr>
              <w:t>3</w:t>
            </w:r>
          </w:p>
        </w:tc>
        <w:tc>
          <w:tcPr>
            <w:tcW w:w="1771" w:type="dxa"/>
            <w:tcBorders>
              <w:tl2br w:val="nil"/>
              <w:tr2bl w:val="nil"/>
            </w:tcBorders>
            <w:shd w:val="clear" w:color="auto" w:fill="auto"/>
            <w:vAlign w:val="center"/>
          </w:tcPr>
          <w:p>
            <w:pPr>
              <w:widowControl/>
              <w:jc w:val="left"/>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xml:space="preserve">非连续采样 </w:t>
            </w:r>
          </w:p>
          <w:p>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至少</w:t>
            </w:r>
            <w:r>
              <w:rPr>
                <w:rFonts w:ascii="宋体" w:hAnsi="宋体" w:eastAsia="宋体" w:cs="宋体"/>
                <w:color w:val="auto"/>
                <w:kern w:val="0"/>
                <w:sz w:val="24"/>
                <w:szCs w:val="24"/>
                <w:highlight w:val="none"/>
              </w:rPr>
              <w:t>4</w:t>
            </w:r>
            <w:r>
              <w:rPr>
                <w:rFonts w:hint="eastAsia" w:ascii="宋体" w:hAnsi="宋体" w:eastAsia="宋体" w:cs="宋体"/>
                <w:color w:val="auto"/>
                <w:kern w:val="0"/>
                <w:sz w:val="24"/>
                <w:szCs w:val="24"/>
                <w:highlight w:val="none"/>
              </w:rPr>
              <w:t>个</w:t>
            </w:r>
          </w:p>
        </w:tc>
        <w:tc>
          <w:tcPr>
            <w:tcW w:w="1701" w:type="dxa"/>
            <w:tcBorders>
              <w:tl2br w:val="nil"/>
              <w:tr2bl w:val="nil"/>
            </w:tcBorders>
            <w:shd w:val="clear" w:color="auto" w:fill="auto"/>
            <w:vAlign w:val="center"/>
          </w:tcPr>
          <w:p>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1次/半年</w:t>
            </w:r>
          </w:p>
        </w:tc>
        <w:tc>
          <w:tcPr>
            <w:tcW w:w="3827" w:type="dxa"/>
            <w:tcBorders>
              <w:tl2br w:val="nil"/>
              <w:tr2bl w:val="nil"/>
            </w:tcBorders>
            <w:shd w:val="clear" w:color="auto" w:fill="auto"/>
            <w:vAlign w:val="center"/>
          </w:tcPr>
          <w:p>
            <w:pPr>
              <w:widowControl/>
              <w:jc w:val="left"/>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环境空气和废气 氨的测定 纳氏试剂分光光度法 HJ 533-2009</w:t>
            </w:r>
          </w:p>
        </w:tc>
        <w:tc>
          <w:tcPr>
            <w:tcW w:w="1984" w:type="dxa"/>
            <w:tcBorders>
              <w:tl2br w:val="nil"/>
              <w:tr2bl w:val="nil"/>
            </w:tcBorders>
            <w:shd w:val="clear" w:color="auto" w:fill="auto"/>
            <w:vAlign w:val="center"/>
          </w:tcPr>
          <w:p>
            <w:pPr>
              <w:jc w:val="lef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紫外分光光度计</w:t>
            </w:r>
          </w:p>
        </w:tc>
        <w:tc>
          <w:tcPr>
            <w:tcW w:w="1843" w:type="dxa"/>
            <w:tcBorders>
              <w:tl2br w:val="nil"/>
              <w:tr2bl w:val="nil"/>
            </w:tcBorders>
            <w:shd w:val="clear" w:color="auto" w:fill="auto"/>
            <w:vAlign w:val="center"/>
          </w:tcPr>
          <w:p>
            <w:pPr>
              <w:jc w:val="lef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委托检测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981" w:hRule="atLeast"/>
        </w:trPr>
        <w:tc>
          <w:tcPr>
            <w:tcW w:w="547"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6</w:t>
            </w:r>
          </w:p>
        </w:tc>
        <w:tc>
          <w:tcPr>
            <w:tcW w:w="900" w:type="dxa"/>
            <w:tcBorders>
              <w:tl2br w:val="nil"/>
              <w:tr2bl w:val="nil"/>
            </w:tcBorders>
            <w:shd w:val="clear" w:color="auto" w:fill="auto"/>
            <w:vAlign w:val="center"/>
          </w:tcPr>
          <w:p>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废气</w:t>
            </w:r>
          </w:p>
        </w:tc>
        <w:tc>
          <w:tcPr>
            <w:tcW w:w="886" w:type="dxa"/>
            <w:tcBorders>
              <w:tl2br w:val="nil"/>
              <w:tr2bl w:val="nil"/>
            </w:tcBorders>
            <w:shd w:val="clear" w:color="auto" w:fill="auto"/>
            <w:vAlign w:val="center"/>
          </w:tcPr>
          <w:p>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shd w:val="clear" w:color="auto" w:fill="auto"/>
                <w:lang w:val="en-US" w:eastAsia="zh-CN"/>
              </w:rPr>
              <w:t>XF001</w:t>
            </w:r>
          </w:p>
        </w:tc>
        <w:tc>
          <w:tcPr>
            <w:tcW w:w="955" w:type="dxa"/>
            <w:tcBorders>
              <w:tl2br w:val="nil"/>
              <w:tr2bl w:val="nil"/>
            </w:tcBorders>
            <w:shd w:val="clear" w:color="auto" w:fill="auto"/>
            <w:vAlign w:val="center"/>
          </w:tcPr>
          <w:p>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厂界下风向1</w:t>
            </w:r>
          </w:p>
        </w:tc>
        <w:tc>
          <w:tcPr>
            <w:tcW w:w="904" w:type="dxa"/>
            <w:tcBorders>
              <w:tl2br w:val="nil"/>
              <w:tr2bl w:val="nil"/>
            </w:tcBorders>
            <w:shd w:val="clear" w:color="auto" w:fill="auto"/>
            <w:vAlign w:val="center"/>
          </w:tcPr>
          <w:p>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氨</w:t>
            </w:r>
          </w:p>
        </w:tc>
        <w:tc>
          <w:tcPr>
            <w:tcW w:w="809" w:type="dxa"/>
            <w:tcBorders>
              <w:tl2br w:val="nil"/>
              <w:tr2bl w:val="nil"/>
            </w:tcBorders>
            <w:shd w:val="clear" w:color="auto" w:fill="auto"/>
            <w:vAlign w:val="center"/>
          </w:tcPr>
          <w:p>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手工</w:t>
            </w:r>
          </w:p>
        </w:tc>
        <w:tc>
          <w:tcPr>
            <w:tcW w:w="2983" w:type="dxa"/>
            <w:tcBorders>
              <w:tl2br w:val="nil"/>
              <w:tr2bl w:val="nil"/>
            </w:tcBorders>
            <w:shd w:val="clear" w:color="auto" w:fill="auto"/>
            <w:vAlign w:val="center"/>
          </w:tcPr>
          <w:p>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《城镇污水处理厂污染物排放标准》（GB18918-2002）二级标准排放</w:t>
            </w:r>
          </w:p>
        </w:tc>
        <w:tc>
          <w:tcPr>
            <w:tcW w:w="1418" w:type="dxa"/>
            <w:tcBorders>
              <w:tl2br w:val="nil"/>
              <w:tr2bl w:val="nil"/>
            </w:tcBorders>
            <w:shd w:val="clear" w:color="auto" w:fill="auto"/>
            <w:vAlign w:val="center"/>
          </w:tcPr>
          <w:p>
            <w:pPr>
              <w:widowControl/>
              <w:jc w:val="left"/>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上限:1.5mg/Nm</w:t>
            </w:r>
            <w:r>
              <w:rPr>
                <w:rFonts w:hint="eastAsia" w:ascii="宋体" w:hAnsi="宋体" w:eastAsia="宋体" w:cs="宋体"/>
                <w:color w:val="auto"/>
                <w:kern w:val="0"/>
                <w:sz w:val="24"/>
                <w:szCs w:val="24"/>
                <w:highlight w:val="none"/>
                <w:vertAlign w:val="superscript"/>
              </w:rPr>
              <w:t>3</w:t>
            </w:r>
          </w:p>
        </w:tc>
        <w:tc>
          <w:tcPr>
            <w:tcW w:w="1631" w:type="dxa"/>
            <w:tcBorders>
              <w:tl2br w:val="nil"/>
              <w:tr2bl w:val="nil"/>
            </w:tcBorders>
            <w:shd w:val="clear" w:color="auto" w:fill="auto"/>
            <w:vAlign w:val="center"/>
          </w:tcPr>
          <w:p>
            <w:pPr>
              <w:widowControl/>
              <w:jc w:val="left"/>
              <w:textAlignment w:val="center"/>
              <w:rPr>
                <w:rFonts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0.01</w:t>
            </w:r>
            <w:r>
              <w:rPr>
                <w:rFonts w:hint="eastAsia" w:ascii="宋体" w:hAnsi="宋体" w:eastAsia="宋体" w:cs="宋体"/>
                <w:color w:val="auto"/>
                <w:kern w:val="0"/>
                <w:sz w:val="24"/>
                <w:szCs w:val="24"/>
                <w:highlight w:val="none"/>
              </w:rPr>
              <w:t>mg/Nm</w:t>
            </w:r>
            <w:r>
              <w:rPr>
                <w:rFonts w:hint="eastAsia" w:ascii="宋体" w:hAnsi="宋体" w:eastAsia="宋体" w:cs="宋体"/>
                <w:color w:val="auto"/>
                <w:kern w:val="0"/>
                <w:sz w:val="24"/>
                <w:szCs w:val="24"/>
                <w:highlight w:val="none"/>
                <w:vertAlign w:val="superscript"/>
              </w:rPr>
              <w:t>3</w:t>
            </w:r>
          </w:p>
        </w:tc>
        <w:tc>
          <w:tcPr>
            <w:tcW w:w="1771" w:type="dxa"/>
            <w:tcBorders>
              <w:tl2br w:val="nil"/>
              <w:tr2bl w:val="nil"/>
            </w:tcBorders>
            <w:shd w:val="clear" w:color="auto" w:fill="auto"/>
            <w:vAlign w:val="center"/>
          </w:tcPr>
          <w:p>
            <w:pPr>
              <w:widowControl/>
              <w:jc w:val="left"/>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xml:space="preserve">非连续采样 </w:t>
            </w:r>
          </w:p>
          <w:p>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至少</w:t>
            </w:r>
            <w:r>
              <w:rPr>
                <w:rFonts w:ascii="宋体" w:hAnsi="宋体" w:eastAsia="宋体" w:cs="宋体"/>
                <w:color w:val="auto"/>
                <w:kern w:val="0"/>
                <w:sz w:val="24"/>
                <w:szCs w:val="24"/>
                <w:highlight w:val="none"/>
              </w:rPr>
              <w:t>4</w:t>
            </w:r>
            <w:r>
              <w:rPr>
                <w:rFonts w:hint="eastAsia" w:ascii="宋体" w:hAnsi="宋体" w:eastAsia="宋体" w:cs="宋体"/>
                <w:color w:val="auto"/>
                <w:kern w:val="0"/>
                <w:sz w:val="24"/>
                <w:szCs w:val="24"/>
                <w:highlight w:val="none"/>
              </w:rPr>
              <w:t>个</w:t>
            </w:r>
          </w:p>
        </w:tc>
        <w:tc>
          <w:tcPr>
            <w:tcW w:w="1701" w:type="dxa"/>
            <w:tcBorders>
              <w:tl2br w:val="nil"/>
              <w:tr2bl w:val="nil"/>
            </w:tcBorders>
            <w:shd w:val="clear" w:color="auto" w:fill="auto"/>
            <w:vAlign w:val="center"/>
          </w:tcPr>
          <w:p>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1次/半年</w:t>
            </w:r>
          </w:p>
        </w:tc>
        <w:tc>
          <w:tcPr>
            <w:tcW w:w="3827" w:type="dxa"/>
            <w:tcBorders>
              <w:tl2br w:val="nil"/>
              <w:tr2bl w:val="nil"/>
            </w:tcBorders>
            <w:shd w:val="clear" w:color="auto" w:fill="auto"/>
            <w:vAlign w:val="center"/>
          </w:tcPr>
          <w:p>
            <w:pPr>
              <w:widowControl/>
              <w:jc w:val="left"/>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环境空气和废气 氨的测定 纳氏试剂分光光度法 HJ 533-2009</w:t>
            </w:r>
          </w:p>
        </w:tc>
        <w:tc>
          <w:tcPr>
            <w:tcW w:w="1984" w:type="dxa"/>
            <w:tcBorders>
              <w:tl2br w:val="nil"/>
              <w:tr2bl w:val="nil"/>
            </w:tcBorders>
            <w:shd w:val="clear" w:color="auto" w:fill="auto"/>
            <w:vAlign w:val="center"/>
          </w:tcPr>
          <w:p>
            <w:pPr>
              <w:jc w:val="lef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紫外分光光度计</w:t>
            </w:r>
          </w:p>
        </w:tc>
        <w:tc>
          <w:tcPr>
            <w:tcW w:w="1843" w:type="dxa"/>
            <w:tcBorders>
              <w:tl2br w:val="nil"/>
              <w:tr2bl w:val="nil"/>
            </w:tcBorders>
            <w:shd w:val="clear" w:color="auto" w:fill="auto"/>
            <w:vAlign w:val="center"/>
          </w:tcPr>
          <w:p>
            <w:pPr>
              <w:jc w:val="lef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委托检测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995" w:hRule="atLeast"/>
        </w:trPr>
        <w:tc>
          <w:tcPr>
            <w:tcW w:w="547"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7</w:t>
            </w:r>
          </w:p>
        </w:tc>
        <w:tc>
          <w:tcPr>
            <w:tcW w:w="900" w:type="dxa"/>
            <w:tcBorders>
              <w:tl2br w:val="nil"/>
              <w:tr2bl w:val="nil"/>
            </w:tcBorders>
            <w:shd w:val="clear" w:color="auto" w:fill="auto"/>
            <w:vAlign w:val="center"/>
          </w:tcPr>
          <w:p>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废气</w:t>
            </w:r>
          </w:p>
        </w:tc>
        <w:tc>
          <w:tcPr>
            <w:tcW w:w="886" w:type="dxa"/>
            <w:tcBorders>
              <w:tl2br w:val="nil"/>
              <w:tr2bl w:val="nil"/>
            </w:tcBorders>
            <w:shd w:val="clear" w:color="auto" w:fill="auto"/>
            <w:vAlign w:val="center"/>
          </w:tcPr>
          <w:p>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shd w:val="clear" w:color="auto" w:fill="auto"/>
                <w:lang w:val="en-US" w:eastAsia="zh-CN"/>
              </w:rPr>
              <w:t>XF002</w:t>
            </w:r>
          </w:p>
        </w:tc>
        <w:tc>
          <w:tcPr>
            <w:tcW w:w="955" w:type="dxa"/>
            <w:tcBorders>
              <w:tl2br w:val="nil"/>
              <w:tr2bl w:val="nil"/>
            </w:tcBorders>
            <w:shd w:val="clear" w:color="auto" w:fill="auto"/>
            <w:vAlign w:val="center"/>
          </w:tcPr>
          <w:p>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厂界下风向2</w:t>
            </w:r>
          </w:p>
        </w:tc>
        <w:tc>
          <w:tcPr>
            <w:tcW w:w="904" w:type="dxa"/>
            <w:tcBorders>
              <w:tl2br w:val="nil"/>
              <w:tr2bl w:val="nil"/>
            </w:tcBorders>
            <w:shd w:val="clear" w:color="auto" w:fill="auto"/>
            <w:vAlign w:val="center"/>
          </w:tcPr>
          <w:p>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氨</w:t>
            </w:r>
          </w:p>
        </w:tc>
        <w:tc>
          <w:tcPr>
            <w:tcW w:w="809" w:type="dxa"/>
            <w:tcBorders>
              <w:tl2br w:val="nil"/>
              <w:tr2bl w:val="nil"/>
            </w:tcBorders>
            <w:shd w:val="clear" w:color="auto" w:fill="auto"/>
            <w:vAlign w:val="center"/>
          </w:tcPr>
          <w:p>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手工</w:t>
            </w:r>
          </w:p>
        </w:tc>
        <w:tc>
          <w:tcPr>
            <w:tcW w:w="2983" w:type="dxa"/>
            <w:tcBorders>
              <w:tl2br w:val="nil"/>
              <w:tr2bl w:val="nil"/>
            </w:tcBorders>
            <w:shd w:val="clear" w:color="auto" w:fill="auto"/>
            <w:vAlign w:val="center"/>
          </w:tcPr>
          <w:p>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《城镇污水处理厂污染物排放标准》（GB18918-2002）二级标准排放</w:t>
            </w:r>
          </w:p>
        </w:tc>
        <w:tc>
          <w:tcPr>
            <w:tcW w:w="1418" w:type="dxa"/>
            <w:tcBorders>
              <w:tl2br w:val="nil"/>
              <w:tr2bl w:val="nil"/>
            </w:tcBorders>
            <w:shd w:val="clear" w:color="auto" w:fill="auto"/>
            <w:vAlign w:val="center"/>
          </w:tcPr>
          <w:p>
            <w:pPr>
              <w:widowControl/>
              <w:jc w:val="left"/>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上限:1.5mg/Nm</w:t>
            </w:r>
            <w:r>
              <w:rPr>
                <w:rFonts w:hint="eastAsia" w:ascii="宋体" w:hAnsi="宋体" w:eastAsia="宋体" w:cs="宋体"/>
                <w:color w:val="auto"/>
                <w:kern w:val="0"/>
                <w:sz w:val="24"/>
                <w:szCs w:val="24"/>
                <w:highlight w:val="none"/>
                <w:vertAlign w:val="superscript"/>
              </w:rPr>
              <w:t>3</w:t>
            </w:r>
          </w:p>
        </w:tc>
        <w:tc>
          <w:tcPr>
            <w:tcW w:w="1631" w:type="dxa"/>
            <w:tcBorders>
              <w:tl2br w:val="nil"/>
              <w:tr2bl w:val="nil"/>
            </w:tcBorders>
            <w:shd w:val="clear" w:color="auto" w:fill="auto"/>
            <w:vAlign w:val="center"/>
          </w:tcPr>
          <w:p>
            <w:pPr>
              <w:widowControl/>
              <w:jc w:val="left"/>
              <w:textAlignment w:val="center"/>
              <w:rPr>
                <w:rFonts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0.01</w:t>
            </w:r>
            <w:r>
              <w:rPr>
                <w:rFonts w:hint="eastAsia" w:ascii="宋体" w:hAnsi="宋体" w:eastAsia="宋体" w:cs="宋体"/>
                <w:color w:val="auto"/>
                <w:kern w:val="0"/>
                <w:sz w:val="24"/>
                <w:szCs w:val="24"/>
                <w:highlight w:val="none"/>
              </w:rPr>
              <w:t>mg/Nm</w:t>
            </w:r>
            <w:r>
              <w:rPr>
                <w:rFonts w:hint="eastAsia" w:ascii="宋体" w:hAnsi="宋体" w:eastAsia="宋体" w:cs="宋体"/>
                <w:color w:val="auto"/>
                <w:kern w:val="0"/>
                <w:sz w:val="24"/>
                <w:szCs w:val="24"/>
                <w:highlight w:val="none"/>
                <w:vertAlign w:val="superscript"/>
              </w:rPr>
              <w:t>3</w:t>
            </w:r>
          </w:p>
        </w:tc>
        <w:tc>
          <w:tcPr>
            <w:tcW w:w="1771" w:type="dxa"/>
            <w:tcBorders>
              <w:tl2br w:val="nil"/>
              <w:tr2bl w:val="nil"/>
            </w:tcBorders>
            <w:shd w:val="clear" w:color="auto" w:fill="auto"/>
            <w:vAlign w:val="center"/>
          </w:tcPr>
          <w:p>
            <w:pPr>
              <w:widowControl/>
              <w:jc w:val="left"/>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xml:space="preserve">非连续采样 </w:t>
            </w:r>
          </w:p>
          <w:p>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至少</w:t>
            </w:r>
            <w:r>
              <w:rPr>
                <w:rFonts w:ascii="宋体" w:hAnsi="宋体" w:eastAsia="宋体" w:cs="宋体"/>
                <w:color w:val="auto"/>
                <w:kern w:val="0"/>
                <w:sz w:val="24"/>
                <w:szCs w:val="24"/>
                <w:highlight w:val="none"/>
              </w:rPr>
              <w:t>4</w:t>
            </w:r>
            <w:r>
              <w:rPr>
                <w:rFonts w:hint="eastAsia" w:ascii="宋体" w:hAnsi="宋体" w:eastAsia="宋体" w:cs="宋体"/>
                <w:color w:val="auto"/>
                <w:kern w:val="0"/>
                <w:sz w:val="24"/>
                <w:szCs w:val="24"/>
                <w:highlight w:val="none"/>
              </w:rPr>
              <w:t>个</w:t>
            </w:r>
          </w:p>
        </w:tc>
        <w:tc>
          <w:tcPr>
            <w:tcW w:w="1701" w:type="dxa"/>
            <w:tcBorders>
              <w:tl2br w:val="nil"/>
              <w:tr2bl w:val="nil"/>
            </w:tcBorders>
            <w:shd w:val="clear" w:color="auto" w:fill="auto"/>
            <w:vAlign w:val="center"/>
          </w:tcPr>
          <w:p>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1次/半年</w:t>
            </w:r>
          </w:p>
        </w:tc>
        <w:tc>
          <w:tcPr>
            <w:tcW w:w="3827" w:type="dxa"/>
            <w:tcBorders>
              <w:tl2br w:val="nil"/>
              <w:tr2bl w:val="nil"/>
            </w:tcBorders>
            <w:shd w:val="clear" w:color="auto" w:fill="auto"/>
            <w:vAlign w:val="center"/>
          </w:tcPr>
          <w:p>
            <w:pPr>
              <w:widowControl/>
              <w:jc w:val="left"/>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环境空气和废气 氨的测定 纳氏试剂分光光度法 HJ 533-2009</w:t>
            </w:r>
          </w:p>
        </w:tc>
        <w:tc>
          <w:tcPr>
            <w:tcW w:w="1984" w:type="dxa"/>
            <w:tcBorders>
              <w:tl2br w:val="nil"/>
              <w:tr2bl w:val="nil"/>
            </w:tcBorders>
            <w:shd w:val="clear" w:color="auto" w:fill="auto"/>
            <w:vAlign w:val="center"/>
          </w:tcPr>
          <w:p>
            <w:pPr>
              <w:jc w:val="lef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紫外分光光度计</w:t>
            </w:r>
          </w:p>
        </w:tc>
        <w:tc>
          <w:tcPr>
            <w:tcW w:w="1843" w:type="dxa"/>
            <w:tcBorders>
              <w:tl2br w:val="nil"/>
              <w:tr2bl w:val="nil"/>
            </w:tcBorders>
            <w:shd w:val="clear" w:color="auto" w:fill="auto"/>
            <w:vAlign w:val="center"/>
          </w:tcPr>
          <w:p>
            <w:pPr>
              <w:jc w:val="lef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委托检测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981" w:hRule="atLeast"/>
        </w:trPr>
        <w:tc>
          <w:tcPr>
            <w:tcW w:w="547"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8</w:t>
            </w:r>
          </w:p>
        </w:tc>
        <w:tc>
          <w:tcPr>
            <w:tcW w:w="900" w:type="dxa"/>
            <w:tcBorders>
              <w:tl2br w:val="nil"/>
              <w:tr2bl w:val="nil"/>
            </w:tcBorders>
            <w:shd w:val="clear" w:color="auto" w:fill="auto"/>
            <w:vAlign w:val="center"/>
          </w:tcPr>
          <w:p>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废气</w:t>
            </w:r>
          </w:p>
        </w:tc>
        <w:tc>
          <w:tcPr>
            <w:tcW w:w="886" w:type="dxa"/>
            <w:tcBorders>
              <w:tl2br w:val="nil"/>
              <w:tr2bl w:val="nil"/>
            </w:tcBorders>
            <w:shd w:val="clear" w:color="auto" w:fill="auto"/>
            <w:vAlign w:val="center"/>
          </w:tcPr>
          <w:p>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shd w:val="clear" w:color="auto" w:fill="auto"/>
                <w:lang w:val="en-US" w:eastAsia="zh-CN"/>
              </w:rPr>
              <w:t>XF003</w:t>
            </w:r>
          </w:p>
        </w:tc>
        <w:tc>
          <w:tcPr>
            <w:tcW w:w="955" w:type="dxa"/>
            <w:tcBorders>
              <w:tl2br w:val="nil"/>
              <w:tr2bl w:val="nil"/>
            </w:tcBorders>
            <w:shd w:val="clear" w:color="auto" w:fill="auto"/>
            <w:vAlign w:val="center"/>
          </w:tcPr>
          <w:p>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厂界下风向3</w:t>
            </w:r>
          </w:p>
        </w:tc>
        <w:tc>
          <w:tcPr>
            <w:tcW w:w="904" w:type="dxa"/>
            <w:tcBorders>
              <w:tl2br w:val="nil"/>
              <w:tr2bl w:val="nil"/>
            </w:tcBorders>
            <w:shd w:val="clear" w:color="auto" w:fill="auto"/>
            <w:vAlign w:val="center"/>
          </w:tcPr>
          <w:p>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氨</w:t>
            </w:r>
          </w:p>
        </w:tc>
        <w:tc>
          <w:tcPr>
            <w:tcW w:w="809" w:type="dxa"/>
            <w:tcBorders>
              <w:tl2br w:val="nil"/>
              <w:tr2bl w:val="nil"/>
            </w:tcBorders>
            <w:shd w:val="clear" w:color="auto" w:fill="auto"/>
            <w:vAlign w:val="center"/>
          </w:tcPr>
          <w:p>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手工</w:t>
            </w:r>
          </w:p>
        </w:tc>
        <w:tc>
          <w:tcPr>
            <w:tcW w:w="2983" w:type="dxa"/>
            <w:tcBorders>
              <w:tl2br w:val="nil"/>
              <w:tr2bl w:val="nil"/>
            </w:tcBorders>
            <w:shd w:val="clear" w:color="auto" w:fill="auto"/>
            <w:vAlign w:val="center"/>
          </w:tcPr>
          <w:p>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《城镇污水处理厂污染物排放标准》（GB18918-2002）二级标准排放</w:t>
            </w:r>
          </w:p>
        </w:tc>
        <w:tc>
          <w:tcPr>
            <w:tcW w:w="1418" w:type="dxa"/>
            <w:tcBorders>
              <w:tl2br w:val="nil"/>
              <w:tr2bl w:val="nil"/>
            </w:tcBorders>
            <w:shd w:val="clear" w:color="auto" w:fill="auto"/>
            <w:vAlign w:val="center"/>
          </w:tcPr>
          <w:p>
            <w:pPr>
              <w:widowControl/>
              <w:jc w:val="left"/>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上限:1.5mg/Nm</w:t>
            </w:r>
            <w:r>
              <w:rPr>
                <w:rFonts w:hint="eastAsia" w:ascii="宋体" w:hAnsi="宋体" w:eastAsia="宋体" w:cs="宋体"/>
                <w:color w:val="auto"/>
                <w:kern w:val="0"/>
                <w:sz w:val="24"/>
                <w:szCs w:val="24"/>
                <w:highlight w:val="none"/>
                <w:vertAlign w:val="superscript"/>
              </w:rPr>
              <w:t>3</w:t>
            </w:r>
          </w:p>
        </w:tc>
        <w:tc>
          <w:tcPr>
            <w:tcW w:w="1631" w:type="dxa"/>
            <w:tcBorders>
              <w:tl2br w:val="nil"/>
              <w:tr2bl w:val="nil"/>
            </w:tcBorders>
            <w:shd w:val="clear" w:color="auto" w:fill="auto"/>
            <w:vAlign w:val="center"/>
          </w:tcPr>
          <w:p>
            <w:pPr>
              <w:widowControl/>
              <w:jc w:val="left"/>
              <w:textAlignment w:val="center"/>
              <w:rPr>
                <w:rFonts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0.01</w:t>
            </w:r>
            <w:r>
              <w:rPr>
                <w:rFonts w:hint="eastAsia" w:ascii="宋体" w:hAnsi="宋体" w:eastAsia="宋体" w:cs="宋体"/>
                <w:color w:val="auto"/>
                <w:kern w:val="0"/>
                <w:sz w:val="24"/>
                <w:szCs w:val="24"/>
                <w:highlight w:val="none"/>
              </w:rPr>
              <w:t>mg/Nm</w:t>
            </w:r>
            <w:r>
              <w:rPr>
                <w:rFonts w:hint="eastAsia" w:ascii="宋体" w:hAnsi="宋体" w:eastAsia="宋体" w:cs="宋体"/>
                <w:color w:val="auto"/>
                <w:kern w:val="0"/>
                <w:sz w:val="24"/>
                <w:szCs w:val="24"/>
                <w:highlight w:val="none"/>
                <w:vertAlign w:val="superscript"/>
              </w:rPr>
              <w:t>3</w:t>
            </w:r>
          </w:p>
        </w:tc>
        <w:tc>
          <w:tcPr>
            <w:tcW w:w="1771" w:type="dxa"/>
            <w:tcBorders>
              <w:tl2br w:val="nil"/>
              <w:tr2bl w:val="nil"/>
            </w:tcBorders>
            <w:shd w:val="clear" w:color="auto" w:fill="auto"/>
            <w:vAlign w:val="center"/>
          </w:tcPr>
          <w:p>
            <w:pPr>
              <w:widowControl/>
              <w:jc w:val="left"/>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xml:space="preserve">非连续采样 </w:t>
            </w:r>
          </w:p>
          <w:p>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至少</w:t>
            </w:r>
            <w:r>
              <w:rPr>
                <w:rFonts w:ascii="宋体" w:hAnsi="宋体" w:eastAsia="宋体" w:cs="宋体"/>
                <w:color w:val="auto"/>
                <w:kern w:val="0"/>
                <w:sz w:val="24"/>
                <w:szCs w:val="24"/>
                <w:highlight w:val="none"/>
              </w:rPr>
              <w:t>4</w:t>
            </w:r>
            <w:r>
              <w:rPr>
                <w:rFonts w:hint="eastAsia" w:ascii="宋体" w:hAnsi="宋体" w:eastAsia="宋体" w:cs="宋体"/>
                <w:color w:val="auto"/>
                <w:kern w:val="0"/>
                <w:sz w:val="24"/>
                <w:szCs w:val="24"/>
                <w:highlight w:val="none"/>
              </w:rPr>
              <w:t>个</w:t>
            </w:r>
          </w:p>
        </w:tc>
        <w:tc>
          <w:tcPr>
            <w:tcW w:w="1701" w:type="dxa"/>
            <w:tcBorders>
              <w:tl2br w:val="nil"/>
              <w:tr2bl w:val="nil"/>
            </w:tcBorders>
            <w:shd w:val="clear" w:color="auto" w:fill="auto"/>
            <w:vAlign w:val="center"/>
          </w:tcPr>
          <w:p>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1次/半年</w:t>
            </w:r>
          </w:p>
        </w:tc>
        <w:tc>
          <w:tcPr>
            <w:tcW w:w="3827" w:type="dxa"/>
            <w:tcBorders>
              <w:tl2br w:val="nil"/>
              <w:tr2bl w:val="nil"/>
            </w:tcBorders>
            <w:shd w:val="clear" w:color="auto" w:fill="auto"/>
            <w:vAlign w:val="center"/>
          </w:tcPr>
          <w:p>
            <w:pPr>
              <w:widowControl/>
              <w:jc w:val="left"/>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环境空气和废气 氨的测定 纳氏试剂分光光度法 HJ 533-2009</w:t>
            </w:r>
          </w:p>
        </w:tc>
        <w:tc>
          <w:tcPr>
            <w:tcW w:w="1984" w:type="dxa"/>
            <w:tcBorders>
              <w:tl2br w:val="nil"/>
              <w:tr2bl w:val="nil"/>
            </w:tcBorders>
            <w:shd w:val="clear" w:color="auto" w:fill="auto"/>
            <w:vAlign w:val="center"/>
          </w:tcPr>
          <w:p>
            <w:pPr>
              <w:jc w:val="lef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紫外分光光度计</w:t>
            </w:r>
          </w:p>
        </w:tc>
        <w:tc>
          <w:tcPr>
            <w:tcW w:w="1843" w:type="dxa"/>
            <w:tcBorders>
              <w:tl2br w:val="nil"/>
              <w:tr2bl w:val="nil"/>
            </w:tcBorders>
            <w:shd w:val="clear" w:color="auto" w:fill="auto"/>
            <w:vAlign w:val="center"/>
          </w:tcPr>
          <w:p>
            <w:pPr>
              <w:jc w:val="lef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委托检测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137" w:hRule="atLeast"/>
        </w:trPr>
        <w:tc>
          <w:tcPr>
            <w:tcW w:w="547"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9</w:t>
            </w:r>
          </w:p>
        </w:tc>
        <w:tc>
          <w:tcPr>
            <w:tcW w:w="900" w:type="dxa"/>
            <w:tcBorders>
              <w:tl2br w:val="nil"/>
              <w:tr2bl w:val="nil"/>
            </w:tcBorders>
            <w:shd w:val="clear" w:color="auto" w:fill="auto"/>
            <w:vAlign w:val="center"/>
          </w:tcPr>
          <w:p>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废气</w:t>
            </w:r>
          </w:p>
        </w:tc>
        <w:tc>
          <w:tcPr>
            <w:tcW w:w="886" w:type="dxa"/>
            <w:tcBorders>
              <w:tl2br w:val="nil"/>
              <w:tr2bl w:val="nil"/>
            </w:tcBorders>
            <w:shd w:val="clear" w:color="auto" w:fill="auto"/>
            <w:vAlign w:val="center"/>
          </w:tcPr>
          <w:p>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shd w:val="clear" w:color="auto" w:fill="auto"/>
                <w:lang w:val="en-US" w:eastAsia="zh-CN"/>
              </w:rPr>
              <w:t>SF001</w:t>
            </w:r>
          </w:p>
        </w:tc>
        <w:tc>
          <w:tcPr>
            <w:tcW w:w="955" w:type="dxa"/>
            <w:tcBorders>
              <w:tl2br w:val="nil"/>
              <w:tr2bl w:val="nil"/>
            </w:tcBorders>
            <w:shd w:val="clear" w:color="auto" w:fill="auto"/>
            <w:vAlign w:val="center"/>
          </w:tcPr>
          <w:p>
            <w:pPr>
              <w:widowControl/>
              <w:jc w:val="left"/>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厂界上风向1</w:t>
            </w:r>
          </w:p>
        </w:tc>
        <w:tc>
          <w:tcPr>
            <w:tcW w:w="904" w:type="dxa"/>
            <w:tcBorders>
              <w:tl2br w:val="nil"/>
              <w:tr2bl w:val="nil"/>
            </w:tcBorders>
            <w:shd w:val="clear" w:color="auto" w:fill="auto"/>
            <w:vAlign w:val="center"/>
          </w:tcPr>
          <w:p>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硫化氢</w:t>
            </w:r>
          </w:p>
        </w:tc>
        <w:tc>
          <w:tcPr>
            <w:tcW w:w="809" w:type="dxa"/>
            <w:tcBorders>
              <w:tl2br w:val="nil"/>
              <w:tr2bl w:val="nil"/>
            </w:tcBorders>
            <w:shd w:val="clear" w:color="auto" w:fill="auto"/>
            <w:vAlign w:val="center"/>
          </w:tcPr>
          <w:p>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手工</w:t>
            </w:r>
          </w:p>
        </w:tc>
        <w:tc>
          <w:tcPr>
            <w:tcW w:w="2983" w:type="dxa"/>
            <w:tcBorders>
              <w:tl2br w:val="nil"/>
              <w:tr2bl w:val="nil"/>
            </w:tcBorders>
            <w:shd w:val="clear" w:color="auto" w:fill="auto"/>
            <w:vAlign w:val="center"/>
          </w:tcPr>
          <w:p>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《城镇污水处理厂污染物排放标准》（GB18918-2002）二级标准排放</w:t>
            </w:r>
          </w:p>
        </w:tc>
        <w:tc>
          <w:tcPr>
            <w:tcW w:w="1418" w:type="dxa"/>
            <w:tcBorders>
              <w:tl2br w:val="nil"/>
              <w:tr2bl w:val="nil"/>
            </w:tcBorders>
            <w:shd w:val="clear" w:color="auto" w:fill="auto"/>
            <w:vAlign w:val="center"/>
          </w:tcPr>
          <w:p>
            <w:pPr>
              <w:widowControl/>
              <w:jc w:val="left"/>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上限:0.06mg/Nm</w:t>
            </w:r>
            <w:r>
              <w:rPr>
                <w:rFonts w:hint="eastAsia" w:ascii="宋体" w:hAnsi="宋体" w:eastAsia="宋体" w:cs="宋体"/>
                <w:color w:val="auto"/>
                <w:kern w:val="0"/>
                <w:sz w:val="24"/>
                <w:szCs w:val="24"/>
                <w:highlight w:val="none"/>
                <w:vertAlign w:val="superscript"/>
              </w:rPr>
              <w:t>3</w:t>
            </w:r>
          </w:p>
        </w:tc>
        <w:tc>
          <w:tcPr>
            <w:tcW w:w="1631" w:type="dxa"/>
            <w:tcBorders>
              <w:tl2br w:val="nil"/>
              <w:tr2bl w:val="nil"/>
            </w:tcBorders>
            <w:shd w:val="clear" w:color="auto" w:fill="auto"/>
            <w:vAlign w:val="center"/>
          </w:tcPr>
          <w:p>
            <w:pPr>
              <w:widowControl/>
              <w:jc w:val="left"/>
              <w:textAlignment w:val="center"/>
              <w:rPr>
                <w:rFonts w:hint="default"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bidi="ar"/>
              </w:rPr>
              <w:t>0.001</w:t>
            </w:r>
            <w:r>
              <w:rPr>
                <w:rFonts w:hint="eastAsia" w:ascii="宋体" w:hAnsi="宋体" w:eastAsia="宋体" w:cs="宋体"/>
                <w:color w:val="auto"/>
                <w:kern w:val="0"/>
                <w:sz w:val="24"/>
                <w:szCs w:val="24"/>
              </w:rPr>
              <w:t>mg/Nm</w:t>
            </w:r>
            <w:r>
              <w:rPr>
                <w:rFonts w:hint="eastAsia" w:ascii="宋体" w:hAnsi="宋体" w:eastAsia="宋体" w:cs="宋体"/>
                <w:color w:val="auto"/>
                <w:kern w:val="0"/>
                <w:sz w:val="24"/>
                <w:szCs w:val="24"/>
                <w:vertAlign w:val="superscript"/>
              </w:rPr>
              <w:t>3</w:t>
            </w:r>
          </w:p>
        </w:tc>
        <w:tc>
          <w:tcPr>
            <w:tcW w:w="1771" w:type="dxa"/>
            <w:tcBorders>
              <w:tl2br w:val="nil"/>
              <w:tr2bl w:val="nil"/>
            </w:tcBorders>
            <w:shd w:val="clear" w:color="auto" w:fill="auto"/>
            <w:vAlign w:val="center"/>
          </w:tcPr>
          <w:p>
            <w:pPr>
              <w:widowControl/>
              <w:jc w:val="left"/>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xml:space="preserve">非连续采样 </w:t>
            </w:r>
          </w:p>
          <w:p>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至少</w:t>
            </w:r>
            <w:r>
              <w:rPr>
                <w:rFonts w:ascii="宋体" w:hAnsi="宋体" w:eastAsia="宋体" w:cs="宋体"/>
                <w:color w:val="auto"/>
                <w:kern w:val="0"/>
                <w:sz w:val="24"/>
                <w:szCs w:val="24"/>
                <w:highlight w:val="none"/>
              </w:rPr>
              <w:t>4</w:t>
            </w:r>
            <w:r>
              <w:rPr>
                <w:rFonts w:hint="eastAsia" w:ascii="宋体" w:hAnsi="宋体" w:eastAsia="宋体" w:cs="宋体"/>
                <w:color w:val="auto"/>
                <w:kern w:val="0"/>
                <w:sz w:val="24"/>
                <w:szCs w:val="24"/>
                <w:highlight w:val="none"/>
              </w:rPr>
              <w:t>个</w:t>
            </w:r>
          </w:p>
        </w:tc>
        <w:tc>
          <w:tcPr>
            <w:tcW w:w="1701" w:type="dxa"/>
            <w:tcBorders>
              <w:tl2br w:val="nil"/>
              <w:tr2bl w:val="nil"/>
            </w:tcBorders>
            <w:shd w:val="clear" w:color="auto" w:fill="auto"/>
            <w:vAlign w:val="center"/>
          </w:tcPr>
          <w:p>
            <w:pPr>
              <w:widowControl/>
              <w:jc w:val="left"/>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kern w:val="0"/>
                <w:sz w:val="24"/>
                <w:szCs w:val="24"/>
                <w:highlight w:val="none"/>
              </w:rPr>
              <w:t>1次/</w:t>
            </w:r>
            <w:r>
              <w:rPr>
                <w:rFonts w:hint="eastAsia" w:ascii="宋体" w:hAnsi="宋体" w:eastAsia="宋体" w:cs="宋体"/>
                <w:color w:val="auto"/>
                <w:kern w:val="0"/>
                <w:sz w:val="24"/>
                <w:szCs w:val="24"/>
                <w:highlight w:val="none"/>
                <w:lang w:val="en-US" w:eastAsia="zh-CN"/>
              </w:rPr>
              <w:t>半年</w:t>
            </w:r>
          </w:p>
        </w:tc>
        <w:tc>
          <w:tcPr>
            <w:tcW w:w="3827" w:type="dxa"/>
            <w:tcBorders>
              <w:tl2br w:val="nil"/>
              <w:tr2bl w:val="nil"/>
            </w:tcBorders>
            <w:shd w:val="clear" w:color="auto" w:fill="auto"/>
            <w:vAlign w:val="center"/>
          </w:tcPr>
          <w:p>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《空气和废气监测分析方法》（第四版）国家环境保护总局（2003年）5.4.10（3）中的硫化氢亚甲蓝分光光度法</w:t>
            </w:r>
          </w:p>
        </w:tc>
        <w:tc>
          <w:tcPr>
            <w:tcW w:w="1984" w:type="dxa"/>
            <w:tcBorders>
              <w:tl2br w:val="nil"/>
              <w:tr2bl w:val="nil"/>
            </w:tcBorders>
            <w:shd w:val="clear" w:color="auto" w:fill="auto"/>
            <w:vAlign w:val="center"/>
          </w:tcPr>
          <w:p>
            <w:pPr>
              <w:jc w:val="lef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紫外分光光度计</w:t>
            </w:r>
          </w:p>
        </w:tc>
        <w:tc>
          <w:tcPr>
            <w:tcW w:w="1843" w:type="dxa"/>
            <w:tcBorders>
              <w:tl2br w:val="nil"/>
              <w:tr2bl w:val="nil"/>
            </w:tcBorders>
            <w:shd w:val="clear" w:color="auto" w:fill="auto"/>
            <w:vAlign w:val="center"/>
          </w:tcPr>
          <w:p>
            <w:pPr>
              <w:jc w:val="lef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委托检测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14" w:hRule="atLeast"/>
        </w:trPr>
        <w:tc>
          <w:tcPr>
            <w:tcW w:w="547"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10</w:t>
            </w:r>
          </w:p>
        </w:tc>
        <w:tc>
          <w:tcPr>
            <w:tcW w:w="900" w:type="dxa"/>
            <w:tcBorders>
              <w:tl2br w:val="nil"/>
              <w:tr2bl w:val="nil"/>
            </w:tcBorders>
            <w:shd w:val="clear" w:color="auto" w:fill="auto"/>
            <w:vAlign w:val="center"/>
          </w:tcPr>
          <w:p>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废气</w:t>
            </w:r>
          </w:p>
        </w:tc>
        <w:tc>
          <w:tcPr>
            <w:tcW w:w="886" w:type="dxa"/>
            <w:tcBorders>
              <w:tl2br w:val="nil"/>
              <w:tr2bl w:val="nil"/>
            </w:tcBorders>
            <w:shd w:val="clear" w:color="auto" w:fill="auto"/>
            <w:vAlign w:val="center"/>
          </w:tcPr>
          <w:p>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shd w:val="clear" w:color="auto" w:fill="auto"/>
                <w:lang w:val="en-US" w:eastAsia="zh-CN"/>
              </w:rPr>
              <w:t>XF001</w:t>
            </w:r>
          </w:p>
        </w:tc>
        <w:tc>
          <w:tcPr>
            <w:tcW w:w="955" w:type="dxa"/>
            <w:tcBorders>
              <w:tl2br w:val="nil"/>
              <w:tr2bl w:val="nil"/>
            </w:tcBorders>
            <w:shd w:val="clear" w:color="auto" w:fill="auto"/>
            <w:vAlign w:val="center"/>
          </w:tcPr>
          <w:p>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厂界下风向1</w:t>
            </w:r>
          </w:p>
        </w:tc>
        <w:tc>
          <w:tcPr>
            <w:tcW w:w="904" w:type="dxa"/>
            <w:tcBorders>
              <w:tl2br w:val="nil"/>
              <w:tr2bl w:val="nil"/>
            </w:tcBorders>
            <w:shd w:val="clear" w:color="auto" w:fill="auto"/>
            <w:vAlign w:val="center"/>
          </w:tcPr>
          <w:p>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硫化氢</w:t>
            </w:r>
          </w:p>
        </w:tc>
        <w:tc>
          <w:tcPr>
            <w:tcW w:w="809" w:type="dxa"/>
            <w:tcBorders>
              <w:tl2br w:val="nil"/>
              <w:tr2bl w:val="nil"/>
            </w:tcBorders>
            <w:shd w:val="clear" w:color="auto" w:fill="auto"/>
            <w:vAlign w:val="center"/>
          </w:tcPr>
          <w:p>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手工</w:t>
            </w:r>
          </w:p>
        </w:tc>
        <w:tc>
          <w:tcPr>
            <w:tcW w:w="2983" w:type="dxa"/>
            <w:tcBorders>
              <w:tl2br w:val="nil"/>
              <w:tr2bl w:val="nil"/>
            </w:tcBorders>
            <w:shd w:val="clear" w:color="auto" w:fill="auto"/>
            <w:vAlign w:val="center"/>
          </w:tcPr>
          <w:p>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《城镇污水处理厂污染物排放标准》（GB18918-2002）二级标准排放</w:t>
            </w:r>
          </w:p>
        </w:tc>
        <w:tc>
          <w:tcPr>
            <w:tcW w:w="1418" w:type="dxa"/>
            <w:tcBorders>
              <w:tl2br w:val="nil"/>
              <w:tr2bl w:val="nil"/>
            </w:tcBorders>
            <w:shd w:val="clear" w:color="auto" w:fill="auto"/>
            <w:vAlign w:val="center"/>
          </w:tcPr>
          <w:p>
            <w:pPr>
              <w:widowControl/>
              <w:jc w:val="left"/>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上限:0.06mg/Nm</w:t>
            </w:r>
            <w:r>
              <w:rPr>
                <w:rFonts w:hint="eastAsia" w:ascii="宋体" w:hAnsi="宋体" w:eastAsia="宋体" w:cs="宋体"/>
                <w:color w:val="auto"/>
                <w:kern w:val="0"/>
                <w:sz w:val="24"/>
                <w:szCs w:val="24"/>
                <w:highlight w:val="none"/>
                <w:vertAlign w:val="superscript"/>
              </w:rPr>
              <w:t>3</w:t>
            </w:r>
          </w:p>
        </w:tc>
        <w:tc>
          <w:tcPr>
            <w:tcW w:w="1631" w:type="dxa"/>
            <w:tcBorders>
              <w:tl2br w:val="nil"/>
              <w:tr2bl w:val="nil"/>
            </w:tcBorders>
            <w:shd w:val="clear" w:color="auto" w:fill="auto"/>
            <w:vAlign w:val="center"/>
          </w:tcPr>
          <w:p>
            <w:pPr>
              <w:widowControl/>
              <w:jc w:val="left"/>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0.001</w:t>
            </w:r>
            <w:r>
              <w:rPr>
                <w:rFonts w:hint="eastAsia" w:ascii="宋体" w:hAnsi="宋体" w:eastAsia="宋体" w:cs="宋体"/>
                <w:color w:val="auto"/>
                <w:kern w:val="0"/>
                <w:sz w:val="24"/>
                <w:szCs w:val="24"/>
              </w:rPr>
              <w:t>mg/Nm</w:t>
            </w:r>
            <w:r>
              <w:rPr>
                <w:rFonts w:hint="eastAsia" w:ascii="宋体" w:hAnsi="宋体" w:eastAsia="宋体" w:cs="宋体"/>
                <w:color w:val="auto"/>
                <w:kern w:val="0"/>
                <w:sz w:val="24"/>
                <w:szCs w:val="24"/>
                <w:vertAlign w:val="superscript"/>
              </w:rPr>
              <w:t>3</w:t>
            </w:r>
          </w:p>
        </w:tc>
        <w:tc>
          <w:tcPr>
            <w:tcW w:w="1771" w:type="dxa"/>
            <w:tcBorders>
              <w:tl2br w:val="nil"/>
              <w:tr2bl w:val="nil"/>
            </w:tcBorders>
            <w:shd w:val="clear" w:color="auto" w:fill="auto"/>
            <w:vAlign w:val="center"/>
          </w:tcPr>
          <w:p>
            <w:pPr>
              <w:widowControl/>
              <w:jc w:val="left"/>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xml:space="preserve">非连续采样 </w:t>
            </w:r>
          </w:p>
          <w:p>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至少</w:t>
            </w:r>
            <w:r>
              <w:rPr>
                <w:rFonts w:ascii="宋体" w:hAnsi="宋体" w:eastAsia="宋体" w:cs="宋体"/>
                <w:color w:val="auto"/>
                <w:kern w:val="0"/>
                <w:sz w:val="24"/>
                <w:szCs w:val="24"/>
                <w:highlight w:val="none"/>
              </w:rPr>
              <w:t>4</w:t>
            </w:r>
            <w:r>
              <w:rPr>
                <w:rFonts w:hint="eastAsia" w:ascii="宋体" w:hAnsi="宋体" w:eastAsia="宋体" w:cs="宋体"/>
                <w:color w:val="auto"/>
                <w:kern w:val="0"/>
                <w:sz w:val="24"/>
                <w:szCs w:val="24"/>
                <w:highlight w:val="none"/>
              </w:rPr>
              <w:t>个</w:t>
            </w:r>
          </w:p>
        </w:tc>
        <w:tc>
          <w:tcPr>
            <w:tcW w:w="1701" w:type="dxa"/>
            <w:tcBorders>
              <w:tl2br w:val="nil"/>
              <w:tr2bl w:val="nil"/>
            </w:tcBorders>
            <w:shd w:val="clear" w:color="auto" w:fill="auto"/>
            <w:vAlign w:val="center"/>
          </w:tcPr>
          <w:p>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1次/半年</w:t>
            </w:r>
          </w:p>
        </w:tc>
        <w:tc>
          <w:tcPr>
            <w:tcW w:w="3827" w:type="dxa"/>
            <w:tcBorders>
              <w:tl2br w:val="nil"/>
              <w:tr2bl w:val="nil"/>
            </w:tcBorders>
            <w:shd w:val="clear" w:color="auto" w:fill="auto"/>
            <w:vAlign w:val="center"/>
          </w:tcPr>
          <w:p>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《空气和废气监测分析方法》（第四版）国家环境保护总局（2003年）5.4.10（3）中的硫化氢亚甲蓝分光光度法</w:t>
            </w:r>
          </w:p>
        </w:tc>
        <w:tc>
          <w:tcPr>
            <w:tcW w:w="1984" w:type="dxa"/>
            <w:tcBorders>
              <w:tl2br w:val="nil"/>
              <w:tr2bl w:val="nil"/>
            </w:tcBorders>
            <w:shd w:val="clear" w:color="auto" w:fill="auto"/>
            <w:vAlign w:val="center"/>
          </w:tcPr>
          <w:p>
            <w:pPr>
              <w:jc w:val="lef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紫外分光光度计</w:t>
            </w:r>
          </w:p>
        </w:tc>
        <w:tc>
          <w:tcPr>
            <w:tcW w:w="1843" w:type="dxa"/>
            <w:tcBorders>
              <w:tl2br w:val="nil"/>
              <w:tr2bl w:val="nil"/>
            </w:tcBorders>
            <w:shd w:val="clear" w:color="auto" w:fill="auto"/>
            <w:vAlign w:val="center"/>
          </w:tcPr>
          <w:p>
            <w:pPr>
              <w:jc w:val="lef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委托检测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696" w:hRule="atLeast"/>
        </w:trPr>
        <w:tc>
          <w:tcPr>
            <w:tcW w:w="547"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11</w:t>
            </w:r>
          </w:p>
        </w:tc>
        <w:tc>
          <w:tcPr>
            <w:tcW w:w="900" w:type="dxa"/>
            <w:tcBorders>
              <w:tl2br w:val="nil"/>
              <w:tr2bl w:val="nil"/>
            </w:tcBorders>
            <w:shd w:val="clear" w:color="auto" w:fill="auto"/>
            <w:vAlign w:val="center"/>
          </w:tcPr>
          <w:p>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废气</w:t>
            </w:r>
          </w:p>
        </w:tc>
        <w:tc>
          <w:tcPr>
            <w:tcW w:w="886" w:type="dxa"/>
            <w:tcBorders>
              <w:tl2br w:val="nil"/>
              <w:tr2bl w:val="nil"/>
            </w:tcBorders>
            <w:shd w:val="clear" w:color="auto" w:fill="auto"/>
            <w:vAlign w:val="center"/>
          </w:tcPr>
          <w:p>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shd w:val="clear" w:color="auto" w:fill="auto"/>
                <w:lang w:val="en-US" w:eastAsia="zh-CN"/>
              </w:rPr>
              <w:t>XF002</w:t>
            </w:r>
          </w:p>
        </w:tc>
        <w:tc>
          <w:tcPr>
            <w:tcW w:w="955" w:type="dxa"/>
            <w:tcBorders>
              <w:tl2br w:val="nil"/>
              <w:tr2bl w:val="nil"/>
            </w:tcBorders>
            <w:shd w:val="clear" w:color="auto" w:fill="auto"/>
            <w:vAlign w:val="center"/>
          </w:tcPr>
          <w:p>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厂界下风向2</w:t>
            </w:r>
          </w:p>
        </w:tc>
        <w:tc>
          <w:tcPr>
            <w:tcW w:w="904" w:type="dxa"/>
            <w:tcBorders>
              <w:tl2br w:val="nil"/>
              <w:tr2bl w:val="nil"/>
            </w:tcBorders>
            <w:shd w:val="clear" w:color="auto" w:fill="auto"/>
            <w:vAlign w:val="center"/>
          </w:tcPr>
          <w:p>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硫化氢</w:t>
            </w:r>
          </w:p>
        </w:tc>
        <w:tc>
          <w:tcPr>
            <w:tcW w:w="809" w:type="dxa"/>
            <w:tcBorders>
              <w:tl2br w:val="nil"/>
              <w:tr2bl w:val="nil"/>
            </w:tcBorders>
            <w:shd w:val="clear" w:color="auto" w:fill="auto"/>
            <w:vAlign w:val="center"/>
          </w:tcPr>
          <w:p>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手工</w:t>
            </w:r>
          </w:p>
        </w:tc>
        <w:tc>
          <w:tcPr>
            <w:tcW w:w="2983" w:type="dxa"/>
            <w:tcBorders>
              <w:tl2br w:val="nil"/>
              <w:tr2bl w:val="nil"/>
            </w:tcBorders>
            <w:shd w:val="clear" w:color="auto" w:fill="auto"/>
            <w:vAlign w:val="center"/>
          </w:tcPr>
          <w:p>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《城镇污水处理厂污染物排放标准》（GB18918-2002）二级标准排放</w:t>
            </w:r>
          </w:p>
        </w:tc>
        <w:tc>
          <w:tcPr>
            <w:tcW w:w="1418" w:type="dxa"/>
            <w:tcBorders>
              <w:tl2br w:val="nil"/>
              <w:tr2bl w:val="nil"/>
            </w:tcBorders>
            <w:shd w:val="clear" w:color="auto" w:fill="auto"/>
            <w:vAlign w:val="center"/>
          </w:tcPr>
          <w:p>
            <w:pPr>
              <w:widowControl/>
              <w:jc w:val="left"/>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上限:0.06mg/Nm</w:t>
            </w:r>
            <w:r>
              <w:rPr>
                <w:rFonts w:hint="eastAsia" w:ascii="宋体" w:hAnsi="宋体" w:eastAsia="宋体" w:cs="宋体"/>
                <w:color w:val="auto"/>
                <w:kern w:val="0"/>
                <w:sz w:val="24"/>
                <w:szCs w:val="24"/>
                <w:highlight w:val="none"/>
                <w:vertAlign w:val="superscript"/>
              </w:rPr>
              <w:t>3</w:t>
            </w:r>
          </w:p>
        </w:tc>
        <w:tc>
          <w:tcPr>
            <w:tcW w:w="1631" w:type="dxa"/>
            <w:tcBorders>
              <w:tl2br w:val="nil"/>
              <w:tr2bl w:val="nil"/>
            </w:tcBorders>
            <w:shd w:val="clear" w:color="auto" w:fill="auto"/>
            <w:vAlign w:val="center"/>
          </w:tcPr>
          <w:p>
            <w:pPr>
              <w:widowControl/>
              <w:jc w:val="left"/>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0.001</w:t>
            </w:r>
            <w:r>
              <w:rPr>
                <w:rFonts w:hint="eastAsia" w:ascii="宋体" w:hAnsi="宋体" w:eastAsia="宋体" w:cs="宋体"/>
                <w:color w:val="auto"/>
                <w:kern w:val="0"/>
                <w:sz w:val="24"/>
                <w:szCs w:val="24"/>
              </w:rPr>
              <w:t>mg/Nm</w:t>
            </w:r>
            <w:r>
              <w:rPr>
                <w:rFonts w:hint="eastAsia" w:ascii="宋体" w:hAnsi="宋体" w:eastAsia="宋体" w:cs="宋体"/>
                <w:color w:val="auto"/>
                <w:kern w:val="0"/>
                <w:sz w:val="24"/>
                <w:szCs w:val="24"/>
                <w:vertAlign w:val="superscript"/>
              </w:rPr>
              <w:t>3</w:t>
            </w:r>
          </w:p>
        </w:tc>
        <w:tc>
          <w:tcPr>
            <w:tcW w:w="1771" w:type="dxa"/>
            <w:tcBorders>
              <w:tl2br w:val="nil"/>
              <w:tr2bl w:val="nil"/>
            </w:tcBorders>
            <w:shd w:val="clear" w:color="auto" w:fill="auto"/>
            <w:vAlign w:val="center"/>
          </w:tcPr>
          <w:p>
            <w:pPr>
              <w:widowControl/>
              <w:jc w:val="left"/>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xml:space="preserve">非连续采样 </w:t>
            </w:r>
          </w:p>
          <w:p>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至少</w:t>
            </w:r>
            <w:r>
              <w:rPr>
                <w:rFonts w:ascii="宋体" w:hAnsi="宋体" w:eastAsia="宋体" w:cs="宋体"/>
                <w:color w:val="auto"/>
                <w:kern w:val="0"/>
                <w:sz w:val="24"/>
                <w:szCs w:val="24"/>
                <w:highlight w:val="none"/>
              </w:rPr>
              <w:t>4</w:t>
            </w:r>
            <w:r>
              <w:rPr>
                <w:rFonts w:hint="eastAsia" w:ascii="宋体" w:hAnsi="宋体" w:eastAsia="宋体" w:cs="宋体"/>
                <w:color w:val="auto"/>
                <w:kern w:val="0"/>
                <w:sz w:val="24"/>
                <w:szCs w:val="24"/>
                <w:highlight w:val="none"/>
              </w:rPr>
              <w:t>个</w:t>
            </w:r>
          </w:p>
        </w:tc>
        <w:tc>
          <w:tcPr>
            <w:tcW w:w="1701" w:type="dxa"/>
            <w:tcBorders>
              <w:tl2br w:val="nil"/>
              <w:tr2bl w:val="nil"/>
            </w:tcBorders>
            <w:shd w:val="clear" w:color="auto" w:fill="auto"/>
            <w:vAlign w:val="center"/>
          </w:tcPr>
          <w:p>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1次/半年</w:t>
            </w:r>
          </w:p>
        </w:tc>
        <w:tc>
          <w:tcPr>
            <w:tcW w:w="3827" w:type="dxa"/>
            <w:tcBorders>
              <w:tl2br w:val="nil"/>
              <w:tr2bl w:val="nil"/>
            </w:tcBorders>
            <w:shd w:val="clear" w:color="auto" w:fill="auto"/>
            <w:vAlign w:val="center"/>
          </w:tcPr>
          <w:p>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《空气和废气监测分析方法》（第四版）国家环境保护总局（2003年）5.4.10（3）中的硫化氢亚甲蓝分光光度法</w:t>
            </w:r>
          </w:p>
        </w:tc>
        <w:tc>
          <w:tcPr>
            <w:tcW w:w="1984" w:type="dxa"/>
            <w:tcBorders>
              <w:tl2br w:val="nil"/>
              <w:tr2bl w:val="nil"/>
            </w:tcBorders>
            <w:shd w:val="clear" w:color="auto" w:fill="auto"/>
            <w:vAlign w:val="center"/>
          </w:tcPr>
          <w:p>
            <w:pPr>
              <w:jc w:val="lef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紫外分光光度计</w:t>
            </w:r>
          </w:p>
        </w:tc>
        <w:tc>
          <w:tcPr>
            <w:tcW w:w="1843" w:type="dxa"/>
            <w:tcBorders>
              <w:tl2br w:val="nil"/>
              <w:tr2bl w:val="nil"/>
            </w:tcBorders>
            <w:shd w:val="clear" w:color="auto" w:fill="auto"/>
            <w:vAlign w:val="center"/>
          </w:tcPr>
          <w:p>
            <w:pPr>
              <w:jc w:val="lef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委托检测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14" w:hRule="atLeast"/>
        </w:trPr>
        <w:tc>
          <w:tcPr>
            <w:tcW w:w="547"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12</w:t>
            </w:r>
          </w:p>
        </w:tc>
        <w:tc>
          <w:tcPr>
            <w:tcW w:w="900" w:type="dxa"/>
            <w:tcBorders>
              <w:tl2br w:val="nil"/>
              <w:tr2bl w:val="nil"/>
            </w:tcBorders>
            <w:shd w:val="clear" w:color="auto" w:fill="auto"/>
            <w:vAlign w:val="center"/>
          </w:tcPr>
          <w:p>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废气</w:t>
            </w:r>
          </w:p>
        </w:tc>
        <w:tc>
          <w:tcPr>
            <w:tcW w:w="886" w:type="dxa"/>
            <w:tcBorders>
              <w:tl2br w:val="nil"/>
              <w:tr2bl w:val="nil"/>
            </w:tcBorders>
            <w:shd w:val="clear" w:color="auto" w:fill="auto"/>
            <w:vAlign w:val="center"/>
          </w:tcPr>
          <w:p>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shd w:val="clear" w:color="auto" w:fill="auto"/>
                <w:lang w:val="en-US" w:eastAsia="zh-CN"/>
              </w:rPr>
              <w:t>XF003</w:t>
            </w:r>
          </w:p>
        </w:tc>
        <w:tc>
          <w:tcPr>
            <w:tcW w:w="955" w:type="dxa"/>
            <w:tcBorders>
              <w:tl2br w:val="nil"/>
              <w:tr2bl w:val="nil"/>
            </w:tcBorders>
            <w:shd w:val="clear" w:color="auto" w:fill="auto"/>
            <w:vAlign w:val="center"/>
          </w:tcPr>
          <w:p>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厂界下风向3</w:t>
            </w:r>
          </w:p>
        </w:tc>
        <w:tc>
          <w:tcPr>
            <w:tcW w:w="904" w:type="dxa"/>
            <w:tcBorders>
              <w:tl2br w:val="nil"/>
              <w:tr2bl w:val="nil"/>
            </w:tcBorders>
            <w:shd w:val="clear" w:color="auto" w:fill="auto"/>
            <w:vAlign w:val="center"/>
          </w:tcPr>
          <w:p>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硫化氢</w:t>
            </w:r>
          </w:p>
        </w:tc>
        <w:tc>
          <w:tcPr>
            <w:tcW w:w="809" w:type="dxa"/>
            <w:tcBorders>
              <w:tl2br w:val="nil"/>
              <w:tr2bl w:val="nil"/>
            </w:tcBorders>
            <w:shd w:val="clear" w:color="auto" w:fill="auto"/>
            <w:vAlign w:val="center"/>
          </w:tcPr>
          <w:p>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手工</w:t>
            </w:r>
          </w:p>
        </w:tc>
        <w:tc>
          <w:tcPr>
            <w:tcW w:w="2983" w:type="dxa"/>
            <w:tcBorders>
              <w:tl2br w:val="nil"/>
              <w:tr2bl w:val="nil"/>
            </w:tcBorders>
            <w:shd w:val="clear" w:color="auto" w:fill="auto"/>
            <w:vAlign w:val="center"/>
          </w:tcPr>
          <w:p>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《城镇污水处理厂污染物排放标准》（GB18918-2002）二级标准排放</w:t>
            </w:r>
          </w:p>
        </w:tc>
        <w:tc>
          <w:tcPr>
            <w:tcW w:w="1418" w:type="dxa"/>
            <w:tcBorders>
              <w:tl2br w:val="nil"/>
              <w:tr2bl w:val="nil"/>
            </w:tcBorders>
            <w:shd w:val="clear" w:color="auto" w:fill="auto"/>
            <w:vAlign w:val="center"/>
          </w:tcPr>
          <w:p>
            <w:pPr>
              <w:widowControl/>
              <w:jc w:val="left"/>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上限:0.06mg/Nm</w:t>
            </w:r>
            <w:r>
              <w:rPr>
                <w:rFonts w:hint="eastAsia" w:ascii="宋体" w:hAnsi="宋体" w:eastAsia="宋体" w:cs="宋体"/>
                <w:color w:val="auto"/>
                <w:kern w:val="0"/>
                <w:sz w:val="24"/>
                <w:szCs w:val="24"/>
                <w:highlight w:val="none"/>
                <w:vertAlign w:val="superscript"/>
              </w:rPr>
              <w:t>3</w:t>
            </w:r>
          </w:p>
        </w:tc>
        <w:tc>
          <w:tcPr>
            <w:tcW w:w="1631" w:type="dxa"/>
            <w:tcBorders>
              <w:tl2br w:val="nil"/>
              <w:tr2bl w:val="nil"/>
            </w:tcBorders>
            <w:shd w:val="clear" w:color="auto" w:fill="auto"/>
            <w:vAlign w:val="center"/>
          </w:tcPr>
          <w:p>
            <w:pPr>
              <w:widowControl/>
              <w:jc w:val="left"/>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0.001</w:t>
            </w:r>
            <w:r>
              <w:rPr>
                <w:rFonts w:hint="eastAsia" w:ascii="宋体" w:hAnsi="宋体" w:eastAsia="宋体" w:cs="宋体"/>
                <w:color w:val="auto"/>
                <w:kern w:val="0"/>
                <w:sz w:val="24"/>
                <w:szCs w:val="24"/>
              </w:rPr>
              <w:t>mg/Nm</w:t>
            </w:r>
            <w:r>
              <w:rPr>
                <w:rFonts w:hint="eastAsia" w:ascii="宋体" w:hAnsi="宋体" w:eastAsia="宋体" w:cs="宋体"/>
                <w:color w:val="auto"/>
                <w:kern w:val="0"/>
                <w:sz w:val="24"/>
                <w:szCs w:val="24"/>
                <w:vertAlign w:val="superscript"/>
              </w:rPr>
              <w:t>3</w:t>
            </w:r>
          </w:p>
        </w:tc>
        <w:tc>
          <w:tcPr>
            <w:tcW w:w="1771" w:type="dxa"/>
            <w:tcBorders>
              <w:tl2br w:val="nil"/>
              <w:tr2bl w:val="nil"/>
            </w:tcBorders>
            <w:shd w:val="clear" w:color="auto" w:fill="auto"/>
            <w:vAlign w:val="center"/>
          </w:tcPr>
          <w:p>
            <w:pPr>
              <w:widowControl/>
              <w:jc w:val="left"/>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xml:space="preserve">非连续采样 </w:t>
            </w:r>
          </w:p>
          <w:p>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至少</w:t>
            </w:r>
            <w:r>
              <w:rPr>
                <w:rFonts w:ascii="宋体" w:hAnsi="宋体" w:eastAsia="宋体" w:cs="宋体"/>
                <w:color w:val="auto"/>
                <w:kern w:val="0"/>
                <w:sz w:val="24"/>
                <w:szCs w:val="24"/>
                <w:highlight w:val="none"/>
              </w:rPr>
              <w:t>4</w:t>
            </w:r>
            <w:r>
              <w:rPr>
                <w:rFonts w:hint="eastAsia" w:ascii="宋体" w:hAnsi="宋体" w:eastAsia="宋体" w:cs="宋体"/>
                <w:color w:val="auto"/>
                <w:kern w:val="0"/>
                <w:sz w:val="24"/>
                <w:szCs w:val="24"/>
                <w:highlight w:val="none"/>
              </w:rPr>
              <w:t>个</w:t>
            </w:r>
          </w:p>
        </w:tc>
        <w:tc>
          <w:tcPr>
            <w:tcW w:w="1701" w:type="dxa"/>
            <w:tcBorders>
              <w:tl2br w:val="nil"/>
              <w:tr2bl w:val="nil"/>
            </w:tcBorders>
            <w:shd w:val="clear" w:color="auto" w:fill="auto"/>
            <w:vAlign w:val="center"/>
          </w:tcPr>
          <w:p>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1次/半年</w:t>
            </w:r>
          </w:p>
        </w:tc>
        <w:tc>
          <w:tcPr>
            <w:tcW w:w="3827" w:type="dxa"/>
            <w:tcBorders>
              <w:tl2br w:val="nil"/>
              <w:tr2bl w:val="nil"/>
            </w:tcBorders>
            <w:shd w:val="clear" w:color="auto" w:fill="auto"/>
            <w:vAlign w:val="center"/>
          </w:tcPr>
          <w:p>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《空气和废气监测分析方法》（第四版）国家环境保护总局（2003年）5.4.10（3）中的硫化氢亚甲蓝分光光度法</w:t>
            </w:r>
          </w:p>
        </w:tc>
        <w:tc>
          <w:tcPr>
            <w:tcW w:w="1984" w:type="dxa"/>
            <w:tcBorders>
              <w:tl2br w:val="nil"/>
              <w:tr2bl w:val="nil"/>
            </w:tcBorders>
            <w:shd w:val="clear" w:color="auto" w:fill="auto"/>
            <w:vAlign w:val="center"/>
          </w:tcPr>
          <w:p>
            <w:pPr>
              <w:jc w:val="lef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紫外分光光度计</w:t>
            </w:r>
          </w:p>
        </w:tc>
        <w:tc>
          <w:tcPr>
            <w:tcW w:w="1843" w:type="dxa"/>
            <w:tcBorders>
              <w:tl2br w:val="nil"/>
              <w:tr2bl w:val="nil"/>
            </w:tcBorders>
            <w:shd w:val="clear" w:color="auto" w:fill="auto"/>
            <w:vAlign w:val="center"/>
          </w:tcPr>
          <w:p>
            <w:pPr>
              <w:jc w:val="lef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委托检测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096" w:hRule="atLeast"/>
        </w:trPr>
        <w:tc>
          <w:tcPr>
            <w:tcW w:w="547"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13</w:t>
            </w:r>
          </w:p>
        </w:tc>
        <w:tc>
          <w:tcPr>
            <w:tcW w:w="900" w:type="dxa"/>
            <w:tcBorders>
              <w:tl2br w:val="nil"/>
              <w:tr2bl w:val="nil"/>
            </w:tcBorders>
            <w:shd w:val="clear" w:color="auto" w:fill="auto"/>
            <w:vAlign w:val="center"/>
          </w:tcPr>
          <w:p>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废气</w:t>
            </w:r>
          </w:p>
        </w:tc>
        <w:tc>
          <w:tcPr>
            <w:tcW w:w="886" w:type="dxa"/>
            <w:tcBorders>
              <w:tl2br w:val="nil"/>
              <w:tr2bl w:val="nil"/>
            </w:tcBorders>
            <w:shd w:val="clear" w:color="auto" w:fill="auto"/>
            <w:vAlign w:val="center"/>
          </w:tcPr>
          <w:p>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CN001</w:t>
            </w:r>
          </w:p>
        </w:tc>
        <w:tc>
          <w:tcPr>
            <w:tcW w:w="955" w:type="dxa"/>
            <w:tcBorders>
              <w:tl2br w:val="nil"/>
              <w:tr2bl w:val="nil"/>
            </w:tcBorders>
            <w:shd w:val="clear" w:color="auto" w:fill="auto"/>
            <w:vAlign w:val="center"/>
          </w:tcPr>
          <w:p>
            <w:pPr>
              <w:jc w:val="lef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除臭设施</w:t>
            </w:r>
          </w:p>
        </w:tc>
        <w:tc>
          <w:tcPr>
            <w:tcW w:w="904" w:type="dxa"/>
            <w:tcBorders>
              <w:tl2br w:val="nil"/>
              <w:tr2bl w:val="nil"/>
            </w:tcBorders>
            <w:shd w:val="clear" w:color="auto" w:fill="auto"/>
            <w:vAlign w:val="center"/>
          </w:tcPr>
          <w:p>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甲烷</w:t>
            </w:r>
          </w:p>
        </w:tc>
        <w:tc>
          <w:tcPr>
            <w:tcW w:w="809" w:type="dxa"/>
            <w:tcBorders>
              <w:tl2br w:val="nil"/>
              <w:tr2bl w:val="nil"/>
            </w:tcBorders>
            <w:shd w:val="clear" w:color="auto" w:fill="auto"/>
            <w:vAlign w:val="center"/>
          </w:tcPr>
          <w:p>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手工</w:t>
            </w:r>
          </w:p>
        </w:tc>
        <w:tc>
          <w:tcPr>
            <w:tcW w:w="2983" w:type="dxa"/>
            <w:tcBorders>
              <w:tl2br w:val="nil"/>
              <w:tr2bl w:val="nil"/>
            </w:tcBorders>
            <w:shd w:val="clear" w:color="auto" w:fill="auto"/>
            <w:vAlign w:val="center"/>
          </w:tcPr>
          <w:p>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《城镇污水处理厂污染物排放标准》（GB18918-2002）二级标准排放</w:t>
            </w:r>
          </w:p>
        </w:tc>
        <w:tc>
          <w:tcPr>
            <w:tcW w:w="1418" w:type="dxa"/>
            <w:tcBorders>
              <w:tl2br w:val="nil"/>
              <w:tr2bl w:val="nil"/>
            </w:tcBorders>
            <w:shd w:val="clear" w:color="auto" w:fill="auto"/>
            <w:vAlign w:val="center"/>
          </w:tcPr>
          <w:p>
            <w:pPr>
              <w:widowControl/>
              <w:jc w:val="left"/>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上限:1%</w:t>
            </w:r>
          </w:p>
        </w:tc>
        <w:tc>
          <w:tcPr>
            <w:tcW w:w="1631" w:type="dxa"/>
            <w:tcBorders>
              <w:tl2br w:val="nil"/>
              <w:tr2bl w:val="nil"/>
            </w:tcBorders>
            <w:shd w:val="clear" w:color="auto" w:fill="auto"/>
            <w:vAlign w:val="center"/>
          </w:tcPr>
          <w:p>
            <w:pPr>
              <w:widowControl/>
              <w:jc w:val="left"/>
              <w:textAlignment w:val="center"/>
              <w:rPr>
                <w:rFonts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0.06</w:t>
            </w:r>
            <w:r>
              <w:rPr>
                <w:rFonts w:hint="eastAsia" w:ascii="宋体" w:hAnsi="宋体" w:eastAsia="宋体" w:cs="宋体"/>
                <w:color w:val="auto"/>
                <w:kern w:val="0"/>
                <w:sz w:val="24"/>
                <w:szCs w:val="24"/>
                <w:highlight w:val="none"/>
              </w:rPr>
              <w:t>mg/Nm</w:t>
            </w:r>
            <w:r>
              <w:rPr>
                <w:rFonts w:hint="eastAsia" w:ascii="宋体" w:hAnsi="宋体" w:eastAsia="宋体" w:cs="宋体"/>
                <w:color w:val="auto"/>
                <w:kern w:val="0"/>
                <w:sz w:val="24"/>
                <w:szCs w:val="24"/>
                <w:highlight w:val="none"/>
                <w:vertAlign w:val="superscript"/>
              </w:rPr>
              <w:t>3</w:t>
            </w:r>
          </w:p>
        </w:tc>
        <w:tc>
          <w:tcPr>
            <w:tcW w:w="1771" w:type="dxa"/>
            <w:tcBorders>
              <w:tl2br w:val="nil"/>
              <w:tr2bl w:val="nil"/>
            </w:tcBorders>
            <w:shd w:val="clear" w:color="auto" w:fill="auto"/>
            <w:vAlign w:val="center"/>
          </w:tcPr>
          <w:p>
            <w:pPr>
              <w:widowControl/>
              <w:jc w:val="left"/>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xml:space="preserve">非连续采样 </w:t>
            </w:r>
          </w:p>
          <w:p>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至少</w:t>
            </w:r>
            <w:r>
              <w:rPr>
                <w:rFonts w:ascii="宋体" w:hAnsi="宋体" w:eastAsia="宋体" w:cs="宋体"/>
                <w:color w:val="auto"/>
                <w:kern w:val="0"/>
                <w:sz w:val="24"/>
                <w:szCs w:val="24"/>
                <w:highlight w:val="none"/>
              </w:rPr>
              <w:t>4</w:t>
            </w:r>
            <w:r>
              <w:rPr>
                <w:rFonts w:hint="eastAsia" w:ascii="宋体" w:hAnsi="宋体" w:eastAsia="宋体" w:cs="宋体"/>
                <w:color w:val="auto"/>
                <w:kern w:val="0"/>
                <w:sz w:val="24"/>
                <w:szCs w:val="24"/>
                <w:highlight w:val="none"/>
              </w:rPr>
              <w:t>个</w:t>
            </w:r>
          </w:p>
        </w:tc>
        <w:tc>
          <w:tcPr>
            <w:tcW w:w="1701" w:type="dxa"/>
            <w:tcBorders>
              <w:tl2br w:val="nil"/>
              <w:tr2bl w:val="nil"/>
            </w:tcBorders>
            <w:shd w:val="clear" w:color="auto" w:fill="auto"/>
            <w:vAlign w:val="center"/>
          </w:tcPr>
          <w:p>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1次/年</w:t>
            </w:r>
          </w:p>
        </w:tc>
        <w:tc>
          <w:tcPr>
            <w:tcW w:w="3827" w:type="dxa"/>
            <w:tcBorders>
              <w:tl2br w:val="nil"/>
              <w:tr2bl w:val="nil"/>
            </w:tcBorders>
            <w:shd w:val="clear" w:color="auto" w:fill="auto"/>
            <w:vAlign w:val="center"/>
          </w:tcPr>
          <w:p>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 xml:space="preserve"> 环境空气 总烃、甲烷和非甲烷总烃的测定 直接进样-气相色谱法 HJ 604-2017</w:t>
            </w:r>
          </w:p>
        </w:tc>
        <w:tc>
          <w:tcPr>
            <w:tcW w:w="1984" w:type="dxa"/>
            <w:tcBorders>
              <w:tl2br w:val="nil"/>
              <w:tr2bl w:val="nil"/>
            </w:tcBorders>
            <w:shd w:val="clear" w:color="auto" w:fill="auto"/>
            <w:vAlign w:val="center"/>
          </w:tcPr>
          <w:p>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气相色谱仪</w:t>
            </w:r>
          </w:p>
        </w:tc>
        <w:tc>
          <w:tcPr>
            <w:tcW w:w="1843" w:type="dxa"/>
            <w:tcBorders>
              <w:tl2br w:val="nil"/>
              <w:tr2bl w:val="nil"/>
            </w:tcBorders>
            <w:shd w:val="clear" w:color="auto" w:fill="auto"/>
            <w:vAlign w:val="center"/>
          </w:tcPr>
          <w:p>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委托检测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14" w:hRule="atLeast"/>
        </w:trPr>
        <w:tc>
          <w:tcPr>
            <w:tcW w:w="547"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14</w:t>
            </w:r>
          </w:p>
        </w:tc>
        <w:tc>
          <w:tcPr>
            <w:tcW w:w="900" w:type="dxa"/>
            <w:tcBorders>
              <w:tl2br w:val="nil"/>
              <w:tr2bl w:val="nil"/>
            </w:tcBorders>
            <w:shd w:val="clear" w:color="auto" w:fill="auto"/>
            <w:vAlign w:val="center"/>
          </w:tcPr>
          <w:p>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废气</w:t>
            </w:r>
          </w:p>
        </w:tc>
        <w:tc>
          <w:tcPr>
            <w:tcW w:w="886" w:type="dxa"/>
            <w:tcBorders>
              <w:tl2br w:val="nil"/>
              <w:tr2bl w:val="nil"/>
            </w:tcBorders>
            <w:shd w:val="clear" w:color="auto" w:fill="auto"/>
            <w:vAlign w:val="center"/>
          </w:tcPr>
          <w:p>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CN002</w:t>
            </w:r>
          </w:p>
        </w:tc>
        <w:tc>
          <w:tcPr>
            <w:tcW w:w="955" w:type="dxa"/>
            <w:tcBorders>
              <w:tl2br w:val="nil"/>
              <w:tr2bl w:val="nil"/>
            </w:tcBorders>
            <w:shd w:val="clear" w:color="auto" w:fill="auto"/>
            <w:vAlign w:val="center"/>
          </w:tcPr>
          <w:p>
            <w:pPr>
              <w:jc w:val="lef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生物除臭土壤滤池</w:t>
            </w:r>
          </w:p>
        </w:tc>
        <w:tc>
          <w:tcPr>
            <w:tcW w:w="904" w:type="dxa"/>
            <w:tcBorders>
              <w:tl2br w:val="nil"/>
              <w:tr2bl w:val="nil"/>
            </w:tcBorders>
            <w:shd w:val="clear" w:color="auto" w:fill="auto"/>
            <w:vAlign w:val="center"/>
          </w:tcPr>
          <w:p>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甲烷</w:t>
            </w:r>
          </w:p>
        </w:tc>
        <w:tc>
          <w:tcPr>
            <w:tcW w:w="809" w:type="dxa"/>
            <w:tcBorders>
              <w:tl2br w:val="nil"/>
              <w:tr2bl w:val="nil"/>
            </w:tcBorders>
            <w:shd w:val="clear" w:color="auto" w:fill="auto"/>
            <w:vAlign w:val="center"/>
          </w:tcPr>
          <w:p>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手工</w:t>
            </w:r>
          </w:p>
        </w:tc>
        <w:tc>
          <w:tcPr>
            <w:tcW w:w="2983" w:type="dxa"/>
            <w:tcBorders>
              <w:tl2br w:val="nil"/>
              <w:tr2bl w:val="nil"/>
            </w:tcBorders>
            <w:shd w:val="clear" w:color="auto" w:fill="auto"/>
            <w:vAlign w:val="center"/>
          </w:tcPr>
          <w:p>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《城镇污水处理厂污染物排放标准》（GB18918-2002）二级标准排放</w:t>
            </w:r>
          </w:p>
        </w:tc>
        <w:tc>
          <w:tcPr>
            <w:tcW w:w="1418" w:type="dxa"/>
            <w:tcBorders>
              <w:tl2br w:val="nil"/>
              <w:tr2bl w:val="nil"/>
            </w:tcBorders>
            <w:shd w:val="clear" w:color="auto" w:fill="auto"/>
            <w:vAlign w:val="center"/>
          </w:tcPr>
          <w:p>
            <w:pPr>
              <w:widowControl/>
              <w:jc w:val="left"/>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上限:1%</w:t>
            </w:r>
          </w:p>
        </w:tc>
        <w:tc>
          <w:tcPr>
            <w:tcW w:w="1631" w:type="dxa"/>
            <w:tcBorders>
              <w:tl2br w:val="nil"/>
              <w:tr2bl w:val="nil"/>
            </w:tcBorders>
            <w:shd w:val="clear" w:color="auto" w:fill="auto"/>
            <w:vAlign w:val="center"/>
          </w:tcPr>
          <w:p>
            <w:pPr>
              <w:widowControl/>
              <w:jc w:val="left"/>
              <w:textAlignment w:val="center"/>
              <w:rPr>
                <w:rFonts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0.06</w:t>
            </w:r>
            <w:r>
              <w:rPr>
                <w:rFonts w:hint="eastAsia" w:ascii="宋体" w:hAnsi="宋体" w:eastAsia="宋体" w:cs="宋体"/>
                <w:color w:val="auto"/>
                <w:kern w:val="0"/>
                <w:sz w:val="24"/>
                <w:szCs w:val="24"/>
                <w:highlight w:val="none"/>
              </w:rPr>
              <w:t>mg/Nm</w:t>
            </w:r>
            <w:r>
              <w:rPr>
                <w:rFonts w:hint="eastAsia" w:ascii="宋体" w:hAnsi="宋体" w:eastAsia="宋体" w:cs="宋体"/>
                <w:color w:val="auto"/>
                <w:kern w:val="0"/>
                <w:sz w:val="24"/>
                <w:szCs w:val="24"/>
                <w:highlight w:val="none"/>
                <w:vertAlign w:val="superscript"/>
              </w:rPr>
              <w:t>3</w:t>
            </w:r>
          </w:p>
        </w:tc>
        <w:tc>
          <w:tcPr>
            <w:tcW w:w="1771" w:type="dxa"/>
            <w:tcBorders>
              <w:tl2br w:val="nil"/>
              <w:tr2bl w:val="nil"/>
            </w:tcBorders>
            <w:shd w:val="clear" w:color="auto" w:fill="auto"/>
            <w:vAlign w:val="center"/>
          </w:tcPr>
          <w:p>
            <w:pPr>
              <w:widowControl/>
              <w:jc w:val="left"/>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xml:space="preserve">非连续采样 </w:t>
            </w:r>
          </w:p>
          <w:p>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至少</w:t>
            </w:r>
            <w:r>
              <w:rPr>
                <w:rFonts w:ascii="宋体" w:hAnsi="宋体" w:eastAsia="宋体" w:cs="宋体"/>
                <w:color w:val="auto"/>
                <w:kern w:val="0"/>
                <w:sz w:val="24"/>
                <w:szCs w:val="24"/>
                <w:highlight w:val="none"/>
              </w:rPr>
              <w:t>4</w:t>
            </w:r>
            <w:r>
              <w:rPr>
                <w:rFonts w:hint="eastAsia" w:ascii="宋体" w:hAnsi="宋体" w:eastAsia="宋体" w:cs="宋体"/>
                <w:color w:val="auto"/>
                <w:kern w:val="0"/>
                <w:sz w:val="24"/>
                <w:szCs w:val="24"/>
                <w:highlight w:val="none"/>
              </w:rPr>
              <w:t>个</w:t>
            </w:r>
          </w:p>
        </w:tc>
        <w:tc>
          <w:tcPr>
            <w:tcW w:w="1701" w:type="dxa"/>
            <w:tcBorders>
              <w:tl2br w:val="nil"/>
              <w:tr2bl w:val="nil"/>
            </w:tcBorders>
            <w:shd w:val="clear" w:color="auto" w:fill="auto"/>
            <w:vAlign w:val="center"/>
          </w:tcPr>
          <w:p>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1次/年</w:t>
            </w:r>
          </w:p>
        </w:tc>
        <w:tc>
          <w:tcPr>
            <w:tcW w:w="3827" w:type="dxa"/>
            <w:tcBorders>
              <w:tl2br w:val="nil"/>
              <w:tr2bl w:val="nil"/>
            </w:tcBorders>
            <w:shd w:val="clear" w:color="auto" w:fill="auto"/>
            <w:vAlign w:val="center"/>
          </w:tcPr>
          <w:p>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 xml:space="preserve"> 环境空气 总烃、甲烷和非甲烷总烃的测定 直接进样-气相色谱法 HJ 604-2017</w:t>
            </w:r>
          </w:p>
        </w:tc>
        <w:tc>
          <w:tcPr>
            <w:tcW w:w="1984" w:type="dxa"/>
            <w:tcBorders>
              <w:tl2br w:val="nil"/>
              <w:tr2bl w:val="nil"/>
            </w:tcBorders>
            <w:shd w:val="clear" w:color="auto" w:fill="auto"/>
            <w:vAlign w:val="center"/>
          </w:tcPr>
          <w:p>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气相色谱仪</w:t>
            </w:r>
          </w:p>
        </w:tc>
        <w:tc>
          <w:tcPr>
            <w:tcW w:w="1843" w:type="dxa"/>
            <w:tcBorders>
              <w:tl2br w:val="nil"/>
              <w:tr2bl w:val="nil"/>
            </w:tcBorders>
            <w:shd w:val="clear" w:color="auto" w:fill="auto"/>
            <w:vAlign w:val="center"/>
          </w:tcPr>
          <w:p>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委托检测</w:t>
            </w:r>
          </w:p>
        </w:tc>
      </w:tr>
    </w:tbl>
    <w:p>
      <w:pPr>
        <w:adjustRightInd w:val="0"/>
        <w:snapToGrid w:val="0"/>
        <w:jc w:val="center"/>
        <w:rPr>
          <w:rFonts w:ascii="宋体" w:hAnsi="宋体" w:eastAsia="宋体" w:cs="宋体"/>
          <w:color w:val="auto"/>
          <w:sz w:val="28"/>
          <w:szCs w:val="28"/>
          <w:highlight w:val="none"/>
        </w:rPr>
      </w:pPr>
    </w:p>
    <w:p>
      <w:pPr>
        <w:widowControl/>
        <w:ind w:firstLine="560" w:firstLineChars="200"/>
        <w:jc w:val="left"/>
        <w:rPr>
          <w:rFonts w:ascii="宋体" w:hAnsi="宋体" w:eastAsia="宋体" w:cs="宋体"/>
          <w:color w:val="auto"/>
          <w:sz w:val="28"/>
          <w:szCs w:val="28"/>
          <w:highlight w:val="none"/>
        </w:rPr>
      </w:pPr>
    </w:p>
    <w:p>
      <w:pPr>
        <w:widowControl/>
        <w:ind w:firstLine="560" w:firstLineChars="200"/>
        <w:jc w:val="left"/>
        <w:rPr>
          <w:rFonts w:ascii="宋体" w:hAnsi="宋体" w:eastAsia="宋体" w:cs="宋体"/>
          <w:color w:val="auto"/>
          <w:sz w:val="28"/>
          <w:szCs w:val="28"/>
          <w:highlight w:val="none"/>
        </w:rPr>
      </w:pPr>
    </w:p>
    <w:p>
      <w:pPr>
        <w:widowControl/>
        <w:ind w:firstLine="560" w:firstLineChars="200"/>
        <w:jc w:val="left"/>
        <w:rPr>
          <w:rFonts w:ascii="宋体" w:hAnsi="宋体" w:eastAsia="宋体" w:cs="宋体"/>
          <w:color w:val="auto"/>
          <w:sz w:val="28"/>
          <w:szCs w:val="28"/>
          <w:highlight w:val="none"/>
        </w:rPr>
      </w:pPr>
    </w:p>
    <w:p>
      <w:pPr>
        <w:widowControl/>
        <w:ind w:firstLine="560" w:firstLineChars="200"/>
        <w:jc w:val="left"/>
        <w:rPr>
          <w:rFonts w:ascii="宋体" w:hAnsi="宋体" w:eastAsia="宋体" w:cs="宋体"/>
          <w:color w:val="auto"/>
          <w:sz w:val="28"/>
          <w:szCs w:val="28"/>
          <w:highlight w:val="none"/>
        </w:rPr>
      </w:pPr>
    </w:p>
    <w:p>
      <w:pPr>
        <w:widowControl/>
        <w:ind w:firstLine="560" w:firstLineChars="200"/>
        <w:jc w:val="left"/>
        <w:rPr>
          <w:rFonts w:ascii="宋体" w:hAnsi="宋体" w:eastAsia="宋体" w:cs="宋体"/>
          <w:color w:val="auto"/>
          <w:sz w:val="28"/>
          <w:szCs w:val="28"/>
          <w:highlight w:val="none"/>
        </w:rPr>
      </w:pPr>
    </w:p>
    <w:p>
      <w:pPr>
        <w:widowControl/>
        <w:ind w:firstLine="560" w:firstLineChars="200"/>
        <w:jc w:val="left"/>
        <w:rPr>
          <w:rFonts w:ascii="宋体" w:hAnsi="宋体" w:eastAsia="宋体" w:cs="宋体"/>
          <w:color w:val="auto"/>
          <w:sz w:val="28"/>
          <w:szCs w:val="28"/>
          <w:highlight w:val="none"/>
        </w:rPr>
      </w:pPr>
    </w:p>
    <w:p>
      <w:pPr>
        <w:widowControl/>
        <w:ind w:firstLine="560" w:firstLineChars="200"/>
        <w:jc w:val="left"/>
        <w:rPr>
          <w:rFonts w:ascii="宋体" w:hAnsi="宋体" w:eastAsia="宋体" w:cs="宋体"/>
          <w:color w:val="auto"/>
          <w:sz w:val="28"/>
          <w:szCs w:val="28"/>
          <w:highlight w:val="none"/>
        </w:rPr>
      </w:pPr>
    </w:p>
    <w:p>
      <w:pPr>
        <w:widowControl/>
        <w:jc w:val="left"/>
        <w:rPr>
          <w:rFonts w:ascii="宋体" w:hAnsi="宋体" w:eastAsia="宋体" w:cs="宋体"/>
          <w:color w:val="auto"/>
          <w:sz w:val="28"/>
          <w:szCs w:val="28"/>
          <w:highlight w:val="none"/>
        </w:rPr>
      </w:pPr>
    </w:p>
    <w:p>
      <w:pPr>
        <w:widowControl/>
        <w:jc w:val="left"/>
        <w:rPr>
          <w:rFonts w:ascii="宋体" w:hAnsi="宋体" w:eastAsia="宋体" w:cs="宋体"/>
          <w:color w:val="auto"/>
          <w:sz w:val="28"/>
          <w:szCs w:val="28"/>
          <w:highlight w:val="none"/>
        </w:rPr>
      </w:pPr>
    </w:p>
    <w:p>
      <w:pPr>
        <w:widowControl/>
        <w:jc w:val="left"/>
        <w:rPr>
          <w:rFonts w:ascii="宋体" w:hAnsi="宋体" w:eastAsia="宋体" w:cs="宋体"/>
          <w:color w:val="auto"/>
          <w:sz w:val="28"/>
          <w:szCs w:val="28"/>
          <w:highlight w:val="none"/>
        </w:rPr>
      </w:pPr>
      <w:r>
        <w:rPr>
          <w:rFonts w:ascii="宋体" w:hAnsi="宋体" w:eastAsia="宋体" w:cs="宋体"/>
          <w:color w:val="auto"/>
          <w:sz w:val="28"/>
          <w:szCs w:val="28"/>
          <w:highlight w:val="none"/>
        </w:rPr>
        <w:t>2</w:t>
      </w:r>
      <w:r>
        <w:rPr>
          <w:rFonts w:hint="eastAsia" w:ascii="宋体" w:hAnsi="宋体" w:eastAsia="宋体" w:cs="宋体"/>
          <w:color w:val="auto"/>
          <w:sz w:val="28"/>
          <w:szCs w:val="28"/>
          <w:highlight w:val="none"/>
        </w:rPr>
        <w:t>、废气有组织自行监测及记录信息表</w:t>
      </w:r>
    </w:p>
    <w:tbl>
      <w:tblPr>
        <w:tblStyle w:val="12"/>
        <w:tblW w:w="22159" w:type="dxa"/>
        <w:tblInd w:w="9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630"/>
        <w:gridCol w:w="986"/>
        <w:gridCol w:w="910"/>
        <w:gridCol w:w="808"/>
        <w:gridCol w:w="422"/>
        <w:gridCol w:w="1245"/>
        <w:gridCol w:w="2983"/>
        <w:gridCol w:w="1418"/>
        <w:gridCol w:w="1454"/>
        <w:gridCol w:w="1948"/>
        <w:gridCol w:w="1701"/>
        <w:gridCol w:w="3827"/>
        <w:gridCol w:w="1984"/>
        <w:gridCol w:w="184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90" w:hRule="atLeast"/>
          <w:tblHeader/>
        </w:trPr>
        <w:tc>
          <w:tcPr>
            <w:tcW w:w="630"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序号</w:t>
            </w:r>
          </w:p>
        </w:tc>
        <w:tc>
          <w:tcPr>
            <w:tcW w:w="986"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污染源类别/监测类别</w:t>
            </w:r>
          </w:p>
        </w:tc>
        <w:tc>
          <w:tcPr>
            <w:tcW w:w="910"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排放口编号/监测点位</w:t>
            </w:r>
          </w:p>
        </w:tc>
        <w:tc>
          <w:tcPr>
            <w:tcW w:w="808"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监测点位名称</w:t>
            </w:r>
          </w:p>
        </w:tc>
        <w:tc>
          <w:tcPr>
            <w:tcW w:w="422"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监测指标</w:t>
            </w:r>
          </w:p>
        </w:tc>
        <w:tc>
          <w:tcPr>
            <w:tcW w:w="1245"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监测设施</w:t>
            </w:r>
          </w:p>
        </w:tc>
        <w:tc>
          <w:tcPr>
            <w:tcW w:w="2983"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排放标准</w:t>
            </w:r>
          </w:p>
        </w:tc>
        <w:tc>
          <w:tcPr>
            <w:tcW w:w="1418"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排放限值</w:t>
            </w:r>
          </w:p>
        </w:tc>
        <w:tc>
          <w:tcPr>
            <w:tcW w:w="1454"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方法检出限</w:t>
            </w:r>
          </w:p>
        </w:tc>
        <w:tc>
          <w:tcPr>
            <w:tcW w:w="1948"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手工监测采样方法及个数</w:t>
            </w:r>
          </w:p>
        </w:tc>
        <w:tc>
          <w:tcPr>
            <w:tcW w:w="1701"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手工监测频次</w:t>
            </w:r>
          </w:p>
        </w:tc>
        <w:tc>
          <w:tcPr>
            <w:tcW w:w="3827"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手工测定方法</w:t>
            </w:r>
          </w:p>
        </w:tc>
        <w:tc>
          <w:tcPr>
            <w:tcW w:w="1984"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手工检测设备</w:t>
            </w:r>
          </w:p>
        </w:tc>
        <w:tc>
          <w:tcPr>
            <w:tcW w:w="1843"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其他信息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450" w:hRule="atLeast"/>
        </w:trPr>
        <w:tc>
          <w:tcPr>
            <w:tcW w:w="630"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1</w:t>
            </w:r>
          </w:p>
        </w:tc>
        <w:tc>
          <w:tcPr>
            <w:tcW w:w="986"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shd w:val="clear" w:color="auto" w:fill="auto"/>
              </w:rPr>
              <w:t>废气</w:t>
            </w:r>
          </w:p>
        </w:tc>
        <w:tc>
          <w:tcPr>
            <w:tcW w:w="910" w:type="dxa"/>
            <w:tcBorders>
              <w:tl2br w:val="nil"/>
              <w:tr2bl w:val="nil"/>
            </w:tcBorders>
            <w:shd w:val="clear" w:color="auto" w:fill="auto"/>
            <w:vAlign w:val="center"/>
          </w:tcPr>
          <w:p>
            <w:pPr>
              <w:widowControl/>
              <w:jc w:val="center"/>
              <w:textAlignment w:val="center"/>
              <w:rPr>
                <w:rFonts w:hint="eastAsia"/>
                <w:color w:val="auto"/>
                <w:highlight w:val="none"/>
                <w:shd w:val="clear" w:color="auto" w:fill="auto"/>
                <w:lang w:val="en-US" w:eastAsia="zh-CN"/>
              </w:rPr>
            </w:pPr>
            <w:r>
              <w:rPr>
                <w:rFonts w:hint="eastAsia"/>
                <w:color w:val="auto"/>
                <w:highlight w:val="none"/>
                <w:shd w:val="clear" w:color="auto" w:fill="auto"/>
                <w:lang w:val="en-US" w:eastAsia="zh-CN"/>
              </w:rPr>
              <w:t>DA001</w:t>
            </w:r>
          </w:p>
          <w:p>
            <w:pPr>
              <w:pStyle w:val="2"/>
              <w:rPr>
                <w:rFonts w:hint="default"/>
                <w:color w:val="auto"/>
                <w:highlight w:val="none"/>
                <w:lang w:val="en-US" w:eastAsia="zh-CN"/>
              </w:rPr>
            </w:pPr>
          </w:p>
        </w:tc>
        <w:tc>
          <w:tcPr>
            <w:tcW w:w="808" w:type="dxa"/>
            <w:tcBorders>
              <w:tl2br w:val="nil"/>
              <w:tr2bl w:val="nil"/>
            </w:tcBorders>
            <w:shd w:val="clear" w:color="auto" w:fill="auto"/>
            <w:vAlign w:val="center"/>
          </w:tcPr>
          <w:p>
            <w:pPr>
              <w:widowControl/>
              <w:jc w:val="center"/>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除臭系统排气筒</w:t>
            </w:r>
            <w:r>
              <w:rPr>
                <w:rFonts w:hint="eastAsia" w:ascii="宋体" w:hAnsi="宋体" w:eastAsia="宋体" w:cs="宋体"/>
                <w:color w:val="auto"/>
                <w:sz w:val="24"/>
                <w:szCs w:val="24"/>
                <w:highlight w:val="none"/>
                <w:lang w:val="en-US" w:eastAsia="zh-CN"/>
              </w:rPr>
              <w:t>1</w:t>
            </w:r>
          </w:p>
        </w:tc>
        <w:tc>
          <w:tcPr>
            <w:tcW w:w="422"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臭气浓度</w:t>
            </w:r>
          </w:p>
        </w:tc>
        <w:tc>
          <w:tcPr>
            <w:tcW w:w="1245"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手工</w:t>
            </w:r>
          </w:p>
        </w:tc>
        <w:tc>
          <w:tcPr>
            <w:tcW w:w="2983"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ascii="宋体" w:hAnsi="宋体" w:eastAsia="宋体" w:cs="宋体"/>
                <w:color w:val="auto"/>
                <w:kern w:val="0"/>
                <w:sz w:val="24"/>
                <w:szCs w:val="24"/>
                <w:highlight w:val="none"/>
              </w:rPr>
              <w:t>《恶臭污染物排放标准》(GB14554-93)</w:t>
            </w:r>
            <w:r>
              <w:rPr>
                <w:rFonts w:hint="eastAsia" w:ascii="宋体" w:hAnsi="宋体" w:eastAsia="宋体" w:cs="宋体"/>
                <w:color w:val="auto"/>
                <w:kern w:val="0"/>
                <w:sz w:val="24"/>
                <w:szCs w:val="24"/>
                <w:highlight w:val="none"/>
              </w:rPr>
              <w:t>表2排放限值</w:t>
            </w:r>
          </w:p>
        </w:tc>
        <w:tc>
          <w:tcPr>
            <w:tcW w:w="1418"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上限:2</w:t>
            </w:r>
            <w:r>
              <w:rPr>
                <w:rFonts w:ascii="宋体" w:hAnsi="宋体" w:eastAsia="宋体" w:cs="宋体"/>
                <w:color w:val="auto"/>
                <w:kern w:val="0"/>
                <w:sz w:val="24"/>
                <w:szCs w:val="24"/>
                <w:highlight w:val="none"/>
              </w:rPr>
              <w:t>00</w:t>
            </w:r>
            <w:r>
              <w:rPr>
                <w:rFonts w:hint="eastAsia" w:ascii="宋体" w:hAnsi="宋体" w:eastAsia="宋体" w:cs="宋体"/>
                <w:color w:val="auto"/>
                <w:kern w:val="0"/>
                <w:sz w:val="24"/>
                <w:szCs w:val="24"/>
                <w:highlight w:val="none"/>
              </w:rPr>
              <w:t>0（无量纲）（</w:t>
            </w:r>
            <w:r>
              <w:rPr>
                <w:rFonts w:hint="eastAsia" w:ascii="宋体" w:hAnsi="宋体" w:eastAsia="宋体" w:cs="宋体"/>
                <w:color w:val="auto"/>
                <w:kern w:val="0"/>
                <w:sz w:val="24"/>
                <w:szCs w:val="24"/>
                <w:highlight w:val="none"/>
                <w:lang w:val="en-US" w:eastAsia="zh-CN"/>
              </w:rPr>
              <w:t>15M</w:t>
            </w:r>
            <w:r>
              <w:rPr>
                <w:rFonts w:ascii="宋体" w:hAnsi="宋体" w:eastAsia="宋体" w:cs="宋体"/>
                <w:color w:val="auto"/>
                <w:kern w:val="0"/>
                <w:sz w:val="24"/>
                <w:szCs w:val="24"/>
                <w:highlight w:val="none"/>
              </w:rPr>
              <w:t>）</w:t>
            </w:r>
          </w:p>
        </w:tc>
        <w:tc>
          <w:tcPr>
            <w:tcW w:w="1454" w:type="dxa"/>
            <w:tcBorders>
              <w:tl2br w:val="nil"/>
              <w:tr2bl w:val="nil"/>
            </w:tcBorders>
            <w:shd w:val="clear" w:color="auto" w:fill="auto"/>
            <w:vAlign w:val="center"/>
          </w:tcPr>
          <w:p>
            <w:pPr>
              <w:widowControl/>
              <w:jc w:val="center"/>
              <w:textAlignment w:val="center"/>
              <w:rPr>
                <w:rFonts w:hint="default"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10（无量纲）</w:t>
            </w:r>
          </w:p>
        </w:tc>
        <w:tc>
          <w:tcPr>
            <w:tcW w:w="1948"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xml:space="preserve">非连续采样 </w:t>
            </w:r>
          </w:p>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至少</w:t>
            </w:r>
            <w:r>
              <w:rPr>
                <w:rFonts w:hint="eastAsia" w:ascii="宋体" w:hAnsi="宋体" w:eastAsia="宋体" w:cs="宋体"/>
                <w:color w:val="auto"/>
                <w:kern w:val="0"/>
                <w:sz w:val="24"/>
                <w:szCs w:val="24"/>
                <w:highlight w:val="none"/>
                <w:lang w:val="en-US" w:eastAsia="zh-CN" w:bidi="ar"/>
              </w:rPr>
              <w:t>4</w:t>
            </w:r>
            <w:r>
              <w:rPr>
                <w:rFonts w:hint="eastAsia" w:ascii="宋体" w:hAnsi="宋体" w:eastAsia="宋体" w:cs="宋体"/>
                <w:color w:val="auto"/>
                <w:kern w:val="0"/>
                <w:sz w:val="24"/>
                <w:szCs w:val="24"/>
                <w:highlight w:val="none"/>
                <w:lang w:bidi="ar"/>
              </w:rPr>
              <w:t>个</w:t>
            </w:r>
          </w:p>
        </w:tc>
        <w:tc>
          <w:tcPr>
            <w:tcW w:w="1701"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1次/半年</w:t>
            </w:r>
          </w:p>
        </w:tc>
        <w:tc>
          <w:tcPr>
            <w:tcW w:w="3827"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《空气质量 恶臭的测定 三点比较式臭袋法》GB/T 14675-1993</w:t>
            </w:r>
          </w:p>
        </w:tc>
        <w:tc>
          <w:tcPr>
            <w:tcW w:w="1984" w:type="dxa"/>
            <w:tcBorders>
              <w:tl2br w:val="nil"/>
              <w:tr2bl w:val="nil"/>
            </w:tcBorders>
            <w:shd w:val="clear" w:color="auto" w:fill="auto"/>
            <w:vAlign w:val="center"/>
          </w:tcPr>
          <w:p>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w:t>
            </w:r>
          </w:p>
        </w:tc>
        <w:tc>
          <w:tcPr>
            <w:tcW w:w="1843" w:type="dxa"/>
            <w:tcBorders>
              <w:tl2br w:val="nil"/>
              <w:tr2bl w:val="nil"/>
            </w:tcBorders>
            <w:shd w:val="clear" w:color="auto" w:fill="auto"/>
            <w:vAlign w:val="center"/>
          </w:tcPr>
          <w:p>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委托检测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557" w:hRule="atLeast"/>
        </w:trPr>
        <w:tc>
          <w:tcPr>
            <w:tcW w:w="630" w:type="dxa"/>
            <w:tcBorders>
              <w:tl2br w:val="nil"/>
              <w:tr2bl w:val="nil"/>
            </w:tcBorders>
            <w:shd w:val="clear" w:color="auto" w:fill="auto"/>
            <w:vAlign w:val="center"/>
          </w:tcPr>
          <w:p>
            <w:pPr>
              <w:widowControl/>
              <w:jc w:val="center"/>
              <w:textAlignment w:val="center"/>
              <w:rPr>
                <w:color w:val="auto"/>
                <w:highlight w:val="none"/>
              </w:rPr>
            </w:pPr>
            <w:r>
              <w:rPr>
                <w:rFonts w:hint="eastAsia"/>
                <w:color w:val="auto"/>
                <w:highlight w:val="none"/>
              </w:rPr>
              <w:t>2</w:t>
            </w:r>
          </w:p>
        </w:tc>
        <w:tc>
          <w:tcPr>
            <w:tcW w:w="986"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shd w:val="clear" w:color="auto" w:fill="auto"/>
              </w:rPr>
              <w:t>废气</w:t>
            </w:r>
          </w:p>
        </w:tc>
        <w:tc>
          <w:tcPr>
            <w:tcW w:w="910" w:type="dxa"/>
            <w:tcBorders>
              <w:tl2br w:val="nil"/>
              <w:tr2bl w:val="nil"/>
            </w:tcBorders>
            <w:shd w:val="clear" w:color="auto" w:fill="auto"/>
            <w:vAlign w:val="center"/>
          </w:tcPr>
          <w:p>
            <w:pPr>
              <w:widowControl/>
              <w:jc w:val="center"/>
              <w:textAlignment w:val="center"/>
              <w:rPr>
                <w:rFonts w:hint="eastAsia"/>
                <w:color w:val="auto"/>
                <w:highlight w:val="none"/>
                <w:shd w:val="clear" w:color="auto" w:fill="auto"/>
                <w:lang w:val="en-US" w:eastAsia="zh-CN"/>
              </w:rPr>
            </w:pPr>
            <w:r>
              <w:rPr>
                <w:rFonts w:hint="eastAsia"/>
                <w:color w:val="auto"/>
                <w:highlight w:val="none"/>
                <w:shd w:val="clear" w:color="auto" w:fill="auto"/>
                <w:lang w:val="en-US" w:eastAsia="zh-CN"/>
              </w:rPr>
              <w:t>DA001</w:t>
            </w:r>
          </w:p>
          <w:p>
            <w:pPr>
              <w:widowControl/>
              <w:jc w:val="center"/>
              <w:textAlignment w:val="center"/>
              <w:rPr>
                <w:rFonts w:ascii="宋体" w:hAnsi="宋体" w:eastAsia="宋体" w:cs="宋体"/>
                <w:color w:val="auto"/>
                <w:sz w:val="24"/>
                <w:szCs w:val="24"/>
                <w:highlight w:val="none"/>
              </w:rPr>
            </w:pPr>
          </w:p>
        </w:tc>
        <w:tc>
          <w:tcPr>
            <w:tcW w:w="808" w:type="dxa"/>
            <w:tcBorders>
              <w:tl2br w:val="nil"/>
              <w:tr2bl w:val="nil"/>
            </w:tcBorders>
            <w:shd w:val="clear" w:color="auto" w:fill="auto"/>
            <w:vAlign w:val="center"/>
          </w:tcPr>
          <w:p>
            <w:pPr>
              <w:widowControl/>
              <w:jc w:val="center"/>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除臭系统排气筒</w:t>
            </w:r>
            <w:r>
              <w:rPr>
                <w:rFonts w:hint="eastAsia" w:ascii="宋体" w:hAnsi="宋体" w:eastAsia="宋体" w:cs="宋体"/>
                <w:color w:val="auto"/>
                <w:sz w:val="24"/>
                <w:szCs w:val="24"/>
                <w:highlight w:val="none"/>
                <w:lang w:val="en-US" w:eastAsia="zh-CN"/>
              </w:rPr>
              <w:t>1</w:t>
            </w:r>
          </w:p>
        </w:tc>
        <w:tc>
          <w:tcPr>
            <w:tcW w:w="422"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氨</w:t>
            </w:r>
          </w:p>
        </w:tc>
        <w:tc>
          <w:tcPr>
            <w:tcW w:w="1245"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手工</w:t>
            </w:r>
          </w:p>
        </w:tc>
        <w:tc>
          <w:tcPr>
            <w:tcW w:w="2983"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ascii="宋体" w:hAnsi="宋体" w:eastAsia="宋体" w:cs="宋体"/>
                <w:color w:val="auto"/>
                <w:kern w:val="0"/>
                <w:sz w:val="24"/>
                <w:szCs w:val="24"/>
                <w:highlight w:val="none"/>
              </w:rPr>
              <w:t>《恶臭污染物排放标准》(GB14554-93)</w:t>
            </w:r>
            <w:r>
              <w:rPr>
                <w:rFonts w:hint="eastAsia" w:ascii="宋体" w:hAnsi="宋体" w:eastAsia="宋体" w:cs="宋体"/>
                <w:color w:val="auto"/>
                <w:kern w:val="0"/>
                <w:sz w:val="24"/>
                <w:szCs w:val="24"/>
                <w:highlight w:val="none"/>
              </w:rPr>
              <w:t xml:space="preserve"> 表2排放限值</w:t>
            </w:r>
          </w:p>
        </w:tc>
        <w:tc>
          <w:tcPr>
            <w:tcW w:w="1418"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上限:</w:t>
            </w:r>
          </w:p>
          <w:p>
            <w:pPr>
              <w:widowControl/>
              <w:jc w:val="center"/>
              <w:textAlignment w:val="center"/>
              <w:rPr>
                <w:rFonts w:ascii="宋体" w:hAnsi="宋体" w:eastAsia="宋体" w:cs="宋体"/>
                <w:color w:val="auto"/>
                <w:kern w:val="0"/>
                <w:sz w:val="24"/>
                <w:szCs w:val="24"/>
                <w:highlight w:val="none"/>
              </w:rPr>
            </w:pPr>
            <w:r>
              <w:rPr>
                <w:rFonts w:ascii="宋体" w:hAnsi="宋体" w:eastAsia="宋体" w:cs="宋体"/>
                <w:color w:val="auto"/>
                <w:kern w:val="0"/>
                <w:sz w:val="24"/>
                <w:szCs w:val="24"/>
                <w:highlight w:val="none"/>
              </w:rPr>
              <w:t>4.9</w:t>
            </w:r>
            <w:r>
              <w:rPr>
                <w:rFonts w:hint="eastAsia" w:ascii="宋体" w:hAnsi="宋体" w:eastAsia="宋体" w:cs="宋体"/>
                <w:color w:val="auto"/>
                <w:kern w:val="0"/>
                <w:sz w:val="24"/>
                <w:szCs w:val="24"/>
                <w:highlight w:val="none"/>
              </w:rPr>
              <w:t xml:space="preserve"> kg</w:t>
            </w:r>
            <w:r>
              <w:rPr>
                <w:rFonts w:ascii="宋体" w:hAnsi="宋体" w:eastAsia="宋体" w:cs="宋体"/>
                <w:color w:val="auto"/>
                <w:kern w:val="0"/>
                <w:sz w:val="24"/>
                <w:szCs w:val="24"/>
                <w:highlight w:val="none"/>
              </w:rPr>
              <w:t>/</w:t>
            </w:r>
            <w:r>
              <w:rPr>
                <w:rFonts w:hint="eastAsia" w:ascii="宋体" w:hAnsi="宋体" w:eastAsia="宋体" w:cs="宋体"/>
                <w:color w:val="auto"/>
                <w:kern w:val="0"/>
                <w:sz w:val="24"/>
                <w:szCs w:val="24"/>
                <w:highlight w:val="none"/>
              </w:rPr>
              <w:t>h（</w:t>
            </w:r>
            <w:r>
              <w:rPr>
                <w:rFonts w:hint="eastAsia" w:ascii="宋体" w:hAnsi="宋体" w:eastAsia="宋体" w:cs="宋体"/>
                <w:color w:val="auto"/>
                <w:kern w:val="0"/>
                <w:sz w:val="24"/>
                <w:szCs w:val="24"/>
                <w:highlight w:val="none"/>
                <w:lang w:val="en-US" w:eastAsia="zh-CN"/>
              </w:rPr>
              <w:t>15M</w:t>
            </w:r>
            <w:r>
              <w:rPr>
                <w:rFonts w:ascii="宋体" w:hAnsi="宋体" w:eastAsia="宋体" w:cs="宋体"/>
                <w:color w:val="auto"/>
                <w:kern w:val="0"/>
                <w:sz w:val="24"/>
                <w:szCs w:val="24"/>
                <w:highlight w:val="none"/>
              </w:rPr>
              <w:t>）</w:t>
            </w:r>
          </w:p>
        </w:tc>
        <w:tc>
          <w:tcPr>
            <w:tcW w:w="1454" w:type="dxa"/>
            <w:tcBorders>
              <w:tl2br w:val="nil"/>
              <w:tr2bl w:val="nil"/>
            </w:tcBorders>
            <w:shd w:val="clear" w:color="auto" w:fill="auto"/>
            <w:vAlign w:val="center"/>
          </w:tcPr>
          <w:p>
            <w:pPr>
              <w:widowControl/>
              <w:jc w:val="center"/>
              <w:textAlignment w:val="center"/>
              <w:rPr>
                <w:rFonts w:hint="default" w:ascii="宋体" w:hAnsi="宋体" w:eastAsia="宋体" w:cs="宋体"/>
                <w:color w:val="auto"/>
                <w:kern w:val="0"/>
                <w:sz w:val="24"/>
                <w:szCs w:val="24"/>
                <w:highlight w:val="none"/>
                <w:lang w:val="en-US" w:eastAsia="zh-CN"/>
              </w:rPr>
            </w:pPr>
            <w:r>
              <w:rPr>
                <w:rFonts w:hint="eastAsia" w:ascii="宋体" w:hAnsi="宋体" w:eastAsia="宋体" w:cs="宋体"/>
                <w:color w:val="auto"/>
                <w:sz w:val="24"/>
                <w:szCs w:val="24"/>
              </w:rPr>
              <w:t>0.01</w:t>
            </w:r>
            <w:r>
              <w:rPr>
                <w:rFonts w:hint="eastAsia" w:ascii="宋体" w:hAnsi="宋体" w:eastAsia="宋体" w:cs="宋体"/>
                <w:color w:val="auto"/>
                <w:kern w:val="0"/>
                <w:sz w:val="24"/>
                <w:szCs w:val="24"/>
              </w:rPr>
              <w:t>mg/Nm</w:t>
            </w:r>
            <w:r>
              <w:rPr>
                <w:rFonts w:hint="eastAsia" w:ascii="宋体" w:hAnsi="宋体" w:eastAsia="宋体" w:cs="宋体"/>
                <w:color w:val="auto"/>
                <w:kern w:val="0"/>
                <w:sz w:val="24"/>
                <w:szCs w:val="24"/>
                <w:vertAlign w:val="superscript"/>
              </w:rPr>
              <w:t>3</w:t>
            </w:r>
          </w:p>
        </w:tc>
        <w:tc>
          <w:tcPr>
            <w:tcW w:w="1948"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xml:space="preserve">非连续采样 </w:t>
            </w:r>
          </w:p>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至少</w:t>
            </w:r>
            <w:r>
              <w:rPr>
                <w:rFonts w:hint="eastAsia" w:ascii="宋体" w:hAnsi="宋体" w:eastAsia="宋体" w:cs="宋体"/>
                <w:color w:val="auto"/>
                <w:kern w:val="0"/>
                <w:sz w:val="24"/>
                <w:szCs w:val="24"/>
                <w:highlight w:val="none"/>
                <w:lang w:val="en-US" w:eastAsia="zh-CN" w:bidi="ar"/>
              </w:rPr>
              <w:t>4</w:t>
            </w:r>
            <w:r>
              <w:rPr>
                <w:rFonts w:hint="eastAsia" w:ascii="宋体" w:hAnsi="宋体" w:eastAsia="宋体" w:cs="宋体"/>
                <w:color w:val="auto"/>
                <w:kern w:val="0"/>
                <w:sz w:val="24"/>
                <w:szCs w:val="24"/>
                <w:highlight w:val="none"/>
                <w:lang w:bidi="ar"/>
              </w:rPr>
              <w:t>个</w:t>
            </w:r>
          </w:p>
        </w:tc>
        <w:tc>
          <w:tcPr>
            <w:tcW w:w="1701"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1次/半年</w:t>
            </w:r>
          </w:p>
        </w:tc>
        <w:tc>
          <w:tcPr>
            <w:tcW w:w="3827"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环境空气和废气 氨的测定纳氏试剂分光光度法 HJ 533-2009</w:t>
            </w:r>
          </w:p>
        </w:tc>
        <w:tc>
          <w:tcPr>
            <w:tcW w:w="1984" w:type="dxa"/>
            <w:tcBorders>
              <w:tl2br w:val="nil"/>
              <w:tr2bl w:val="nil"/>
            </w:tcBorders>
            <w:shd w:val="clear" w:color="auto" w:fill="auto"/>
            <w:vAlign w:val="center"/>
          </w:tcPr>
          <w:p>
            <w:pPr>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紫外分光光度计</w:t>
            </w:r>
          </w:p>
        </w:tc>
        <w:tc>
          <w:tcPr>
            <w:tcW w:w="1843" w:type="dxa"/>
            <w:tcBorders>
              <w:tl2br w:val="nil"/>
              <w:tr2bl w:val="nil"/>
            </w:tcBorders>
            <w:shd w:val="clear" w:color="auto" w:fill="auto"/>
            <w:vAlign w:val="center"/>
          </w:tcPr>
          <w:p>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委托检测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557" w:hRule="atLeast"/>
        </w:trPr>
        <w:tc>
          <w:tcPr>
            <w:tcW w:w="630"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w:t>
            </w:r>
          </w:p>
        </w:tc>
        <w:tc>
          <w:tcPr>
            <w:tcW w:w="986"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shd w:val="clear" w:color="auto" w:fill="auto"/>
              </w:rPr>
              <w:t>废气</w:t>
            </w:r>
          </w:p>
        </w:tc>
        <w:tc>
          <w:tcPr>
            <w:tcW w:w="910" w:type="dxa"/>
            <w:tcBorders>
              <w:tl2br w:val="nil"/>
              <w:tr2bl w:val="nil"/>
            </w:tcBorders>
            <w:shd w:val="clear" w:color="auto" w:fill="auto"/>
            <w:vAlign w:val="center"/>
          </w:tcPr>
          <w:p>
            <w:pPr>
              <w:widowControl/>
              <w:jc w:val="center"/>
              <w:textAlignment w:val="center"/>
              <w:rPr>
                <w:rFonts w:hint="eastAsia"/>
                <w:color w:val="auto"/>
                <w:highlight w:val="none"/>
                <w:shd w:val="clear" w:color="auto" w:fill="auto"/>
                <w:lang w:val="en-US" w:eastAsia="zh-CN"/>
              </w:rPr>
            </w:pPr>
            <w:r>
              <w:rPr>
                <w:rFonts w:hint="eastAsia"/>
                <w:color w:val="auto"/>
                <w:highlight w:val="none"/>
                <w:shd w:val="clear" w:color="auto" w:fill="auto"/>
                <w:lang w:val="en-US" w:eastAsia="zh-CN"/>
              </w:rPr>
              <w:t>DA001</w:t>
            </w:r>
          </w:p>
          <w:p>
            <w:pPr>
              <w:widowControl/>
              <w:jc w:val="center"/>
              <w:textAlignment w:val="center"/>
              <w:rPr>
                <w:rFonts w:ascii="宋体" w:hAnsi="宋体" w:eastAsia="宋体" w:cs="宋体"/>
                <w:color w:val="auto"/>
                <w:sz w:val="24"/>
                <w:szCs w:val="24"/>
                <w:highlight w:val="none"/>
              </w:rPr>
            </w:pPr>
          </w:p>
        </w:tc>
        <w:tc>
          <w:tcPr>
            <w:tcW w:w="808" w:type="dxa"/>
            <w:tcBorders>
              <w:tl2br w:val="nil"/>
              <w:tr2bl w:val="nil"/>
            </w:tcBorders>
            <w:shd w:val="clear" w:color="auto" w:fill="auto"/>
            <w:vAlign w:val="center"/>
          </w:tcPr>
          <w:p>
            <w:pPr>
              <w:widowControl/>
              <w:jc w:val="center"/>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除臭系统排气筒</w:t>
            </w:r>
            <w:r>
              <w:rPr>
                <w:rFonts w:hint="eastAsia" w:ascii="宋体" w:hAnsi="宋体" w:eastAsia="宋体" w:cs="宋体"/>
                <w:color w:val="auto"/>
                <w:sz w:val="24"/>
                <w:szCs w:val="24"/>
                <w:highlight w:val="none"/>
                <w:lang w:val="en-US" w:eastAsia="zh-CN"/>
              </w:rPr>
              <w:t>1</w:t>
            </w:r>
          </w:p>
        </w:tc>
        <w:tc>
          <w:tcPr>
            <w:tcW w:w="422"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硫化氢</w:t>
            </w:r>
          </w:p>
        </w:tc>
        <w:tc>
          <w:tcPr>
            <w:tcW w:w="1245"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手工</w:t>
            </w:r>
          </w:p>
        </w:tc>
        <w:tc>
          <w:tcPr>
            <w:tcW w:w="2983"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ascii="宋体" w:hAnsi="宋体" w:eastAsia="宋体" w:cs="宋体"/>
                <w:color w:val="auto"/>
                <w:kern w:val="0"/>
                <w:sz w:val="24"/>
                <w:szCs w:val="24"/>
                <w:highlight w:val="none"/>
              </w:rPr>
              <w:t>《恶臭污染物排放标准》(GB14554-93)</w:t>
            </w:r>
            <w:r>
              <w:rPr>
                <w:rFonts w:hint="eastAsia" w:ascii="宋体" w:hAnsi="宋体" w:eastAsia="宋体" w:cs="宋体"/>
                <w:color w:val="auto"/>
                <w:kern w:val="0"/>
                <w:sz w:val="24"/>
                <w:szCs w:val="24"/>
                <w:highlight w:val="none"/>
              </w:rPr>
              <w:t xml:space="preserve"> 表2排放限值</w:t>
            </w:r>
          </w:p>
        </w:tc>
        <w:tc>
          <w:tcPr>
            <w:tcW w:w="1418"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上限:</w:t>
            </w:r>
          </w:p>
          <w:p>
            <w:pPr>
              <w:widowControl/>
              <w:jc w:val="center"/>
              <w:textAlignment w:val="center"/>
              <w:rPr>
                <w:rFonts w:ascii="宋体" w:hAnsi="宋体" w:eastAsia="宋体" w:cs="宋体"/>
                <w:color w:val="auto"/>
                <w:kern w:val="0"/>
                <w:sz w:val="24"/>
                <w:szCs w:val="24"/>
                <w:highlight w:val="none"/>
              </w:rPr>
            </w:pPr>
            <w:r>
              <w:rPr>
                <w:rFonts w:ascii="宋体" w:hAnsi="宋体" w:eastAsia="宋体" w:cs="宋体"/>
                <w:color w:val="auto"/>
                <w:kern w:val="0"/>
                <w:sz w:val="24"/>
                <w:szCs w:val="24"/>
                <w:highlight w:val="none"/>
              </w:rPr>
              <w:t>0.33</w:t>
            </w:r>
            <w:r>
              <w:rPr>
                <w:rFonts w:hint="eastAsia" w:ascii="宋体" w:hAnsi="宋体" w:eastAsia="宋体" w:cs="宋体"/>
                <w:color w:val="auto"/>
                <w:kern w:val="0"/>
                <w:sz w:val="24"/>
                <w:szCs w:val="24"/>
                <w:highlight w:val="none"/>
              </w:rPr>
              <w:t>kg</w:t>
            </w:r>
            <w:r>
              <w:rPr>
                <w:rFonts w:ascii="宋体" w:hAnsi="宋体" w:eastAsia="宋体" w:cs="宋体"/>
                <w:color w:val="auto"/>
                <w:kern w:val="0"/>
                <w:sz w:val="24"/>
                <w:szCs w:val="24"/>
                <w:highlight w:val="none"/>
              </w:rPr>
              <w:t>/</w:t>
            </w:r>
            <w:r>
              <w:rPr>
                <w:rFonts w:hint="eastAsia" w:ascii="宋体" w:hAnsi="宋体" w:eastAsia="宋体" w:cs="宋体"/>
                <w:color w:val="auto"/>
                <w:kern w:val="0"/>
                <w:sz w:val="24"/>
                <w:szCs w:val="24"/>
                <w:highlight w:val="none"/>
              </w:rPr>
              <w:t>h（</w:t>
            </w:r>
            <w:r>
              <w:rPr>
                <w:rFonts w:hint="eastAsia" w:ascii="宋体" w:hAnsi="宋体" w:eastAsia="宋体" w:cs="宋体"/>
                <w:color w:val="auto"/>
                <w:kern w:val="0"/>
                <w:sz w:val="24"/>
                <w:szCs w:val="24"/>
                <w:highlight w:val="none"/>
                <w:lang w:val="en-US" w:eastAsia="zh-CN"/>
              </w:rPr>
              <w:t>15M</w:t>
            </w:r>
            <w:r>
              <w:rPr>
                <w:rFonts w:ascii="宋体" w:hAnsi="宋体" w:eastAsia="宋体" w:cs="宋体"/>
                <w:color w:val="auto"/>
                <w:kern w:val="0"/>
                <w:sz w:val="24"/>
                <w:szCs w:val="24"/>
                <w:highlight w:val="none"/>
              </w:rPr>
              <w:t>）</w:t>
            </w:r>
          </w:p>
        </w:tc>
        <w:tc>
          <w:tcPr>
            <w:tcW w:w="1454"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0.001</w:t>
            </w:r>
            <w:r>
              <w:rPr>
                <w:rFonts w:hint="eastAsia" w:ascii="宋体" w:hAnsi="宋体" w:eastAsia="宋体" w:cs="宋体"/>
                <w:color w:val="auto"/>
                <w:kern w:val="0"/>
                <w:sz w:val="24"/>
                <w:szCs w:val="24"/>
              </w:rPr>
              <w:t>mg/Nm</w:t>
            </w:r>
            <w:r>
              <w:rPr>
                <w:rFonts w:hint="eastAsia" w:ascii="宋体" w:hAnsi="宋体" w:eastAsia="宋体" w:cs="宋体"/>
                <w:color w:val="auto"/>
                <w:kern w:val="0"/>
                <w:sz w:val="24"/>
                <w:szCs w:val="24"/>
                <w:vertAlign w:val="superscript"/>
              </w:rPr>
              <w:t>3</w:t>
            </w:r>
          </w:p>
        </w:tc>
        <w:tc>
          <w:tcPr>
            <w:tcW w:w="1948"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xml:space="preserve">非连续采样 </w:t>
            </w:r>
          </w:p>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至少</w:t>
            </w:r>
            <w:r>
              <w:rPr>
                <w:rFonts w:hint="eastAsia" w:ascii="宋体" w:hAnsi="宋体" w:eastAsia="宋体" w:cs="宋体"/>
                <w:color w:val="auto"/>
                <w:kern w:val="0"/>
                <w:sz w:val="24"/>
                <w:szCs w:val="24"/>
                <w:highlight w:val="none"/>
                <w:lang w:val="en-US" w:eastAsia="zh-CN" w:bidi="ar"/>
              </w:rPr>
              <w:t>4</w:t>
            </w:r>
            <w:r>
              <w:rPr>
                <w:rFonts w:hint="eastAsia" w:ascii="宋体" w:hAnsi="宋体" w:eastAsia="宋体" w:cs="宋体"/>
                <w:color w:val="auto"/>
                <w:kern w:val="0"/>
                <w:sz w:val="24"/>
                <w:szCs w:val="24"/>
                <w:highlight w:val="none"/>
                <w:lang w:bidi="ar"/>
              </w:rPr>
              <w:t>个</w:t>
            </w:r>
          </w:p>
        </w:tc>
        <w:tc>
          <w:tcPr>
            <w:tcW w:w="1701"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1次/半年</w:t>
            </w:r>
          </w:p>
        </w:tc>
        <w:tc>
          <w:tcPr>
            <w:tcW w:w="3827"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《空气和废气监测分析方法》（第四版）国家环境保护总局（2003年）5.4.10（3）中的硫化氢亚甲蓝分光光度法</w:t>
            </w:r>
          </w:p>
        </w:tc>
        <w:tc>
          <w:tcPr>
            <w:tcW w:w="1984" w:type="dxa"/>
            <w:tcBorders>
              <w:tl2br w:val="nil"/>
              <w:tr2bl w:val="nil"/>
            </w:tcBorders>
            <w:shd w:val="clear" w:color="auto" w:fill="auto"/>
            <w:vAlign w:val="center"/>
          </w:tcPr>
          <w:p>
            <w:pPr>
              <w:jc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紫外分光光度计</w:t>
            </w:r>
          </w:p>
        </w:tc>
        <w:tc>
          <w:tcPr>
            <w:tcW w:w="1843" w:type="dxa"/>
            <w:tcBorders>
              <w:tl2br w:val="nil"/>
              <w:tr2bl w:val="nil"/>
            </w:tcBorders>
            <w:shd w:val="clear" w:color="auto" w:fill="auto"/>
            <w:vAlign w:val="center"/>
          </w:tcPr>
          <w:p>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委托检测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557" w:hRule="atLeast"/>
        </w:trPr>
        <w:tc>
          <w:tcPr>
            <w:tcW w:w="630" w:type="dxa"/>
            <w:tcBorders>
              <w:tl2br w:val="nil"/>
              <w:tr2bl w:val="nil"/>
            </w:tcBorders>
            <w:shd w:val="clear" w:color="auto" w:fill="auto"/>
            <w:vAlign w:val="center"/>
          </w:tcPr>
          <w:p>
            <w:pPr>
              <w:widowControl/>
              <w:jc w:val="center"/>
              <w:textAlignment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4</w:t>
            </w:r>
          </w:p>
        </w:tc>
        <w:tc>
          <w:tcPr>
            <w:tcW w:w="986" w:type="dxa"/>
            <w:tcBorders>
              <w:tl2br w:val="nil"/>
              <w:tr2bl w:val="nil"/>
            </w:tcBorders>
            <w:shd w:val="clear" w:color="auto" w:fill="auto"/>
            <w:vAlign w:val="center"/>
          </w:tcPr>
          <w:p>
            <w:pPr>
              <w:widowControl/>
              <w:jc w:val="center"/>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shd w:val="clear" w:color="auto" w:fill="auto"/>
              </w:rPr>
              <w:t>废气</w:t>
            </w:r>
          </w:p>
        </w:tc>
        <w:tc>
          <w:tcPr>
            <w:tcW w:w="910" w:type="dxa"/>
            <w:tcBorders>
              <w:tl2br w:val="nil"/>
              <w:tr2bl w:val="nil"/>
            </w:tcBorders>
            <w:shd w:val="clear" w:color="auto" w:fill="auto"/>
            <w:vAlign w:val="center"/>
          </w:tcPr>
          <w:p>
            <w:pPr>
              <w:pStyle w:val="2"/>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shd w:val="clear" w:color="auto" w:fill="auto"/>
                <w:lang w:val="en-US" w:eastAsia="zh-CN"/>
              </w:rPr>
              <w:t>DA002</w:t>
            </w:r>
          </w:p>
        </w:tc>
        <w:tc>
          <w:tcPr>
            <w:tcW w:w="808" w:type="dxa"/>
            <w:tcBorders>
              <w:tl2br w:val="nil"/>
              <w:tr2bl w:val="nil"/>
            </w:tcBorders>
            <w:shd w:val="clear" w:color="auto" w:fill="auto"/>
            <w:vAlign w:val="center"/>
          </w:tcPr>
          <w:p>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除臭系统排气筒</w:t>
            </w:r>
            <w:r>
              <w:rPr>
                <w:rFonts w:hint="eastAsia" w:ascii="宋体" w:hAnsi="宋体" w:eastAsia="宋体" w:cs="宋体"/>
                <w:color w:val="auto"/>
                <w:sz w:val="24"/>
                <w:szCs w:val="24"/>
                <w:highlight w:val="none"/>
                <w:lang w:val="en-US" w:eastAsia="zh-CN"/>
              </w:rPr>
              <w:t>2</w:t>
            </w:r>
          </w:p>
        </w:tc>
        <w:tc>
          <w:tcPr>
            <w:tcW w:w="422" w:type="dxa"/>
            <w:tcBorders>
              <w:tl2br w:val="nil"/>
              <w:tr2bl w:val="nil"/>
            </w:tcBorders>
            <w:shd w:val="clear" w:color="auto" w:fill="auto"/>
            <w:vAlign w:val="center"/>
          </w:tcPr>
          <w:p>
            <w:pPr>
              <w:widowControl/>
              <w:jc w:val="center"/>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臭气浓度</w:t>
            </w:r>
          </w:p>
        </w:tc>
        <w:tc>
          <w:tcPr>
            <w:tcW w:w="1245" w:type="dxa"/>
            <w:tcBorders>
              <w:tl2br w:val="nil"/>
              <w:tr2bl w:val="nil"/>
            </w:tcBorders>
            <w:shd w:val="clear" w:color="auto" w:fill="auto"/>
            <w:vAlign w:val="center"/>
          </w:tcPr>
          <w:p>
            <w:pPr>
              <w:widowControl/>
              <w:jc w:val="center"/>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手工</w:t>
            </w:r>
          </w:p>
        </w:tc>
        <w:tc>
          <w:tcPr>
            <w:tcW w:w="2983"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highlight w:val="none"/>
              </w:rPr>
            </w:pPr>
            <w:r>
              <w:rPr>
                <w:rFonts w:ascii="宋体" w:hAnsi="宋体" w:eastAsia="宋体" w:cs="宋体"/>
                <w:color w:val="auto"/>
                <w:kern w:val="0"/>
                <w:sz w:val="24"/>
                <w:szCs w:val="24"/>
                <w:highlight w:val="none"/>
              </w:rPr>
              <w:t>《恶臭污染物排放标准》(GB14554-93)</w:t>
            </w:r>
            <w:r>
              <w:rPr>
                <w:rFonts w:hint="eastAsia" w:ascii="宋体" w:hAnsi="宋体" w:eastAsia="宋体" w:cs="宋体"/>
                <w:color w:val="auto"/>
                <w:kern w:val="0"/>
                <w:sz w:val="24"/>
                <w:szCs w:val="24"/>
                <w:highlight w:val="none"/>
              </w:rPr>
              <w:t>表2排放限值</w:t>
            </w:r>
          </w:p>
        </w:tc>
        <w:tc>
          <w:tcPr>
            <w:tcW w:w="1418"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上限:2</w:t>
            </w:r>
            <w:r>
              <w:rPr>
                <w:rFonts w:ascii="宋体" w:hAnsi="宋体" w:eastAsia="宋体" w:cs="宋体"/>
                <w:color w:val="auto"/>
                <w:kern w:val="0"/>
                <w:sz w:val="24"/>
                <w:szCs w:val="24"/>
                <w:highlight w:val="none"/>
              </w:rPr>
              <w:t>00</w:t>
            </w:r>
            <w:r>
              <w:rPr>
                <w:rFonts w:hint="eastAsia" w:ascii="宋体" w:hAnsi="宋体" w:eastAsia="宋体" w:cs="宋体"/>
                <w:color w:val="auto"/>
                <w:kern w:val="0"/>
                <w:sz w:val="24"/>
                <w:szCs w:val="24"/>
                <w:highlight w:val="none"/>
              </w:rPr>
              <w:t>0（无量纲）（</w:t>
            </w:r>
            <w:r>
              <w:rPr>
                <w:rFonts w:hint="eastAsia" w:ascii="宋体" w:hAnsi="宋体" w:eastAsia="宋体" w:cs="宋体"/>
                <w:color w:val="auto"/>
                <w:kern w:val="0"/>
                <w:sz w:val="24"/>
                <w:szCs w:val="24"/>
                <w:highlight w:val="none"/>
                <w:lang w:val="en-US" w:eastAsia="zh-CN"/>
              </w:rPr>
              <w:t>15M</w:t>
            </w:r>
            <w:r>
              <w:rPr>
                <w:rFonts w:ascii="宋体" w:hAnsi="宋体" w:eastAsia="宋体" w:cs="宋体"/>
                <w:color w:val="auto"/>
                <w:kern w:val="0"/>
                <w:sz w:val="24"/>
                <w:szCs w:val="24"/>
                <w:highlight w:val="none"/>
              </w:rPr>
              <w:t>）</w:t>
            </w:r>
          </w:p>
        </w:tc>
        <w:tc>
          <w:tcPr>
            <w:tcW w:w="1454" w:type="dxa"/>
            <w:tcBorders>
              <w:tl2br w:val="nil"/>
              <w:tr2bl w:val="nil"/>
            </w:tcBorders>
            <w:shd w:val="clear" w:color="auto" w:fill="auto"/>
            <w:vAlign w:val="center"/>
          </w:tcPr>
          <w:p>
            <w:pPr>
              <w:widowControl/>
              <w:jc w:val="center"/>
              <w:textAlignment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10（无量纲）</w:t>
            </w:r>
          </w:p>
        </w:tc>
        <w:tc>
          <w:tcPr>
            <w:tcW w:w="1948"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xml:space="preserve">非连续采样 </w:t>
            </w:r>
          </w:p>
          <w:p>
            <w:pPr>
              <w:widowControl/>
              <w:jc w:val="center"/>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bidi="ar"/>
              </w:rPr>
              <w:t>至少</w:t>
            </w:r>
            <w:r>
              <w:rPr>
                <w:rFonts w:hint="eastAsia" w:ascii="宋体" w:hAnsi="宋体" w:eastAsia="宋体" w:cs="宋体"/>
                <w:color w:val="auto"/>
                <w:kern w:val="0"/>
                <w:sz w:val="24"/>
                <w:szCs w:val="24"/>
                <w:highlight w:val="none"/>
                <w:lang w:val="en-US" w:eastAsia="zh-CN" w:bidi="ar"/>
              </w:rPr>
              <w:t>4</w:t>
            </w:r>
            <w:r>
              <w:rPr>
                <w:rFonts w:hint="eastAsia" w:ascii="宋体" w:hAnsi="宋体" w:eastAsia="宋体" w:cs="宋体"/>
                <w:color w:val="auto"/>
                <w:kern w:val="0"/>
                <w:sz w:val="24"/>
                <w:szCs w:val="24"/>
                <w:highlight w:val="none"/>
                <w:lang w:bidi="ar"/>
              </w:rPr>
              <w:t>个</w:t>
            </w:r>
          </w:p>
        </w:tc>
        <w:tc>
          <w:tcPr>
            <w:tcW w:w="1701" w:type="dxa"/>
            <w:tcBorders>
              <w:tl2br w:val="nil"/>
              <w:tr2bl w:val="nil"/>
            </w:tcBorders>
            <w:shd w:val="clear" w:color="auto" w:fill="auto"/>
            <w:vAlign w:val="center"/>
          </w:tcPr>
          <w:p>
            <w:pPr>
              <w:widowControl/>
              <w:jc w:val="center"/>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1次/半年</w:t>
            </w:r>
          </w:p>
        </w:tc>
        <w:tc>
          <w:tcPr>
            <w:tcW w:w="3827" w:type="dxa"/>
            <w:tcBorders>
              <w:tl2br w:val="nil"/>
              <w:tr2bl w:val="nil"/>
            </w:tcBorders>
            <w:shd w:val="clear" w:color="auto" w:fill="auto"/>
            <w:vAlign w:val="center"/>
          </w:tcPr>
          <w:p>
            <w:pPr>
              <w:widowControl/>
              <w:jc w:val="center"/>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《空气质量 恶臭的测定 三点比较式臭袋法》GB/T 14675-1993</w:t>
            </w:r>
          </w:p>
        </w:tc>
        <w:tc>
          <w:tcPr>
            <w:tcW w:w="1984" w:type="dxa"/>
            <w:tcBorders>
              <w:tl2br w:val="nil"/>
              <w:tr2bl w:val="nil"/>
            </w:tcBorders>
            <w:shd w:val="clear" w:color="auto" w:fill="auto"/>
            <w:vAlign w:val="center"/>
          </w:tcPr>
          <w:p>
            <w:pPr>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w:t>
            </w:r>
          </w:p>
        </w:tc>
        <w:tc>
          <w:tcPr>
            <w:tcW w:w="1843" w:type="dxa"/>
            <w:tcBorders>
              <w:tl2br w:val="nil"/>
              <w:tr2bl w:val="nil"/>
            </w:tcBorders>
            <w:shd w:val="clear" w:color="auto" w:fill="auto"/>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委托检测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557" w:hRule="atLeast"/>
        </w:trPr>
        <w:tc>
          <w:tcPr>
            <w:tcW w:w="630" w:type="dxa"/>
            <w:tcBorders>
              <w:tl2br w:val="nil"/>
              <w:tr2bl w:val="nil"/>
            </w:tcBorders>
            <w:shd w:val="clear" w:color="auto" w:fill="auto"/>
            <w:vAlign w:val="center"/>
          </w:tcPr>
          <w:p>
            <w:pPr>
              <w:widowControl/>
              <w:jc w:val="center"/>
              <w:textAlignment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5</w:t>
            </w:r>
          </w:p>
        </w:tc>
        <w:tc>
          <w:tcPr>
            <w:tcW w:w="986" w:type="dxa"/>
            <w:tcBorders>
              <w:tl2br w:val="nil"/>
              <w:tr2bl w:val="nil"/>
            </w:tcBorders>
            <w:shd w:val="clear" w:color="auto" w:fill="auto"/>
            <w:vAlign w:val="center"/>
          </w:tcPr>
          <w:p>
            <w:pPr>
              <w:widowControl/>
              <w:jc w:val="center"/>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shd w:val="clear" w:color="auto" w:fill="auto"/>
              </w:rPr>
              <w:t>废气</w:t>
            </w:r>
          </w:p>
        </w:tc>
        <w:tc>
          <w:tcPr>
            <w:tcW w:w="910" w:type="dxa"/>
            <w:tcBorders>
              <w:tl2br w:val="nil"/>
              <w:tr2bl w:val="nil"/>
            </w:tcBorders>
            <w:shd w:val="clear" w:color="auto" w:fill="auto"/>
            <w:vAlign w:val="center"/>
          </w:tcPr>
          <w:p>
            <w:pPr>
              <w:widowControl/>
              <w:jc w:val="center"/>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shd w:val="clear" w:color="auto" w:fill="auto"/>
                <w:lang w:val="en-US" w:eastAsia="zh-CN"/>
              </w:rPr>
              <w:t>DA002</w:t>
            </w:r>
          </w:p>
        </w:tc>
        <w:tc>
          <w:tcPr>
            <w:tcW w:w="808" w:type="dxa"/>
            <w:tcBorders>
              <w:tl2br w:val="nil"/>
              <w:tr2bl w:val="nil"/>
            </w:tcBorders>
            <w:shd w:val="clear" w:color="auto" w:fill="auto"/>
            <w:vAlign w:val="center"/>
          </w:tcPr>
          <w:p>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除臭系统排气筒</w:t>
            </w:r>
            <w:r>
              <w:rPr>
                <w:rFonts w:hint="eastAsia" w:ascii="宋体" w:hAnsi="宋体" w:eastAsia="宋体" w:cs="宋体"/>
                <w:color w:val="auto"/>
                <w:sz w:val="24"/>
                <w:szCs w:val="24"/>
                <w:highlight w:val="none"/>
                <w:lang w:val="en-US" w:eastAsia="zh-CN"/>
              </w:rPr>
              <w:t>2</w:t>
            </w:r>
          </w:p>
        </w:tc>
        <w:tc>
          <w:tcPr>
            <w:tcW w:w="422" w:type="dxa"/>
            <w:tcBorders>
              <w:tl2br w:val="nil"/>
              <w:tr2bl w:val="nil"/>
            </w:tcBorders>
            <w:shd w:val="clear" w:color="auto" w:fill="auto"/>
            <w:vAlign w:val="center"/>
          </w:tcPr>
          <w:p>
            <w:pPr>
              <w:widowControl/>
              <w:jc w:val="center"/>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氨</w:t>
            </w:r>
          </w:p>
        </w:tc>
        <w:tc>
          <w:tcPr>
            <w:tcW w:w="1245" w:type="dxa"/>
            <w:tcBorders>
              <w:tl2br w:val="nil"/>
              <w:tr2bl w:val="nil"/>
            </w:tcBorders>
            <w:shd w:val="clear" w:color="auto" w:fill="auto"/>
            <w:vAlign w:val="center"/>
          </w:tcPr>
          <w:p>
            <w:pPr>
              <w:widowControl/>
              <w:jc w:val="center"/>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手工</w:t>
            </w:r>
          </w:p>
        </w:tc>
        <w:tc>
          <w:tcPr>
            <w:tcW w:w="2983"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highlight w:val="none"/>
              </w:rPr>
            </w:pPr>
            <w:r>
              <w:rPr>
                <w:rFonts w:ascii="宋体" w:hAnsi="宋体" w:eastAsia="宋体" w:cs="宋体"/>
                <w:color w:val="auto"/>
                <w:kern w:val="0"/>
                <w:sz w:val="24"/>
                <w:szCs w:val="24"/>
                <w:highlight w:val="none"/>
              </w:rPr>
              <w:t>《恶臭污染物排放标准》(GB14554-93)</w:t>
            </w:r>
            <w:r>
              <w:rPr>
                <w:rFonts w:hint="eastAsia" w:ascii="宋体" w:hAnsi="宋体" w:eastAsia="宋体" w:cs="宋体"/>
                <w:color w:val="auto"/>
                <w:kern w:val="0"/>
                <w:sz w:val="24"/>
                <w:szCs w:val="24"/>
                <w:highlight w:val="none"/>
              </w:rPr>
              <w:t xml:space="preserve"> 表2排放限值</w:t>
            </w:r>
          </w:p>
        </w:tc>
        <w:tc>
          <w:tcPr>
            <w:tcW w:w="1418"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上限:</w:t>
            </w:r>
          </w:p>
          <w:p>
            <w:pPr>
              <w:widowControl/>
              <w:jc w:val="center"/>
              <w:textAlignment w:val="center"/>
              <w:rPr>
                <w:rFonts w:ascii="宋体" w:hAnsi="宋体" w:eastAsia="宋体" w:cs="宋体"/>
                <w:color w:val="auto"/>
                <w:kern w:val="0"/>
                <w:sz w:val="24"/>
                <w:szCs w:val="24"/>
                <w:highlight w:val="none"/>
              </w:rPr>
            </w:pPr>
            <w:r>
              <w:rPr>
                <w:rFonts w:ascii="宋体" w:hAnsi="宋体" w:eastAsia="宋体" w:cs="宋体"/>
                <w:color w:val="auto"/>
                <w:kern w:val="0"/>
                <w:sz w:val="24"/>
                <w:szCs w:val="24"/>
                <w:highlight w:val="none"/>
              </w:rPr>
              <w:t>4.9</w:t>
            </w:r>
            <w:r>
              <w:rPr>
                <w:rFonts w:hint="eastAsia" w:ascii="宋体" w:hAnsi="宋体" w:eastAsia="宋体" w:cs="宋体"/>
                <w:color w:val="auto"/>
                <w:kern w:val="0"/>
                <w:sz w:val="24"/>
                <w:szCs w:val="24"/>
                <w:highlight w:val="none"/>
              </w:rPr>
              <w:t xml:space="preserve"> kg</w:t>
            </w:r>
            <w:r>
              <w:rPr>
                <w:rFonts w:ascii="宋体" w:hAnsi="宋体" w:eastAsia="宋体" w:cs="宋体"/>
                <w:color w:val="auto"/>
                <w:kern w:val="0"/>
                <w:sz w:val="24"/>
                <w:szCs w:val="24"/>
                <w:highlight w:val="none"/>
              </w:rPr>
              <w:t>/</w:t>
            </w:r>
            <w:r>
              <w:rPr>
                <w:rFonts w:hint="eastAsia" w:ascii="宋体" w:hAnsi="宋体" w:eastAsia="宋体" w:cs="宋体"/>
                <w:color w:val="auto"/>
                <w:kern w:val="0"/>
                <w:sz w:val="24"/>
                <w:szCs w:val="24"/>
                <w:highlight w:val="none"/>
              </w:rPr>
              <w:t>h（</w:t>
            </w:r>
            <w:r>
              <w:rPr>
                <w:rFonts w:hint="eastAsia" w:ascii="宋体" w:hAnsi="宋体" w:eastAsia="宋体" w:cs="宋体"/>
                <w:color w:val="auto"/>
                <w:kern w:val="0"/>
                <w:sz w:val="24"/>
                <w:szCs w:val="24"/>
                <w:highlight w:val="none"/>
                <w:lang w:val="en-US" w:eastAsia="zh-CN"/>
              </w:rPr>
              <w:t>15M</w:t>
            </w:r>
            <w:r>
              <w:rPr>
                <w:rFonts w:ascii="宋体" w:hAnsi="宋体" w:eastAsia="宋体" w:cs="宋体"/>
                <w:color w:val="auto"/>
                <w:kern w:val="0"/>
                <w:sz w:val="24"/>
                <w:szCs w:val="24"/>
                <w:highlight w:val="none"/>
              </w:rPr>
              <w:t>）</w:t>
            </w:r>
          </w:p>
        </w:tc>
        <w:tc>
          <w:tcPr>
            <w:tcW w:w="1454" w:type="dxa"/>
            <w:tcBorders>
              <w:tl2br w:val="nil"/>
              <w:tr2bl w:val="nil"/>
            </w:tcBorders>
            <w:shd w:val="clear" w:color="auto" w:fill="auto"/>
            <w:vAlign w:val="center"/>
          </w:tcPr>
          <w:p>
            <w:pPr>
              <w:widowControl/>
              <w:jc w:val="center"/>
              <w:textAlignment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sz w:val="24"/>
                <w:szCs w:val="24"/>
              </w:rPr>
              <w:t>0.01</w:t>
            </w:r>
            <w:r>
              <w:rPr>
                <w:rFonts w:hint="eastAsia" w:ascii="宋体" w:hAnsi="宋体" w:eastAsia="宋体" w:cs="宋体"/>
                <w:color w:val="auto"/>
                <w:kern w:val="0"/>
                <w:sz w:val="24"/>
                <w:szCs w:val="24"/>
              </w:rPr>
              <w:t>mg/Nm</w:t>
            </w:r>
            <w:r>
              <w:rPr>
                <w:rFonts w:hint="eastAsia" w:ascii="宋体" w:hAnsi="宋体" w:eastAsia="宋体" w:cs="宋体"/>
                <w:color w:val="auto"/>
                <w:kern w:val="0"/>
                <w:sz w:val="24"/>
                <w:szCs w:val="24"/>
                <w:vertAlign w:val="superscript"/>
              </w:rPr>
              <w:t>3</w:t>
            </w:r>
          </w:p>
        </w:tc>
        <w:tc>
          <w:tcPr>
            <w:tcW w:w="1948"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xml:space="preserve">非连续采样 </w:t>
            </w:r>
          </w:p>
          <w:p>
            <w:pPr>
              <w:widowControl/>
              <w:jc w:val="center"/>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bidi="ar"/>
              </w:rPr>
              <w:t>至少</w:t>
            </w:r>
            <w:r>
              <w:rPr>
                <w:rFonts w:hint="eastAsia" w:ascii="宋体" w:hAnsi="宋体" w:eastAsia="宋体" w:cs="宋体"/>
                <w:color w:val="auto"/>
                <w:kern w:val="0"/>
                <w:sz w:val="24"/>
                <w:szCs w:val="24"/>
                <w:highlight w:val="none"/>
                <w:lang w:val="en-US" w:eastAsia="zh-CN" w:bidi="ar"/>
              </w:rPr>
              <w:t>4</w:t>
            </w:r>
            <w:r>
              <w:rPr>
                <w:rFonts w:hint="eastAsia" w:ascii="宋体" w:hAnsi="宋体" w:eastAsia="宋体" w:cs="宋体"/>
                <w:color w:val="auto"/>
                <w:kern w:val="0"/>
                <w:sz w:val="24"/>
                <w:szCs w:val="24"/>
                <w:highlight w:val="none"/>
                <w:lang w:bidi="ar"/>
              </w:rPr>
              <w:t>个</w:t>
            </w:r>
          </w:p>
        </w:tc>
        <w:tc>
          <w:tcPr>
            <w:tcW w:w="1701" w:type="dxa"/>
            <w:tcBorders>
              <w:tl2br w:val="nil"/>
              <w:tr2bl w:val="nil"/>
            </w:tcBorders>
            <w:shd w:val="clear" w:color="auto" w:fill="auto"/>
            <w:vAlign w:val="center"/>
          </w:tcPr>
          <w:p>
            <w:pPr>
              <w:widowControl/>
              <w:jc w:val="center"/>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1次/半年</w:t>
            </w:r>
          </w:p>
        </w:tc>
        <w:tc>
          <w:tcPr>
            <w:tcW w:w="3827" w:type="dxa"/>
            <w:tcBorders>
              <w:tl2br w:val="nil"/>
              <w:tr2bl w:val="nil"/>
            </w:tcBorders>
            <w:shd w:val="clear" w:color="auto" w:fill="auto"/>
            <w:vAlign w:val="center"/>
          </w:tcPr>
          <w:p>
            <w:pPr>
              <w:widowControl/>
              <w:jc w:val="center"/>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环境空气和废气 氨的测定纳氏试剂分光光度法 HJ 533-2009</w:t>
            </w:r>
          </w:p>
        </w:tc>
        <w:tc>
          <w:tcPr>
            <w:tcW w:w="1984" w:type="dxa"/>
            <w:tcBorders>
              <w:tl2br w:val="nil"/>
              <w:tr2bl w:val="nil"/>
            </w:tcBorders>
            <w:shd w:val="clear" w:color="auto" w:fill="auto"/>
            <w:vAlign w:val="center"/>
          </w:tcPr>
          <w:p>
            <w:pPr>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紫外分光光度计</w:t>
            </w:r>
          </w:p>
        </w:tc>
        <w:tc>
          <w:tcPr>
            <w:tcW w:w="1843" w:type="dxa"/>
            <w:tcBorders>
              <w:tl2br w:val="nil"/>
              <w:tr2bl w:val="nil"/>
            </w:tcBorders>
            <w:shd w:val="clear" w:color="auto" w:fill="auto"/>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委托检测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557" w:hRule="atLeast"/>
        </w:trPr>
        <w:tc>
          <w:tcPr>
            <w:tcW w:w="630" w:type="dxa"/>
            <w:tcBorders>
              <w:tl2br w:val="nil"/>
              <w:tr2bl w:val="nil"/>
            </w:tcBorders>
            <w:shd w:val="clear" w:color="auto" w:fill="auto"/>
            <w:vAlign w:val="center"/>
          </w:tcPr>
          <w:p>
            <w:pPr>
              <w:widowControl/>
              <w:jc w:val="center"/>
              <w:textAlignment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6</w:t>
            </w:r>
          </w:p>
        </w:tc>
        <w:tc>
          <w:tcPr>
            <w:tcW w:w="986" w:type="dxa"/>
            <w:tcBorders>
              <w:tl2br w:val="nil"/>
              <w:tr2bl w:val="nil"/>
            </w:tcBorders>
            <w:shd w:val="clear" w:color="auto" w:fill="auto"/>
            <w:vAlign w:val="center"/>
          </w:tcPr>
          <w:p>
            <w:pPr>
              <w:widowControl/>
              <w:jc w:val="center"/>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shd w:val="clear" w:color="auto" w:fill="auto"/>
              </w:rPr>
              <w:t>废气</w:t>
            </w:r>
          </w:p>
        </w:tc>
        <w:tc>
          <w:tcPr>
            <w:tcW w:w="910" w:type="dxa"/>
            <w:tcBorders>
              <w:tl2br w:val="nil"/>
              <w:tr2bl w:val="nil"/>
            </w:tcBorders>
            <w:shd w:val="clear" w:color="auto" w:fill="auto"/>
            <w:vAlign w:val="center"/>
          </w:tcPr>
          <w:p>
            <w:pPr>
              <w:widowControl/>
              <w:jc w:val="center"/>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shd w:val="clear" w:color="auto" w:fill="auto"/>
                <w:lang w:val="en-US" w:eastAsia="zh-CN"/>
              </w:rPr>
              <w:t>DA002</w:t>
            </w:r>
          </w:p>
        </w:tc>
        <w:tc>
          <w:tcPr>
            <w:tcW w:w="808" w:type="dxa"/>
            <w:tcBorders>
              <w:tl2br w:val="nil"/>
              <w:tr2bl w:val="nil"/>
            </w:tcBorders>
            <w:shd w:val="clear" w:color="auto" w:fill="auto"/>
            <w:vAlign w:val="center"/>
          </w:tcPr>
          <w:p>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除臭系统排气筒</w:t>
            </w:r>
            <w:r>
              <w:rPr>
                <w:rFonts w:hint="eastAsia" w:ascii="宋体" w:hAnsi="宋体" w:eastAsia="宋体" w:cs="宋体"/>
                <w:color w:val="auto"/>
                <w:sz w:val="24"/>
                <w:szCs w:val="24"/>
                <w:highlight w:val="none"/>
                <w:lang w:val="en-US" w:eastAsia="zh-CN"/>
              </w:rPr>
              <w:t>2</w:t>
            </w:r>
          </w:p>
        </w:tc>
        <w:tc>
          <w:tcPr>
            <w:tcW w:w="422" w:type="dxa"/>
            <w:tcBorders>
              <w:tl2br w:val="nil"/>
              <w:tr2bl w:val="nil"/>
            </w:tcBorders>
            <w:shd w:val="clear" w:color="auto" w:fill="auto"/>
            <w:vAlign w:val="center"/>
          </w:tcPr>
          <w:p>
            <w:pPr>
              <w:widowControl/>
              <w:jc w:val="center"/>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硫化氢</w:t>
            </w:r>
          </w:p>
        </w:tc>
        <w:tc>
          <w:tcPr>
            <w:tcW w:w="1245" w:type="dxa"/>
            <w:tcBorders>
              <w:tl2br w:val="nil"/>
              <w:tr2bl w:val="nil"/>
            </w:tcBorders>
            <w:shd w:val="clear" w:color="auto" w:fill="auto"/>
            <w:vAlign w:val="center"/>
          </w:tcPr>
          <w:p>
            <w:pPr>
              <w:widowControl/>
              <w:jc w:val="center"/>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手工</w:t>
            </w:r>
          </w:p>
        </w:tc>
        <w:tc>
          <w:tcPr>
            <w:tcW w:w="2983"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highlight w:val="none"/>
              </w:rPr>
            </w:pPr>
            <w:r>
              <w:rPr>
                <w:rFonts w:ascii="宋体" w:hAnsi="宋体" w:eastAsia="宋体" w:cs="宋体"/>
                <w:color w:val="auto"/>
                <w:kern w:val="0"/>
                <w:sz w:val="24"/>
                <w:szCs w:val="24"/>
                <w:highlight w:val="none"/>
              </w:rPr>
              <w:t>《恶臭污染物排放标准》(GB14554-93)</w:t>
            </w:r>
            <w:r>
              <w:rPr>
                <w:rFonts w:hint="eastAsia" w:ascii="宋体" w:hAnsi="宋体" w:eastAsia="宋体" w:cs="宋体"/>
                <w:color w:val="auto"/>
                <w:kern w:val="0"/>
                <w:sz w:val="24"/>
                <w:szCs w:val="24"/>
                <w:highlight w:val="none"/>
              </w:rPr>
              <w:t xml:space="preserve"> 表2排放限值</w:t>
            </w:r>
          </w:p>
        </w:tc>
        <w:tc>
          <w:tcPr>
            <w:tcW w:w="1418"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上限:</w:t>
            </w:r>
          </w:p>
          <w:p>
            <w:pPr>
              <w:widowControl/>
              <w:jc w:val="center"/>
              <w:textAlignment w:val="center"/>
              <w:rPr>
                <w:rFonts w:ascii="宋体" w:hAnsi="宋体" w:eastAsia="宋体" w:cs="宋体"/>
                <w:color w:val="auto"/>
                <w:kern w:val="0"/>
                <w:sz w:val="24"/>
                <w:szCs w:val="24"/>
                <w:highlight w:val="none"/>
              </w:rPr>
            </w:pPr>
            <w:r>
              <w:rPr>
                <w:rFonts w:ascii="宋体" w:hAnsi="宋体" w:eastAsia="宋体" w:cs="宋体"/>
                <w:color w:val="auto"/>
                <w:kern w:val="0"/>
                <w:sz w:val="24"/>
                <w:szCs w:val="24"/>
                <w:highlight w:val="none"/>
              </w:rPr>
              <w:t>0.33</w:t>
            </w:r>
            <w:r>
              <w:rPr>
                <w:rFonts w:hint="eastAsia" w:ascii="宋体" w:hAnsi="宋体" w:eastAsia="宋体" w:cs="宋体"/>
                <w:color w:val="auto"/>
                <w:kern w:val="0"/>
                <w:sz w:val="24"/>
                <w:szCs w:val="24"/>
                <w:highlight w:val="none"/>
              </w:rPr>
              <w:t>kg</w:t>
            </w:r>
            <w:r>
              <w:rPr>
                <w:rFonts w:ascii="宋体" w:hAnsi="宋体" w:eastAsia="宋体" w:cs="宋体"/>
                <w:color w:val="auto"/>
                <w:kern w:val="0"/>
                <w:sz w:val="24"/>
                <w:szCs w:val="24"/>
                <w:highlight w:val="none"/>
              </w:rPr>
              <w:t>/</w:t>
            </w:r>
            <w:r>
              <w:rPr>
                <w:rFonts w:hint="eastAsia" w:ascii="宋体" w:hAnsi="宋体" w:eastAsia="宋体" w:cs="宋体"/>
                <w:color w:val="auto"/>
                <w:kern w:val="0"/>
                <w:sz w:val="24"/>
                <w:szCs w:val="24"/>
                <w:highlight w:val="none"/>
              </w:rPr>
              <w:t>h（</w:t>
            </w:r>
            <w:r>
              <w:rPr>
                <w:rFonts w:hint="eastAsia" w:ascii="宋体" w:hAnsi="宋体" w:eastAsia="宋体" w:cs="宋体"/>
                <w:color w:val="auto"/>
                <w:kern w:val="0"/>
                <w:sz w:val="24"/>
                <w:szCs w:val="24"/>
                <w:highlight w:val="none"/>
                <w:lang w:val="en-US" w:eastAsia="zh-CN"/>
              </w:rPr>
              <w:t>15M</w:t>
            </w:r>
            <w:r>
              <w:rPr>
                <w:rFonts w:ascii="宋体" w:hAnsi="宋体" w:eastAsia="宋体" w:cs="宋体"/>
                <w:color w:val="auto"/>
                <w:kern w:val="0"/>
                <w:sz w:val="24"/>
                <w:szCs w:val="24"/>
                <w:highlight w:val="none"/>
              </w:rPr>
              <w:t>）</w:t>
            </w:r>
          </w:p>
        </w:tc>
        <w:tc>
          <w:tcPr>
            <w:tcW w:w="1454" w:type="dxa"/>
            <w:tcBorders>
              <w:tl2br w:val="nil"/>
              <w:tr2bl w:val="nil"/>
            </w:tcBorders>
            <w:shd w:val="clear" w:color="auto" w:fill="auto"/>
            <w:vAlign w:val="center"/>
          </w:tcPr>
          <w:p>
            <w:pPr>
              <w:widowControl/>
              <w:jc w:val="center"/>
              <w:textAlignment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bidi="ar"/>
              </w:rPr>
              <w:t>0.001</w:t>
            </w:r>
            <w:r>
              <w:rPr>
                <w:rFonts w:hint="eastAsia" w:ascii="宋体" w:hAnsi="宋体" w:eastAsia="宋体" w:cs="宋体"/>
                <w:color w:val="auto"/>
                <w:kern w:val="0"/>
                <w:sz w:val="24"/>
                <w:szCs w:val="24"/>
              </w:rPr>
              <w:t>mg/Nm</w:t>
            </w:r>
            <w:r>
              <w:rPr>
                <w:rFonts w:hint="eastAsia" w:ascii="宋体" w:hAnsi="宋体" w:eastAsia="宋体" w:cs="宋体"/>
                <w:color w:val="auto"/>
                <w:kern w:val="0"/>
                <w:sz w:val="24"/>
                <w:szCs w:val="24"/>
                <w:vertAlign w:val="superscript"/>
              </w:rPr>
              <w:t>3</w:t>
            </w:r>
          </w:p>
        </w:tc>
        <w:tc>
          <w:tcPr>
            <w:tcW w:w="1948"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xml:space="preserve">非连续采样 </w:t>
            </w:r>
          </w:p>
          <w:p>
            <w:pPr>
              <w:widowControl/>
              <w:jc w:val="center"/>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bidi="ar"/>
              </w:rPr>
              <w:t>至少</w:t>
            </w:r>
            <w:r>
              <w:rPr>
                <w:rFonts w:hint="eastAsia" w:ascii="宋体" w:hAnsi="宋体" w:eastAsia="宋体" w:cs="宋体"/>
                <w:color w:val="auto"/>
                <w:kern w:val="0"/>
                <w:sz w:val="24"/>
                <w:szCs w:val="24"/>
                <w:highlight w:val="none"/>
                <w:lang w:val="en-US" w:eastAsia="zh-CN" w:bidi="ar"/>
              </w:rPr>
              <w:t>4</w:t>
            </w:r>
            <w:r>
              <w:rPr>
                <w:rFonts w:hint="eastAsia" w:ascii="宋体" w:hAnsi="宋体" w:eastAsia="宋体" w:cs="宋体"/>
                <w:color w:val="auto"/>
                <w:kern w:val="0"/>
                <w:sz w:val="24"/>
                <w:szCs w:val="24"/>
                <w:highlight w:val="none"/>
                <w:lang w:bidi="ar"/>
              </w:rPr>
              <w:t>个</w:t>
            </w:r>
          </w:p>
        </w:tc>
        <w:tc>
          <w:tcPr>
            <w:tcW w:w="1701" w:type="dxa"/>
            <w:tcBorders>
              <w:tl2br w:val="nil"/>
              <w:tr2bl w:val="nil"/>
            </w:tcBorders>
            <w:shd w:val="clear" w:color="auto" w:fill="auto"/>
            <w:vAlign w:val="center"/>
          </w:tcPr>
          <w:p>
            <w:pPr>
              <w:widowControl/>
              <w:jc w:val="center"/>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1次/半年</w:t>
            </w:r>
          </w:p>
        </w:tc>
        <w:tc>
          <w:tcPr>
            <w:tcW w:w="3827" w:type="dxa"/>
            <w:tcBorders>
              <w:tl2br w:val="nil"/>
              <w:tr2bl w:val="nil"/>
            </w:tcBorders>
            <w:shd w:val="clear" w:color="auto" w:fill="auto"/>
            <w:vAlign w:val="center"/>
          </w:tcPr>
          <w:p>
            <w:pPr>
              <w:widowControl/>
              <w:jc w:val="center"/>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《空气和废气监测分析方法》（第四版）国家环境保护总局（2003年）5.4.10（3）中的硫化氢亚甲蓝分光光度法</w:t>
            </w:r>
          </w:p>
        </w:tc>
        <w:tc>
          <w:tcPr>
            <w:tcW w:w="1984" w:type="dxa"/>
            <w:tcBorders>
              <w:tl2br w:val="nil"/>
              <w:tr2bl w:val="nil"/>
            </w:tcBorders>
            <w:shd w:val="clear" w:color="auto" w:fill="auto"/>
            <w:vAlign w:val="center"/>
          </w:tcPr>
          <w:p>
            <w:pPr>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紫外分光光度计</w:t>
            </w:r>
          </w:p>
        </w:tc>
        <w:tc>
          <w:tcPr>
            <w:tcW w:w="1843" w:type="dxa"/>
            <w:tcBorders>
              <w:tl2br w:val="nil"/>
              <w:tr2bl w:val="nil"/>
            </w:tcBorders>
            <w:shd w:val="clear" w:color="auto" w:fill="auto"/>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委托检测</w:t>
            </w:r>
          </w:p>
        </w:tc>
      </w:tr>
    </w:tbl>
    <w:p>
      <w:pPr>
        <w:adjustRightInd w:val="0"/>
        <w:snapToGrid w:val="0"/>
        <w:spacing w:beforeLines="80"/>
        <w:jc w:val="left"/>
        <w:rPr>
          <w:rFonts w:ascii="宋体" w:hAnsi="宋体" w:eastAsia="宋体" w:cs="宋体"/>
          <w:color w:val="auto"/>
          <w:sz w:val="28"/>
          <w:szCs w:val="28"/>
          <w:highlight w:val="none"/>
        </w:rPr>
      </w:pPr>
    </w:p>
    <w:p>
      <w:pPr>
        <w:widowControl/>
        <w:jc w:val="left"/>
        <w:rPr>
          <w:rFonts w:ascii="宋体" w:hAnsi="宋体" w:eastAsia="宋体" w:cs="宋体"/>
          <w:color w:val="000000"/>
          <w:sz w:val="28"/>
          <w:szCs w:val="28"/>
        </w:rPr>
      </w:pPr>
    </w:p>
    <w:p>
      <w:pPr>
        <w:widowControl/>
        <w:jc w:val="left"/>
        <w:rPr>
          <w:rFonts w:ascii="宋体" w:hAnsi="宋体" w:eastAsia="宋体" w:cs="宋体"/>
          <w:color w:val="000000"/>
          <w:sz w:val="28"/>
          <w:szCs w:val="28"/>
        </w:rPr>
      </w:pPr>
    </w:p>
    <w:p>
      <w:pPr>
        <w:widowControl/>
        <w:jc w:val="left"/>
        <w:rPr>
          <w:rFonts w:ascii="宋体" w:hAnsi="宋体" w:eastAsia="宋体" w:cs="宋体"/>
          <w:color w:val="000000"/>
          <w:sz w:val="28"/>
          <w:szCs w:val="28"/>
        </w:rPr>
      </w:pPr>
    </w:p>
    <w:p>
      <w:pPr>
        <w:widowControl/>
        <w:jc w:val="left"/>
        <w:rPr>
          <w:rFonts w:ascii="宋体" w:hAnsi="宋体" w:eastAsia="宋体" w:cs="宋体"/>
          <w:color w:val="000000"/>
          <w:sz w:val="28"/>
          <w:szCs w:val="28"/>
        </w:rPr>
      </w:pPr>
    </w:p>
    <w:p>
      <w:pPr>
        <w:widowControl/>
        <w:jc w:val="left"/>
        <w:rPr>
          <w:rFonts w:ascii="宋体" w:hAnsi="宋体" w:eastAsia="宋体" w:cs="宋体"/>
          <w:color w:val="000000"/>
          <w:sz w:val="28"/>
          <w:szCs w:val="28"/>
        </w:rPr>
      </w:pPr>
    </w:p>
    <w:p>
      <w:pPr>
        <w:widowControl/>
        <w:jc w:val="left"/>
        <w:rPr>
          <w:rFonts w:ascii="宋体" w:hAnsi="宋体" w:eastAsia="宋体" w:cs="宋体"/>
          <w:color w:val="000000"/>
          <w:sz w:val="28"/>
          <w:szCs w:val="28"/>
        </w:rPr>
      </w:pPr>
      <w:r>
        <w:rPr>
          <w:rFonts w:ascii="宋体" w:hAnsi="宋体" w:eastAsia="宋体" w:cs="宋体"/>
          <w:color w:val="000000"/>
          <w:sz w:val="28"/>
          <w:szCs w:val="28"/>
        </w:rPr>
        <w:t>3</w:t>
      </w:r>
      <w:r>
        <w:rPr>
          <w:rFonts w:hint="eastAsia" w:ascii="宋体" w:hAnsi="宋体" w:eastAsia="宋体" w:cs="宋体"/>
          <w:color w:val="000000"/>
          <w:sz w:val="28"/>
          <w:szCs w:val="28"/>
        </w:rPr>
        <w:t>、废水自行监测及记录信息表</w:t>
      </w:r>
    </w:p>
    <w:tbl>
      <w:tblPr>
        <w:tblStyle w:val="12"/>
        <w:tblW w:w="20089" w:type="dxa"/>
        <w:tblInd w:w="101"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108" w:type="dxa"/>
          <w:bottom w:w="0" w:type="dxa"/>
          <w:right w:w="108" w:type="dxa"/>
        </w:tblCellMar>
      </w:tblPr>
      <w:tblGrid>
        <w:gridCol w:w="506"/>
        <w:gridCol w:w="813"/>
        <w:gridCol w:w="867"/>
        <w:gridCol w:w="1084"/>
        <w:gridCol w:w="957"/>
        <w:gridCol w:w="613"/>
        <w:gridCol w:w="1792"/>
        <w:gridCol w:w="1063"/>
        <w:gridCol w:w="1130"/>
        <w:gridCol w:w="538"/>
        <w:gridCol w:w="1068"/>
        <w:gridCol w:w="954"/>
        <w:gridCol w:w="1113"/>
        <w:gridCol w:w="1399"/>
        <w:gridCol w:w="711"/>
        <w:gridCol w:w="1865"/>
        <w:gridCol w:w="956"/>
        <w:gridCol w:w="1367"/>
        <w:gridCol w:w="1293"/>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2466" w:hRule="atLeast"/>
          <w:tblHeader/>
        </w:trPr>
        <w:tc>
          <w:tcPr>
            <w:tcW w:w="506" w:type="dxa"/>
            <w:tcBorders>
              <w:tl2br w:val="nil"/>
              <w:tr2bl w:val="nil"/>
            </w:tcBorders>
            <w:shd w:val="clear" w:color="auto" w:fill="auto"/>
            <w:vAlign w:val="center"/>
          </w:tcPr>
          <w:p>
            <w:pPr>
              <w:pStyle w:val="26"/>
              <w:adjustRightInd w:val="0"/>
              <w:snapToGrid w:val="0"/>
              <w:jc w:val="center"/>
              <w:rPr>
                <w:rFonts w:ascii="宋体" w:hAnsi="宋体" w:cs="宋体"/>
                <w:color w:val="auto"/>
                <w:sz w:val="24"/>
                <w:szCs w:val="24"/>
              </w:rPr>
            </w:pPr>
            <w:r>
              <w:rPr>
                <w:rFonts w:hint="eastAsia" w:ascii="宋体" w:hAnsi="宋体" w:cs="宋体"/>
                <w:color w:val="auto"/>
                <w:sz w:val="24"/>
                <w:szCs w:val="24"/>
              </w:rPr>
              <w:t>序号</w:t>
            </w:r>
          </w:p>
        </w:tc>
        <w:tc>
          <w:tcPr>
            <w:tcW w:w="813" w:type="dxa"/>
            <w:tcBorders>
              <w:tl2br w:val="nil"/>
              <w:tr2bl w:val="nil"/>
            </w:tcBorders>
            <w:shd w:val="clear" w:color="auto" w:fill="auto"/>
            <w:vAlign w:val="center"/>
          </w:tcPr>
          <w:p>
            <w:pPr>
              <w:pStyle w:val="26"/>
              <w:adjustRightInd w:val="0"/>
              <w:snapToGrid w:val="0"/>
              <w:jc w:val="center"/>
              <w:rPr>
                <w:rFonts w:ascii="宋体" w:hAnsi="宋体" w:cs="宋体"/>
                <w:color w:val="auto"/>
                <w:sz w:val="24"/>
                <w:szCs w:val="24"/>
              </w:rPr>
            </w:pPr>
            <w:r>
              <w:rPr>
                <w:rFonts w:hint="eastAsia" w:ascii="宋体" w:hAnsi="宋体" w:cs="宋体"/>
                <w:color w:val="auto"/>
                <w:sz w:val="24"/>
                <w:szCs w:val="24"/>
              </w:rPr>
              <w:t>污染源类别/监测类别</w:t>
            </w:r>
          </w:p>
        </w:tc>
        <w:tc>
          <w:tcPr>
            <w:tcW w:w="867" w:type="dxa"/>
            <w:tcBorders>
              <w:tl2br w:val="nil"/>
              <w:tr2bl w:val="nil"/>
            </w:tcBorders>
            <w:shd w:val="clear" w:color="auto" w:fill="auto"/>
            <w:vAlign w:val="center"/>
          </w:tcPr>
          <w:p>
            <w:pPr>
              <w:pStyle w:val="26"/>
              <w:adjustRightInd w:val="0"/>
              <w:snapToGrid w:val="0"/>
              <w:jc w:val="center"/>
              <w:rPr>
                <w:rFonts w:ascii="宋体" w:hAnsi="宋体" w:cs="宋体"/>
                <w:color w:val="auto"/>
                <w:sz w:val="24"/>
                <w:szCs w:val="24"/>
              </w:rPr>
            </w:pPr>
            <w:r>
              <w:rPr>
                <w:rFonts w:hint="eastAsia" w:ascii="宋体" w:hAnsi="宋体" w:cs="宋体"/>
                <w:color w:val="auto"/>
                <w:sz w:val="24"/>
                <w:szCs w:val="24"/>
              </w:rPr>
              <w:t>排放口编号/监测点位</w:t>
            </w:r>
          </w:p>
        </w:tc>
        <w:tc>
          <w:tcPr>
            <w:tcW w:w="1084" w:type="dxa"/>
            <w:tcBorders>
              <w:tl2br w:val="nil"/>
              <w:tr2bl w:val="nil"/>
            </w:tcBorders>
            <w:shd w:val="clear" w:color="auto" w:fill="auto"/>
            <w:vAlign w:val="center"/>
          </w:tcPr>
          <w:p>
            <w:pPr>
              <w:pStyle w:val="26"/>
              <w:adjustRightInd w:val="0"/>
              <w:snapToGrid w:val="0"/>
              <w:jc w:val="center"/>
              <w:rPr>
                <w:rFonts w:ascii="宋体" w:hAnsi="宋体" w:cs="宋体"/>
                <w:color w:val="auto"/>
                <w:sz w:val="24"/>
                <w:szCs w:val="24"/>
              </w:rPr>
            </w:pPr>
            <w:r>
              <w:rPr>
                <w:rFonts w:hint="eastAsia" w:ascii="宋体" w:hAnsi="宋体" w:cs="宋体"/>
                <w:color w:val="auto"/>
                <w:sz w:val="24"/>
                <w:szCs w:val="24"/>
              </w:rPr>
              <w:t>排放口名称/监测点位名称</w:t>
            </w:r>
          </w:p>
        </w:tc>
        <w:tc>
          <w:tcPr>
            <w:tcW w:w="957" w:type="dxa"/>
            <w:tcBorders>
              <w:tl2br w:val="nil"/>
              <w:tr2bl w:val="nil"/>
            </w:tcBorders>
            <w:shd w:val="clear" w:color="auto" w:fill="auto"/>
            <w:vAlign w:val="center"/>
          </w:tcPr>
          <w:p>
            <w:pPr>
              <w:pStyle w:val="26"/>
              <w:adjustRightInd w:val="0"/>
              <w:snapToGrid w:val="0"/>
              <w:jc w:val="center"/>
              <w:rPr>
                <w:rFonts w:ascii="宋体" w:hAnsi="宋体" w:cs="宋体"/>
                <w:color w:val="auto"/>
                <w:sz w:val="24"/>
                <w:szCs w:val="24"/>
              </w:rPr>
            </w:pPr>
            <w:r>
              <w:rPr>
                <w:rFonts w:hint="eastAsia" w:ascii="宋体" w:hAnsi="宋体" w:cs="宋体"/>
                <w:color w:val="auto"/>
                <w:sz w:val="24"/>
                <w:szCs w:val="24"/>
              </w:rPr>
              <w:t>监测指标</w:t>
            </w:r>
          </w:p>
        </w:tc>
        <w:tc>
          <w:tcPr>
            <w:tcW w:w="613" w:type="dxa"/>
            <w:tcBorders>
              <w:tl2br w:val="nil"/>
              <w:tr2bl w:val="nil"/>
            </w:tcBorders>
            <w:shd w:val="clear" w:color="auto" w:fill="auto"/>
            <w:vAlign w:val="center"/>
          </w:tcPr>
          <w:p>
            <w:pPr>
              <w:pStyle w:val="26"/>
              <w:adjustRightInd w:val="0"/>
              <w:snapToGrid w:val="0"/>
              <w:jc w:val="center"/>
              <w:rPr>
                <w:rFonts w:ascii="宋体" w:hAnsi="宋体" w:cs="宋体"/>
                <w:color w:val="auto"/>
                <w:sz w:val="24"/>
                <w:szCs w:val="24"/>
              </w:rPr>
            </w:pPr>
            <w:r>
              <w:rPr>
                <w:rFonts w:hint="eastAsia" w:ascii="宋体" w:hAnsi="宋体" w:cs="宋体"/>
                <w:color w:val="auto"/>
                <w:sz w:val="24"/>
                <w:szCs w:val="24"/>
              </w:rPr>
              <w:t>监测设施</w:t>
            </w:r>
          </w:p>
        </w:tc>
        <w:tc>
          <w:tcPr>
            <w:tcW w:w="1792" w:type="dxa"/>
            <w:tcBorders>
              <w:tl2br w:val="nil"/>
              <w:tr2bl w:val="nil"/>
            </w:tcBorders>
            <w:shd w:val="clear" w:color="auto" w:fill="auto"/>
            <w:vAlign w:val="center"/>
          </w:tcPr>
          <w:p>
            <w:pPr>
              <w:pStyle w:val="26"/>
              <w:adjustRightInd w:val="0"/>
              <w:snapToGrid w:val="0"/>
              <w:jc w:val="center"/>
              <w:rPr>
                <w:rFonts w:ascii="宋体" w:hAnsi="宋体" w:cs="宋体"/>
                <w:color w:val="auto"/>
                <w:sz w:val="24"/>
                <w:szCs w:val="24"/>
              </w:rPr>
            </w:pPr>
            <w:r>
              <w:rPr>
                <w:rFonts w:hint="eastAsia" w:ascii="宋体" w:hAnsi="宋体" w:cs="宋体"/>
                <w:color w:val="auto"/>
                <w:sz w:val="24"/>
                <w:szCs w:val="24"/>
              </w:rPr>
              <w:t>排放标准</w:t>
            </w:r>
          </w:p>
        </w:tc>
        <w:tc>
          <w:tcPr>
            <w:tcW w:w="1063" w:type="dxa"/>
            <w:tcBorders>
              <w:tl2br w:val="nil"/>
              <w:tr2bl w:val="nil"/>
            </w:tcBorders>
            <w:shd w:val="clear" w:color="auto" w:fill="auto"/>
            <w:vAlign w:val="center"/>
          </w:tcPr>
          <w:p>
            <w:pPr>
              <w:pStyle w:val="26"/>
              <w:adjustRightInd w:val="0"/>
              <w:snapToGrid w:val="0"/>
              <w:jc w:val="center"/>
              <w:rPr>
                <w:rFonts w:hint="eastAsia" w:ascii="宋体" w:hAnsi="宋体" w:cs="宋体"/>
                <w:color w:val="auto"/>
                <w:sz w:val="24"/>
                <w:szCs w:val="24"/>
              </w:rPr>
            </w:pPr>
            <w:r>
              <w:rPr>
                <w:rFonts w:hint="eastAsia" w:ascii="宋体" w:hAnsi="宋体" w:cs="宋体"/>
                <w:color w:val="auto"/>
                <w:sz w:val="24"/>
                <w:szCs w:val="24"/>
              </w:rPr>
              <w:t>排放限值</w:t>
            </w:r>
          </w:p>
        </w:tc>
        <w:tc>
          <w:tcPr>
            <w:tcW w:w="1130" w:type="dxa"/>
            <w:tcBorders>
              <w:tl2br w:val="nil"/>
              <w:tr2bl w:val="nil"/>
            </w:tcBorders>
            <w:shd w:val="clear" w:color="auto" w:fill="auto"/>
            <w:vAlign w:val="center"/>
          </w:tcPr>
          <w:p>
            <w:pPr>
              <w:pStyle w:val="26"/>
              <w:adjustRightInd w:val="0"/>
              <w:snapToGrid w:val="0"/>
              <w:jc w:val="center"/>
              <w:rPr>
                <w:rFonts w:hint="eastAsia" w:ascii="宋体" w:hAnsi="宋体" w:cs="宋体"/>
                <w:color w:val="auto"/>
                <w:sz w:val="24"/>
                <w:szCs w:val="24"/>
              </w:rPr>
            </w:pPr>
            <w:r>
              <w:rPr>
                <w:rFonts w:hint="eastAsia" w:ascii="宋体" w:hAnsi="宋体" w:cs="宋体"/>
                <w:color w:val="auto"/>
                <w:sz w:val="24"/>
                <w:szCs w:val="24"/>
              </w:rPr>
              <w:t>方法检出限</w:t>
            </w:r>
          </w:p>
        </w:tc>
        <w:tc>
          <w:tcPr>
            <w:tcW w:w="538" w:type="dxa"/>
            <w:tcBorders>
              <w:tl2br w:val="nil"/>
              <w:tr2bl w:val="nil"/>
            </w:tcBorders>
            <w:shd w:val="clear" w:color="auto" w:fill="auto"/>
            <w:vAlign w:val="center"/>
          </w:tcPr>
          <w:p>
            <w:pPr>
              <w:pStyle w:val="26"/>
              <w:adjustRightInd w:val="0"/>
              <w:snapToGrid w:val="0"/>
              <w:jc w:val="center"/>
              <w:rPr>
                <w:rFonts w:hint="eastAsia" w:ascii="宋体" w:hAnsi="宋体" w:cs="宋体"/>
                <w:color w:val="auto"/>
                <w:sz w:val="24"/>
                <w:szCs w:val="24"/>
              </w:rPr>
            </w:pPr>
            <w:r>
              <w:rPr>
                <w:rFonts w:hint="eastAsia" w:ascii="宋体" w:hAnsi="宋体" w:cs="宋体"/>
                <w:color w:val="auto"/>
                <w:sz w:val="24"/>
                <w:szCs w:val="24"/>
              </w:rPr>
              <w:t>自动监测是否联网</w:t>
            </w:r>
          </w:p>
        </w:tc>
        <w:tc>
          <w:tcPr>
            <w:tcW w:w="1068" w:type="dxa"/>
            <w:tcBorders>
              <w:tl2br w:val="nil"/>
              <w:tr2bl w:val="nil"/>
            </w:tcBorders>
            <w:shd w:val="clear" w:color="auto" w:fill="auto"/>
            <w:vAlign w:val="center"/>
          </w:tcPr>
          <w:p>
            <w:pPr>
              <w:pStyle w:val="26"/>
              <w:adjustRightInd w:val="0"/>
              <w:snapToGrid w:val="0"/>
              <w:jc w:val="center"/>
              <w:rPr>
                <w:rFonts w:hint="eastAsia" w:ascii="宋体" w:hAnsi="宋体" w:cs="宋体"/>
                <w:color w:val="auto"/>
                <w:sz w:val="24"/>
                <w:szCs w:val="24"/>
              </w:rPr>
            </w:pPr>
            <w:r>
              <w:rPr>
                <w:rFonts w:hint="eastAsia" w:ascii="宋体" w:hAnsi="宋体" w:cs="宋体"/>
                <w:color w:val="auto"/>
                <w:sz w:val="24"/>
                <w:szCs w:val="24"/>
              </w:rPr>
              <w:t>自动监测仪器名称</w:t>
            </w:r>
          </w:p>
        </w:tc>
        <w:tc>
          <w:tcPr>
            <w:tcW w:w="954" w:type="dxa"/>
            <w:tcBorders>
              <w:tl2br w:val="nil"/>
              <w:tr2bl w:val="nil"/>
            </w:tcBorders>
            <w:shd w:val="clear" w:color="auto" w:fill="auto"/>
            <w:vAlign w:val="center"/>
          </w:tcPr>
          <w:p>
            <w:pPr>
              <w:pStyle w:val="26"/>
              <w:adjustRightInd w:val="0"/>
              <w:snapToGrid w:val="0"/>
              <w:jc w:val="center"/>
              <w:rPr>
                <w:rFonts w:hint="eastAsia" w:ascii="宋体" w:hAnsi="宋体" w:cs="宋体"/>
                <w:color w:val="auto"/>
                <w:sz w:val="24"/>
                <w:szCs w:val="24"/>
              </w:rPr>
            </w:pPr>
            <w:r>
              <w:rPr>
                <w:rFonts w:hint="eastAsia" w:ascii="宋体" w:hAnsi="宋体" w:cs="宋体"/>
                <w:color w:val="auto"/>
                <w:sz w:val="24"/>
                <w:szCs w:val="24"/>
              </w:rPr>
              <w:t>自动监测设施安装位置</w:t>
            </w:r>
          </w:p>
        </w:tc>
        <w:tc>
          <w:tcPr>
            <w:tcW w:w="1113" w:type="dxa"/>
            <w:tcBorders>
              <w:tl2br w:val="nil"/>
              <w:tr2bl w:val="nil"/>
            </w:tcBorders>
            <w:shd w:val="clear" w:color="auto" w:fill="auto"/>
            <w:vAlign w:val="center"/>
          </w:tcPr>
          <w:p>
            <w:pPr>
              <w:pStyle w:val="26"/>
              <w:adjustRightInd w:val="0"/>
              <w:snapToGrid w:val="0"/>
              <w:jc w:val="center"/>
              <w:rPr>
                <w:rFonts w:hint="eastAsia" w:ascii="宋体" w:hAnsi="宋体" w:cs="宋体"/>
                <w:color w:val="auto"/>
                <w:sz w:val="24"/>
                <w:szCs w:val="24"/>
              </w:rPr>
            </w:pPr>
            <w:r>
              <w:rPr>
                <w:rFonts w:hint="eastAsia" w:ascii="宋体" w:hAnsi="宋体" w:cs="宋体"/>
                <w:color w:val="auto"/>
                <w:sz w:val="24"/>
                <w:szCs w:val="24"/>
              </w:rPr>
              <w:t>自动监测设施是否符合安装、运行、维护等管理要求</w:t>
            </w:r>
          </w:p>
        </w:tc>
        <w:tc>
          <w:tcPr>
            <w:tcW w:w="1399" w:type="dxa"/>
            <w:tcBorders>
              <w:tl2br w:val="nil"/>
              <w:tr2bl w:val="nil"/>
            </w:tcBorders>
            <w:shd w:val="clear" w:color="auto" w:fill="auto"/>
            <w:vAlign w:val="center"/>
          </w:tcPr>
          <w:p>
            <w:pPr>
              <w:pStyle w:val="26"/>
              <w:adjustRightInd w:val="0"/>
              <w:snapToGrid w:val="0"/>
              <w:jc w:val="center"/>
              <w:rPr>
                <w:rFonts w:hint="eastAsia" w:ascii="宋体" w:hAnsi="宋体" w:cs="宋体"/>
                <w:color w:val="auto"/>
                <w:sz w:val="24"/>
                <w:szCs w:val="24"/>
              </w:rPr>
            </w:pPr>
            <w:r>
              <w:rPr>
                <w:rFonts w:hint="eastAsia" w:ascii="宋体" w:hAnsi="宋体" w:cs="宋体"/>
                <w:color w:val="auto"/>
                <w:sz w:val="24"/>
                <w:szCs w:val="24"/>
              </w:rPr>
              <w:t>手工监测采样方法及个数</w:t>
            </w:r>
          </w:p>
        </w:tc>
        <w:tc>
          <w:tcPr>
            <w:tcW w:w="711" w:type="dxa"/>
            <w:tcBorders>
              <w:tl2br w:val="nil"/>
              <w:tr2bl w:val="nil"/>
            </w:tcBorders>
            <w:shd w:val="clear" w:color="auto" w:fill="auto"/>
            <w:vAlign w:val="center"/>
          </w:tcPr>
          <w:p>
            <w:pPr>
              <w:pStyle w:val="26"/>
              <w:adjustRightInd w:val="0"/>
              <w:snapToGrid w:val="0"/>
              <w:jc w:val="center"/>
              <w:rPr>
                <w:rFonts w:hint="eastAsia" w:ascii="宋体" w:hAnsi="宋体" w:cs="宋体"/>
                <w:color w:val="auto"/>
                <w:sz w:val="24"/>
                <w:szCs w:val="24"/>
              </w:rPr>
            </w:pPr>
            <w:r>
              <w:rPr>
                <w:rFonts w:hint="eastAsia" w:ascii="宋体" w:hAnsi="宋体" w:cs="宋体"/>
                <w:color w:val="auto"/>
                <w:sz w:val="24"/>
                <w:szCs w:val="24"/>
              </w:rPr>
              <w:t>手工监测频次（处理量≥2万吨/日）</w:t>
            </w:r>
          </w:p>
        </w:tc>
        <w:tc>
          <w:tcPr>
            <w:tcW w:w="1865" w:type="dxa"/>
            <w:tcBorders>
              <w:tl2br w:val="nil"/>
              <w:tr2bl w:val="nil"/>
            </w:tcBorders>
            <w:shd w:val="clear" w:color="auto" w:fill="auto"/>
            <w:vAlign w:val="center"/>
          </w:tcPr>
          <w:p>
            <w:pPr>
              <w:pStyle w:val="26"/>
              <w:adjustRightInd w:val="0"/>
              <w:snapToGrid w:val="0"/>
              <w:jc w:val="center"/>
              <w:rPr>
                <w:rFonts w:hint="eastAsia" w:ascii="宋体" w:hAnsi="宋体" w:cs="宋体"/>
                <w:color w:val="auto"/>
                <w:sz w:val="24"/>
                <w:szCs w:val="24"/>
              </w:rPr>
            </w:pPr>
            <w:r>
              <w:rPr>
                <w:rFonts w:hint="eastAsia" w:ascii="宋体" w:hAnsi="宋体" w:cs="宋体"/>
                <w:color w:val="auto"/>
                <w:sz w:val="24"/>
                <w:szCs w:val="24"/>
              </w:rPr>
              <w:t>手工测定方法</w:t>
            </w:r>
          </w:p>
        </w:tc>
        <w:tc>
          <w:tcPr>
            <w:tcW w:w="956" w:type="dxa"/>
            <w:tcBorders>
              <w:tl2br w:val="nil"/>
              <w:tr2bl w:val="nil"/>
            </w:tcBorders>
            <w:shd w:val="clear" w:color="auto" w:fill="auto"/>
            <w:vAlign w:val="center"/>
          </w:tcPr>
          <w:p>
            <w:pPr>
              <w:pStyle w:val="26"/>
              <w:adjustRightInd w:val="0"/>
              <w:snapToGrid w:val="0"/>
              <w:jc w:val="center"/>
              <w:rPr>
                <w:rFonts w:ascii="宋体" w:hAnsi="宋体" w:cs="宋体"/>
                <w:color w:val="auto"/>
                <w:sz w:val="24"/>
                <w:szCs w:val="24"/>
              </w:rPr>
            </w:pPr>
            <w:r>
              <w:rPr>
                <w:rFonts w:hint="eastAsia" w:ascii="宋体" w:hAnsi="宋体" w:cs="宋体"/>
                <w:color w:val="auto"/>
                <w:sz w:val="24"/>
                <w:szCs w:val="24"/>
              </w:rPr>
              <w:t>手工检测设备</w:t>
            </w:r>
          </w:p>
        </w:tc>
        <w:tc>
          <w:tcPr>
            <w:tcW w:w="1367" w:type="dxa"/>
            <w:tcBorders>
              <w:tl2br w:val="nil"/>
              <w:tr2bl w:val="nil"/>
            </w:tcBorders>
            <w:shd w:val="clear" w:color="auto" w:fill="auto"/>
            <w:vAlign w:val="center"/>
          </w:tcPr>
          <w:p>
            <w:pPr>
              <w:pStyle w:val="26"/>
              <w:adjustRightInd w:val="0"/>
              <w:snapToGrid w:val="0"/>
              <w:jc w:val="center"/>
              <w:rPr>
                <w:rFonts w:ascii="宋体" w:hAnsi="宋体" w:cs="宋体"/>
                <w:color w:val="auto"/>
                <w:sz w:val="24"/>
                <w:szCs w:val="24"/>
              </w:rPr>
            </w:pPr>
            <w:r>
              <w:rPr>
                <w:rFonts w:hint="eastAsia" w:ascii="宋体" w:hAnsi="宋体" w:cs="宋体"/>
                <w:color w:val="auto"/>
                <w:sz w:val="24"/>
                <w:szCs w:val="24"/>
              </w:rPr>
              <w:t>样品保存</w:t>
            </w:r>
          </w:p>
        </w:tc>
        <w:tc>
          <w:tcPr>
            <w:tcW w:w="1293" w:type="dxa"/>
            <w:tcBorders>
              <w:tl2br w:val="nil"/>
              <w:tr2bl w:val="nil"/>
            </w:tcBorders>
            <w:shd w:val="clear" w:color="auto" w:fill="auto"/>
            <w:vAlign w:val="center"/>
          </w:tcPr>
          <w:p>
            <w:pPr>
              <w:pStyle w:val="26"/>
              <w:adjustRightInd w:val="0"/>
              <w:snapToGrid w:val="0"/>
              <w:jc w:val="center"/>
              <w:rPr>
                <w:rFonts w:ascii="宋体" w:hAnsi="宋体" w:cs="宋体"/>
                <w:color w:val="auto"/>
                <w:sz w:val="24"/>
                <w:szCs w:val="24"/>
              </w:rPr>
            </w:pPr>
            <w:r>
              <w:rPr>
                <w:rFonts w:hint="eastAsia" w:ascii="宋体" w:hAnsi="宋体" w:cs="宋体"/>
                <w:color w:val="auto"/>
                <w:sz w:val="24"/>
                <w:szCs w:val="24"/>
              </w:rPr>
              <w:t>其他信息</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2410" w:hRule="atLeast"/>
        </w:trPr>
        <w:tc>
          <w:tcPr>
            <w:tcW w:w="506"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rPr>
            </w:pPr>
            <w:r>
              <w:rPr>
                <w:rFonts w:hint="eastAsia" w:ascii="宋体" w:hAnsi="宋体" w:eastAsia="宋体" w:cs="宋体"/>
                <w:color w:val="auto"/>
                <w:kern w:val="0"/>
                <w:sz w:val="24"/>
                <w:szCs w:val="24"/>
              </w:rPr>
              <w:t>1</w:t>
            </w:r>
          </w:p>
        </w:tc>
        <w:tc>
          <w:tcPr>
            <w:tcW w:w="813"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rPr>
            </w:pPr>
            <w:r>
              <w:rPr>
                <w:rFonts w:hint="eastAsia" w:ascii="宋体" w:hAnsi="宋体" w:eastAsia="宋体" w:cs="宋体"/>
                <w:color w:val="auto"/>
                <w:kern w:val="0"/>
                <w:sz w:val="24"/>
                <w:szCs w:val="24"/>
              </w:rPr>
              <w:t>废水</w:t>
            </w:r>
          </w:p>
        </w:tc>
        <w:tc>
          <w:tcPr>
            <w:tcW w:w="867" w:type="dxa"/>
            <w:tcBorders>
              <w:tl2br w:val="nil"/>
              <w:tr2bl w:val="nil"/>
            </w:tcBorders>
            <w:shd w:val="clear" w:color="auto" w:fill="auto"/>
            <w:vAlign w:val="center"/>
          </w:tcPr>
          <w:p>
            <w:pPr>
              <w:widowControl/>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DW001</w:t>
            </w:r>
          </w:p>
        </w:tc>
        <w:tc>
          <w:tcPr>
            <w:tcW w:w="1084" w:type="dxa"/>
            <w:tcBorders>
              <w:tl2br w:val="nil"/>
              <w:tr2bl w:val="nil"/>
            </w:tcBorders>
            <w:shd w:val="clear" w:color="auto" w:fill="auto"/>
            <w:vAlign w:val="center"/>
          </w:tcPr>
          <w:p>
            <w:pPr>
              <w:widowControl/>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污水排放口</w:t>
            </w:r>
          </w:p>
        </w:tc>
        <w:tc>
          <w:tcPr>
            <w:tcW w:w="957" w:type="dxa"/>
            <w:tcBorders>
              <w:tl2br w:val="nil"/>
              <w:tr2bl w:val="nil"/>
            </w:tcBorders>
            <w:shd w:val="clear" w:color="auto" w:fill="auto"/>
            <w:vAlign w:val="center"/>
          </w:tcPr>
          <w:p>
            <w:pPr>
              <w:widowControl/>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pH值</w:t>
            </w:r>
          </w:p>
        </w:tc>
        <w:tc>
          <w:tcPr>
            <w:tcW w:w="613" w:type="dxa"/>
            <w:tcBorders>
              <w:tl2br w:val="nil"/>
              <w:tr2bl w:val="nil"/>
            </w:tcBorders>
            <w:shd w:val="clear" w:color="auto" w:fill="auto"/>
            <w:vAlign w:val="center"/>
          </w:tcPr>
          <w:p>
            <w:pPr>
              <w:widowControl/>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自动</w:t>
            </w:r>
          </w:p>
        </w:tc>
        <w:tc>
          <w:tcPr>
            <w:tcW w:w="1792" w:type="dxa"/>
            <w:tcBorders>
              <w:tl2br w:val="nil"/>
              <w:tr2bl w:val="nil"/>
            </w:tcBorders>
            <w:shd w:val="clear" w:color="auto" w:fill="auto"/>
            <w:vAlign w:val="center"/>
          </w:tcPr>
          <w:p>
            <w:pPr>
              <w:widowControl/>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《城镇污水处理厂污染物排放标准》（GB18918-2002）一级A标准排放</w:t>
            </w:r>
          </w:p>
        </w:tc>
        <w:tc>
          <w:tcPr>
            <w:tcW w:w="1063" w:type="dxa"/>
            <w:tcBorders>
              <w:tl2br w:val="nil"/>
              <w:tr2bl w:val="nil"/>
            </w:tcBorders>
            <w:shd w:val="clear" w:color="auto" w:fill="auto"/>
            <w:vAlign w:val="center"/>
          </w:tcPr>
          <w:p>
            <w:pPr>
              <w:widowControl/>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6-9（无量纲）</w:t>
            </w:r>
          </w:p>
        </w:tc>
        <w:tc>
          <w:tcPr>
            <w:tcW w:w="1130" w:type="dxa"/>
            <w:tcBorders>
              <w:tl2br w:val="nil"/>
              <w:tr2bl w:val="nil"/>
            </w:tcBorders>
            <w:shd w:val="clear" w:color="auto" w:fill="auto"/>
            <w:vAlign w:val="center"/>
          </w:tcPr>
          <w:p>
            <w:pPr>
              <w:widowControl/>
              <w:jc w:val="center"/>
              <w:textAlignment w:val="center"/>
              <w:rPr>
                <w:rFonts w:hint="default"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w:t>
            </w:r>
          </w:p>
        </w:tc>
        <w:tc>
          <w:tcPr>
            <w:tcW w:w="538" w:type="dxa"/>
            <w:tcBorders>
              <w:tl2br w:val="nil"/>
              <w:tr2bl w:val="nil"/>
            </w:tcBorders>
            <w:shd w:val="clear" w:color="auto" w:fill="auto"/>
            <w:vAlign w:val="center"/>
          </w:tcPr>
          <w:p>
            <w:pPr>
              <w:widowControl/>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是</w:t>
            </w:r>
          </w:p>
        </w:tc>
        <w:tc>
          <w:tcPr>
            <w:tcW w:w="1068" w:type="dxa"/>
            <w:tcBorders>
              <w:tl2br w:val="nil"/>
              <w:tr2bl w:val="nil"/>
            </w:tcBorders>
            <w:shd w:val="clear" w:color="auto" w:fill="auto"/>
            <w:vAlign w:val="center"/>
          </w:tcPr>
          <w:p>
            <w:pPr>
              <w:widowControl/>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pH/T在线监测设备</w:t>
            </w:r>
          </w:p>
          <w:p>
            <w:pPr>
              <w:widowControl/>
              <w:jc w:val="center"/>
              <w:textAlignment w:val="center"/>
              <w:rPr>
                <w:rFonts w:hint="eastAsia" w:ascii="宋体" w:hAnsi="宋体" w:eastAsia="宋体" w:cs="宋体"/>
                <w:color w:val="auto"/>
                <w:kern w:val="0"/>
                <w:sz w:val="24"/>
                <w:szCs w:val="24"/>
              </w:rPr>
            </w:pPr>
          </w:p>
        </w:tc>
        <w:tc>
          <w:tcPr>
            <w:tcW w:w="954" w:type="dxa"/>
            <w:tcBorders>
              <w:tl2br w:val="nil"/>
              <w:tr2bl w:val="nil"/>
            </w:tcBorders>
            <w:shd w:val="clear" w:color="auto" w:fill="auto"/>
            <w:vAlign w:val="center"/>
          </w:tcPr>
          <w:p>
            <w:pPr>
              <w:widowControl/>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出水在线监测房</w:t>
            </w:r>
          </w:p>
        </w:tc>
        <w:tc>
          <w:tcPr>
            <w:tcW w:w="1113"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rPr>
            </w:pPr>
            <w:r>
              <w:rPr>
                <w:rFonts w:hint="eastAsia" w:ascii="宋体" w:hAnsi="宋体" w:eastAsia="宋体" w:cs="宋体"/>
                <w:color w:val="auto"/>
                <w:kern w:val="0"/>
                <w:sz w:val="24"/>
                <w:szCs w:val="24"/>
              </w:rPr>
              <w:t>是</w:t>
            </w:r>
          </w:p>
        </w:tc>
        <w:tc>
          <w:tcPr>
            <w:tcW w:w="1399"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rPr>
            </w:pPr>
            <w:r>
              <w:rPr>
                <w:rFonts w:hint="eastAsia" w:ascii="宋体" w:hAnsi="宋体" w:eastAsia="宋体" w:cs="宋体"/>
                <w:color w:val="auto"/>
                <w:kern w:val="0"/>
                <w:sz w:val="24"/>
                <w:szCs w:val="24"/>
              </w:rPr>
              <w:t>/</w:t>
            </w:r>
          </w:p>
        </w:tc>
        <w:tc>
          <w:tcPr>
            <w:tcW w:w="711"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rPr>
            </w:pPr>
            <w:r>
              <w:rPr>
                <w:rFonts w:hint="eastAsia" w:ascii="宋体" w:hAnsi="宋体" w:eastAsia="宋体" w:cs="宋体"/>
                <w:color w:val="auto"/>
                <w:kern w:val="0"/>
                <w:sz w:val="24"/>
                <w:szCs w:val="24"/>
              </w:rPr>
              <w:t>/</w:t>
            </w:r>
          </w:p>
        </w:tc>
        <w:tc>
          <w:tcPr>
            <w:tcW w:w="1865"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rPr>
            </w:pPr>
            <w:r>
              <w:rPr>
                <w:rFonts w:hint="eastAsia" w:ascii="宋体" w:hAnsi="宋体" w:eastAsia="宋体" w:cs="宋体"/>
                <w:color w:val="auto"/>
                <w:kern w:val="0"/>
                <w:sz w:val="24"/>
                <w:szCs w:val="24"/>
              </w:rPr>
              <w:t>/</w:t>
            </w:r>
          </w:p>
        </w:tc>
        <w:tc>
          <w:tcPr>
            <w:tcW w:w="956"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rPr>
            </w:pPr>
            <w:r>
              <w:rPr>
                <w:rFonts w:hint="eastAsia" w:ascii="宋体" w:hAnsi="宋体" w:eastAsia="宋体" w:cs="宋体"/>
                <w:color w:val="auto"/>
                <w:kern w:val="0"/>
                <w:sz w:val="24"/>
                <w:szCs w:val="24"/>
              </w:rPr>
              <w:t>/</w:t>
            </w:r>
          </w:p>
        </w:tc>
        <w:tc>
          <w:tcPr>
            <w:tcW w:w="1367" w:type="dxa"/>
            <w:tcBorders>
              <w:tl2br w:val="nil"/>
              <w:tr2bl w:val="nil"/>
            </w:tcBorders>
            <w:shd w:val="clear" w:color="auto" w:fill="auto"/>
            <w:vAlign w:val="center"/>
          </w:tcPr>
          <w:p>
            <w:pPr>
              <w:adjustRightInd w:val="0"/>
              <w:snapToGrid w:val="0"/>
              <w:spacing w:beforeLines="80"/>
              <w:jc w:val="center"/>
              <w:rPr>
                <w:rFonts w:ascii="宋体" w:hAnsi="宋体" w:eastAsia="宋体" w:cs="宋体"/>
                <w:color w:val="auto"/>
                <w:sz w:val="24"/>
                <w:szCs w:val="24"/>
              </w:rPr>
            </w:pPr>
            <w:r>
              <w:rPr>
                <w:rFonts w:hint="eastAsia" w:ascii="宋体" w:hAnsi="宋体" w:eastAsia="宋体" w:cs="宋体"/>
                <w:color w:val="auto"/>
                <w:kern w:val="0"/>
                <w:sz w:val="24"/>
                <w:szCs w:val="24"/>
              </w:rPr>
              <w:t>/</w:t>
            </w:r>
          </w:p>
        </w:tc>
        <w:tc>
          <w:tcPr>
            <w:tcW w:w="1293" w:type="dxa"/>
            <w:tcBorders>
              <w:tl2br w:val="nil"/>
              <w:tr2bl w:val="nil"/>
            </w:tcBorders>
            <w:shd w:val="clear" w:color="auto" w:fill="auto"/>
            <w:vAlign w:val="center"/>
          </w:tcPr>
          <w:p>
            <w:pPr>
              <w:adjustRightInd w:val="0"/>
              <w:snapToGrid w:val="0"/>
              <w:spacing w:beforeLines="80"/>
              <w:jc w:val="left"/>
              <w:rPr>
                <w:rFonts w:ascii="宋体" w:hAnsi="宋体" w:eastAsia="宋体" w:cs="宋体"/>
                <w:color w:val="auto"/>
                <w:sz w:val="24"/>
                <w:szCs w:val="24"/>
              </w:rPr>
            </w:pPr>
            <w:r>
              <w:rPr>
                <w:rFonts w:hint="eastAsia" w:ascii="宋体" w:hAnsi="宋体" w:eastAsia="宋体" w:cs="宋体"/>
                <w:color w:val="auto"/>
                <w:kern w:val="0"/>
                <w:sz w:val="24"/>
                <w:szCs w:val="24"/>
              </w:rPr>
              <w:t>自动监测设备出现故障时开展手工监测，每4小时监测一次</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2410" w:hRule="atLeast"/>
        </w:trPr>
        <w:tc>
          <w:tcPr>
            <w:tcW w:w="506"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rPr>
            </w:pPr>
            <w:r>
              <w:rPr>
                <w:rFonts w:ascii="宋体" w:hAnsi="宋体" w:eastAsia="宋体" w:cs="宋体"/>
                <w:color w:val="auto"/>
                <w:kern w:val="0"/>
                <w:sz w:val="24"/>
                <w:szCs w:val="24"/>
              </w:rPr>
              <w:t>2</w:t>
            </w:r>
          </w:p>
        </w:tc>
        <w:tc>
          <w:tcPr>
            <w:tcW w:w="813"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rPr>
            </w:pPr>
            <w:r>
              <w:rPr>
                <w:rFonts w:hint="eastAsia" w:ascii="宋体" w:hAnsi="宋体" w:eastAsia="宋体" w:cs="宋体"/>
                <w:color w:val="auto"/>
                <w:kern w:val="0"/>
                <w:sz w:val="24"/>
                <w:szCs w:val="24"/>
              </w:rPr>
              <w:t>废水</w:t>
            </w:r>
          </w:p>
        </w:tc>
        <w:tc>
          <w:tcPr>
            <w:tcW w:w="867"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rPr>
            </w:pPr>
            <w:r>
              <w:rPr>
                <w:rFonts w:hint="eastAsia" w:ascii="宋体" w:hAnsi="宋体" w:eastAsia="宋体" w:cs="宋体"/>
                <w:color w:val="auto"/>
                <w:kern w:val="0"/>
                <w:sz w:val="24"/>
                <w:szCs w:val="24"/>
              </w:rPr>
              <w:t>DW001</w:t>
            </w:r>
          </w:p>
        </w:tc>
        <w:tc>
          <w:tcPr>
            <w:tcW w:w="1084"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rPr>
            </w:pPr>
            <w:r>
              <w:rPr>
                <w:rFonts w:hint="eastAsia" w:ascii="宋体" w:hAnsi="宋体" w:eastAsia="宋体" w:cs="宋体"/>
                <w:color w:val="auto"/>
                <w:kern w:val="0"/>
                <w:sz w:val="24"/>
                <w:szCs w:val="24"/>
              </w:rPr>
              <w:t>污水排放口</w:t>
            </w:r>
          </w:p>
        </w:tc>
        <w:tc>
          <w:tcPr>
            <w:tcW w:w="957"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rPr>
            </w:pPr>
            <w:r>
              <w:rPr>
                <w:rFonts w:hint="eastAsia" w:ascii="宋体" w:hAnsi="宋体" w:eastAsia="宋体" w:cs="宋体"/>
                <w:color w:val="auto"/>
                <w:kern w:val="0"/>
                <w:sz w:val="24"/>
                <w:szCs w:val="24"/>
              </w:rPr>
              <w:t>化学需氧量</w:t>
            </w:r>
          </w:p>
        </w:tc>
        <w:tc>
          <w:tcPr>
            <w:tcW w:w="613"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rPr>
            </w:pPr>
            <w:r>
              <w:rPr>
                <w:rFonts w:hint="eastAsia" w:ascii="宋体" w:hAnsi="宋体" w:eastAsia="宋体" w:cs="宋体"/>
                <w:color w:val="auto"/>
                <w:kern w:val="0"/>
                <w:sz w:val="24"/>
                <w:szCs w:val="24"/>
              </w:rPr>
              <w:t>自动</w:t>
            </w:r>
          </w:p>
        </w:tc>
        <w:tc>
          <w:tcPr>
            <w:tcW w:w="1792" w:type="dxa"/>
            <w:tcBorders>
              <w:tl2br w:val="nil"/>
              <w:tr2bl w:val="nil"/>
            </w:tcBorders>
            <w:shd w:val="clear" w:color="auto" w:fill="auto"/>
            <w:vAlign w:val="center"/>
          </w:tcPr>
          <w:p>
            <w:pPr>
              <w:jc w:val="center"/>
              <w:rPr>
                <w:rFonts w:ascii="宋体" w:hAnsi="宋体" w:eastAsia="宋体" w:cs="宋体"/>
                <w:color w:val="auto"/>
                <w:sz w:val="24"/>
                <w:szCs w:val="24"/>
              </w:rPr>
            </w:pPr>
            <w:r>
              <w:rPr>
                <w:rFonts w:hint="eastAsia" w:ascii="宋体" w:hAnsi="宋体" w:eastAsia="宋体" w:cs="宋体"/>
                <w:color w:val="auto"/>
                <w:sz w:val="24"/>
                <w:szCs w:val="24"/>
              </w:rPr>
              <w:t>《城镇污水处理厂污染物排放标准》（GB18918-2002）一级A标准排放</w:t>
            </w:r>
          </w:p>
        </w:tc>
        <w:tc>
          <w:tcPr>
            <w:tcW w:w="1063" w:type="dxa"/>
            <w:tcBorders>
              <w:tl2br w:val="nil"/>
              <w:tr2bl w:val="nil"/>
            </w:tcBorders>
            <w:shd w:val="clear" w:color="auto" w:fill="auto"/>
            <w:vAlign w:val="center"/>
          </w:tcPr>
          <w:p>
            <w:pPr>
              <w:jc w:val="center"/>
              <w:rPr>
                <w:rFonts w:ascii="宋体" w:hAnsi="宋体" w:eastAsia="宋体" w:cs="宋体"/>
                <w:color w:val="auto"/>
                <w:sz w:val="24"/>
                <w:szCs w:val="24"/>
              </w:rPr>
            </w:pPr>
            <w:r>
              <w:rPr>
                <w:rFonts w:hint="eastAsia" w:ascii="宋体" w:hAnsi="宋体" w:eastAsia="宋体" w:cs="宋体"/>
                <w:color w:val="auto"/>
                <w:sz w:val="24"/>
                <w:szCs w:val="24"/>
              </w:rPr>
              <w:t>50mg/L</w:t>
            </w:r>
          </w:p>
        </w:tc>
        <w:tc>
          <w:tcPr>
            <w:tcW w:w="1130" w:type="dxa"/>
            <w:tcBorders>
              <w:tl2br w:val="nil"/>
              <w:tr2bl w:val="nil"/>
            </w:tcBorders>
            <w:shd w:val="clear" w:color="auto" w:fill="auto"/>
            <w:vAlign w:val="center"/>
          </w:tcPr>
          <w:p>
            <w:pPr>
              <w:jc w:val="center"/>
              <w:rPr>
                <w:rFonts w:hint="default"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eastAsia="zh-CN"/>
              </w:rPr>
              <w:t>0-150</w:t>
            </w:r>
          </w:p>
        </w:tc>
        <w:tc>
          <w:tcPr>
            <w:tcW w:w="538"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rPr>
            </w:pPr>
            <w:r>
              <w:rPr>
                <w:rFonts w:hint="eastAsia" w:ascii="宋体" w:hAnsi="宋体" w:eastAsia="宋体" w:cs="宋体"/>
                <w:color w:val="auto"/>
                <w:kern w:val="0"/>
                <w:sz w:val="24"/>
                <w:szCs w:val="24"/>
              </w:rPr>
              <w:t>是</w:t>
            </w:r>
          </w:p>
        </w:tc>
        <w:tc>
          <w:tcPr>
            <w:tcW w:w="1068"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rPr>
            </w:pPr>
            <w:r>
              <w:rPr>
                <w:rFonts w:hint="eastAsia" w:ascii="宋体" w:hAnsi="宋体" w:eastAsia="宋体" w:cs="宋体"/>
                <w:color w:val="auto"/>
                <w:kern w:val="0"/>
                <w:sz w:val="24"/>
                <w:szCs w:val="24"/>
              </w:rPr>
              <w:t>COD在线监测设备</w:t>
            </w:r>
          </w:p>
        </w:tc>
        <w:tc>
          <w:tcPr>
            <w:tcW w:w="954"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rPr>
            </w:pPr>
            <w:r>
              <w:rPr>
                <w:rFonts w:hint="eastAsia" w:ascii="宋体" w:hAnsi="宋体" w:eastAsia="宋体" w:cs="宋体"/>
                <w:color w:val="auto"/>
                <w:kern w:val="0"/>
                <w:sz w:val="24"/>
                <w:szCs w:val="24"/>
              </w:rPr>
              <w:t>出水在线监测房</w:t>
            </w:r>
          </w:p>
        </w:tc>
        <w:tc>
          <w:tcPr>
            <w:tcW w:w="1113"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rPr>
            </w:pPr>
            <w:r>
              <w:rPr>
                <w:rFonts w:hint="eastAsia" w:ascii="宋体" w:hAnsi="宋体" w:eastAsia="宋体" w:cs="宋体"/>
                <w:color w:val="auto"/>
                <w:kern w:val="0"/>
                <w:sz w:val="24"/>
                <w:szCs w:val="24"/>
              </w:rPr>
              <w:t>是</w:t>
            </w:r>
          </w:p>
        </w:tc>
        <w:tc>
          <w:tcPr>
            <w:tcW w:w="1399"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rPr>
            </w:pPr>
            <w:r>
              <w:rPr>
                <w:rFonts w:hint="eastAsia" w:ascii="宋体" w:hAnsi="宋体" w:eastAsia="宋体" w:cs="宋体"/>
                <w:color w:val="auto"/>
                <w:kern w:val="0"/>
                <w:sz w:val="24"/>
                <w:szCs w:val="24"/>
              </w:rPr>
              <w:t>/</w:t>
            </w:r>
          </w:p>
        </w:tc>
        <w:tc>
          <w:tcPr>
            <w:tcW w:w="711"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rPr>
            </w:pPr>
            <w:r>
              <w:rPr>
                <w:rFonts w:hint="eastAsia" w:ascii="宋体" w:hAnsi="宋体" w:eastAsia="宋体" w:cs="宋体"/>
                <w:color w:val="auto"/>
                <w:kern w:val="0"/>
                <w:sz w:val="24"/>
                <w:szCs w:val="24"/>
              </w:rPr>
              <w:t>/</w:t>
            </w:r>
          </w:p>
        </w:tc>
        <w:tc>
          <w:tcPr>
            <w:tcW w:w="1865"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rPr>
            </w:pPr>
            <w:r>
              <w:rPr>
                <w:rFonts w:hint="eastAsia" w:ascii="宋体" w:hAnsi="宋体" w:eastAsia="宋体" w:cs="宋体"/>
                <w:color w:val="auto"/>
                <w:kern w:val="0"/>
                <w:sz w:val="24"/>
                <w:szCs w:val="24"/>
              </w:rPr>
              <w:t>/</w:t>
            </w:r>
          </w:p>
        </w:tc>
        <w:tc>
          <w:tcPr>
            <w:tcW w:w="956" w:type="dxa"/>
            <w:tcBorders>
              <w:tl2br w:val="nil"/>
              <w:tr2bl w:val="nil"/>
            </w:tcBorders>
            <w:shd w:val="clear" w:color="auto" w:fill="auto"/>
            <w:vAlign w:val="center"/>
          </w:tcPr>
          <w:p>
            <w:pPr>
              <w:widowControl/>
              <w:jc w:val="center"/>
              <w:textAlignment w:val="center"/>
              <w:rPr>
                <w:rStyle w:val="31"/>
                <w:rFonts w:ascii="宋体" w:hAnsi="宋体" w:eastAsia="宋体" w:cs="宋体"/>
                <w:color w:val="auto"/>
                <w:sz w:val="24"/>
                <w:szCs w:val="24"/>
              </w:rPr>
            </w:pPr>
            <w:r>
              <w:rPr>
                <w:rStyle w:val="31"/>
                <w:rFonts w:hint="eastAsia" w:ascii="宋体" w:hAnsi="宋体" w:eastAsia="宋体" w:cs="宋体"/>
                <w:color w:val="auto"/>
                <w:sz w:val="24"/>
                <w:szCs w:val="24"/>
              </w:rPr>
              <w:t>/</w:t>
            </w:r>
          </w:p>
        </w:tc>
        <w:tc>
          <w:tcPr>
            <w:tcW w:w="1367" w:type="dxa"/>
            <w:tcBorders>
              <w:tl2br w:val="nil"/>
              <w:tr2bl w:val="nil"/>
            </w:tcBorders>
            <w:shd w:val="clear" w:color="auto" w:fill="auto"/>
            <w:vAlign w:val="center"/>
          </w:tcPr>
          <w:p>
            <w:pPr>
              <w:adjustRightInd w:val="0"/>
              <w:snapToGrid w:val="0"/>
              <w:spacing w:beforeLines="80"/>
              <w:jc w:val="center"/>
              <w:rPr>
                <w:rFonts w:ascii="宋体" w:hAnsi="宋体" w:eastAsia="宋体" w:cs="宋体"/>
                <w:color w:val="auto"/>
                <w:kern w:val="0"/>
                <w:sz w:val="24"/>
                <w:szCs w:val="24"/>
              </w:rPr>
            </w:pPr>
            <w:r>
              <w:rPr>
                <w:rStyle w:val="31"/>
                <w:rFonts w:hint="eastAsia" w:ascii="宋体" w:hAnsi="宋体" w:eastAsia="宋体" w:cs="宋体"/>
                <w:color w:val="auto"/>
                <w:sz w:val="24"/>
                <w:szCs w:val="24"/>
              </w:rPr>
              <w:t>/</w:t>
            </w:r>
          </w:p>
        </w:tc>
        <w:tc>
          <w:tcPr>
            <w:tcW w:w="1293" w:type="dxa"/>
            <w:tcBorders>
              <w:tl2br w:val="nil"/>
              <w:tr2bl w:val="nil"/>
            </w:tcBorders>
            <w:shd w:val="clear" w:color="auto" w:fill="auto"/>
            <w:vAlign w:val="center"/>
          </w:tcPr>
          <w:p>
            <w:pPr>
              <w:adjustRightInd w:val="0"/>
              <w:snapToGrid w:val="0"/>
              <w:spacing w:beforeLines="80"/>
              <w:jc w:val="left"/>
              <w:rPr>
                <w:rFonts w:ascii="宋体" w:hAnsi="宋体" w:eastAsia="宋体" w:cs="宋体"/>
                <w:color w:val="auto"/>
                <w:kern w:val="0"/>
                <w:sz w:val="24"/>
                <w:szCs w:val="24"/>
              </w:rPr>
            </w:pPr>
            <w:r>
              <w:rPr>
                <w:rFonts w:hint="eastAsia" w:ascii="宋体" w:hAnsi="宋体" w:eastAsia="宋体" w:cs="宋体"/>
                <w:color w:val="auto"/>
                <w:kern w:val="0"/>
                <w:sz w:val="24"/>
                <w:szCs w:val="24"/>
              </w:rPr>
              <w:t>自动监测设备出现故障时开展手工监测，每4小时监测一次</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2410" w:hRule="atLeast"/>
        </w:trPr>
        <w:tc>
          <w:tcPr>
            <w:tcW w:w="506"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rPr>
            </w:pPr>
            <w:r>
              <w:rPr>
                <w:rFonts w:ascii="宋体" w:hAnsi="宋体" w:eastAsia="宋体" w:cs="宋体"/>
                <w:color w:val="auto"/>
                <w:kern w:val="0"/>
                <w:sz w:val="24"/>
                <w:szCs w:val="24"/>
              </w:rPr>
              <w:t>3</w:t>
            </w:r>
          </w:p>
        </w:tc>
        <w:tc>
          <w:tcPr>
            <w:tcW w:w="813"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rPr>
            </w:pPr>
            <w:r>
              <w:rPr>
                <w:rFonts w:hint="eastAsia" w:ascii="宋体" w:hAnsi="宋体" w:eastAsia="宋体" w:cs="宋体"/>
                <w:color w:val="auto"/>
                <w:kern w:val="0"/>
                <w:sz w:val="24"/>
                <w:szCs w:val="24"/>
              </w:rPr>
              <w:t>废水</w:t>
            </w:r>
          </w:p>
        </w:tc>
        <w:tc>
          <w:tcPr>
            <w:tcW w:w="867"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rPr>
            </w:pPr>
            <w:r>
              <w:rPr>
                <w:rFonts w:hint="eastAsia" w:ascii="宋体" w:hAnsi="宋体" w:eastAsia="宋体" w:cs="宋体"/>
                <w:color w:val="auto"/>
                <w:kern w:val="0"/>
                <w:sz w:val="24"/>
                <w:szCs w:val="24"/>
              </w:rPr>
              <w:t>DW001</w:t>
            </w:r>
          </w:p>
        </w:tc>
        <w:tc>
          <w:tcPr>
            <w:tcW w:w="1084"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rPr>
            </w:pPr>
            <w:r>
              <w:rPr>
                <w:rFonts w:hint="eastAsia" w:ascii="宋体" w:hAnsi="宋体" w:eastAsia="宋体" w:cs="宋体"/>
                <w:color w:val="auto"/>
                <w:kern w:val="0"/>
                <w:sz w:val="24"/>
                <w:szCs w:val="24"/>
              </w:rPr>
              <w:t>污水排放口</w:t>
            </w:r>
          </w:p>
        </w:tc>
        <w:tc>
          <w:tcPr>
            <w:tcW w:w="957"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rPr>
            </w:pPr>
            <w:r>
              <w:rPr>
                <w:rFonts w:hint="eastAsia" w:ascii="宋体" w:hAnsi="宋体" w:eastAsia="宋体" w:cs="宋体"/>
                <w:color w:val="auto"/>
                <w:kern w:val="0"/>
                <w:sz w:val="24"/>
                <w:szCs w:val="24"/>
              </w:rPr>
              <w:t>总氮（以N计）</w:t>
            </w:r>
          </w:p>
        </w:tc>
        <w:tc>
          <w:tcPr>
            <w:tcW w:w="613"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rPr>
            </w:pPr>
            <w:r>
              <w:rPr>
                <w:rFonts w:hint="eastAsia" w:ascii="宋体" w:hAnsi="宋体" w:eastAsia="宋体" w:cs="宋体"/>
                <w:color w:val="auto"/>
                <w:kern w:val="0"/>
                <w:sz w:val="24"/>
                <w:szCs w:val="24"/>
              </w:rPr>
              <w:t>自动</w:t>
            </w:r>
          </w:p>
        </w:tc>
        <w:tc>
          <w:tcPr>
            <w:tcW w:w="1792" w:type="dxa"/>
            <w:tcBorders>
              <w:tl2br w:val="nil"/>
              <w:tr2bl w:val="nil"/>
            </w:tcBorders>
            <w:shd w:val="clear" w:color="auto" w:fill="auto"/>
            <w:vAlign w:val="center"/>
          </w:tcPr>
          <w:p>
            <w:pPr>
              <w:jc w:val="center"/>
              <w:rPr>
                <w:rFonts w:ascii="宋体" w:hAnsi="宋体" w:eastAsia="宋体" w:cs="宋体"/>
                <w:color w:val="auto"/>
                <w:sz w:val="24"/>
                <w:szCs w:val="24"/>
              </w:rPr>
            </w:pPr>
            <w:r>
              <w:rPr>
                <w:rFonts w:hint="eastAsia" w:ascii="宋体" w:hAnsi="宋体" w:eastAsia="宋体" w:cs="宋体"/>
                <w:color w:val="auto"/>
                <w:sz w:val="24"/>
                <w:szCs w:val="24"/>
              </w:rPr>
              <w:t>《城镇污水处理厂污染物排放标准》（GB18918-2002）一级A标准排放</w:t>
            </w:r>
          </w:p>
        </w:tc>
        <w:tc>
          <w:tcPr>
            <w:tcW w:w="1063" w:type="dxa"/>
            <w:tcBorders>
              <w:tl2br w:val="nil"/>
              <w:tr2bl w:val="nil"/>
            </w:tcBorders>
            <w:shd w:val="clear" w:color="auto" w:fill="auto"/>
            <w:vAlign w:val="center"/>
          </w:tcPr>
          <w:p>
            <w:pPr>
              <w:jc w:val="center"/>
              <w:rPr>
                <w:rFonts w:ascii="宋体" w:hAnsi="宋体" w:eastAsia="宋体" w:cs="宋体"/>
                <w:color w:val="auto"/>
                <w:sz w:val="24"/>
                <w:szCs w:val="24"/>
              </w:rPr>
            </w:pPr>
            <w:r>
              <w:rPr>
                <w:rFonts w:hint="eastAsia" w:ascii="宋体" w:hAnsi="宋体" w:eastAsia="宋体" w:cs="宋体"/>
                <w:color w:val="auto"/>
                <w:sz w:val="24"/>
                <w:szCs w:val="24"/>
              </w:rPr>
              <w:t>15mg/L</w:t>
            </w:r>
          </w:p>
        </w:tc>
        <w:tc>
          <w:tcPr>
            <w:tcW w:w="1130" w:type="dxa"/>
            <w:tcBorders>
              <w:tl2br w:val="nil"/>
              <w:tr2bl w:val="nil"/>
            </w:tcBorders>
            <w:shd w:val="clear" w:color="auto" w:fill="auto"/>
            <w:vAlign w:val="center"/>
          </w:tcPr>
          <w:p>
            <w:pPr>
              <w:jc w:val="center"/>
              <w:rPr>
                <w:rFonts w:hint="default"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eastAsia="zh-CN"/>
              </w:rPr>
              <w:t>0-30</w:t>
            </w:r>
          </w:p>
        </w:tc>
        <w:tc>
          <w:tcPr>
            <w:tcW w:w="538"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rPr>
            </w:pPr>
            <w:r>
              <w:rPr>
                <w:rFonts w:hint="eastAsia" w:ascii="宋体" w:hAnsi="宋体" w:eastAsia="宋体" w:cs="宋体"/>
                <w:color w:val="auto"/>
                <w:kern w:val="0"/>
                <w:sz w:val="24"/>
                <w:szCs w:val="24"/>
              </w:rPr>
              <w:t>是</w:t>
            </w:r>
          </w:p>
        </w:tc>
        <w:tc>
          <w:tcPr>
            <w:tcW w:w="1068"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rPr>
            </w:pPr>
            <w:r>
              <w:rPr>
                <w:rFonts w:hint="eastAsia" w:ascii="宋体" w:hAnsi="宋体" w:eastAsia="宋体" w:cs="宋体"/>
                <w:color w:val="auto"/>
                <w:kern w:val="0"/>
                <w:sz w:val="24"/>
                <w:szCs w:val="24"/>
              </w:rPr>
              <w:t>总磷总氮在线监测设备</w:t>
            </w:r>
          </w:p>
        </w:tc>
        <w:tc>
          <w:tcPr>
            <w:tcW w:w="954"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rPr>
            </w:pPr>
            <w:r>
              <w:rPr>
                <w:rFonts w:hint="eastAsia" w:ascii="宋体" w:hAnsi="宋体" w:eastAsia="宋体" w:cs="宋体"/>
                <w:color w:val="auto"/>
                <w:kern w:val="0"/>
                <w:sz w:val="24"/>
                <w:szCs w:val="24"/>
              </w:rPr>
              <w:t>出水在线监测房</w:t>
            </w:r>
          </w:p>
        </w:tc>
        <w:tc>
          <w:tcPr>
            <w:tcW w:w="1113"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rPr>
            </w:pPr>
            <w:r>
              <w:rPr>
                <w:rFonts w:hint="eastAsia" w:ascii="宋体" w:hAnsi="宋体" w:eastAsia="宋体" w:cs="宋体"/>
                <w:color w:val="auto"/>
                <w:kern w:val="0"/>
                <w:sz w:val="24"/>
                <w:szCs w:val="24"/>
              </w:rPr>
              <w:t>是</w:t>
            </w:r>
          </w:p>
        </w:tc>
        <w:tc>
          <w:tcPr>
            <w:tcW w:w="1399"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rPr>
            </w:pPr>
            <w:r>
              <w:rPr>
                <w:rFonts w:hint="eastAsia" w:ascii="宋体" w:hAnsi="宋体" w:eastAsia="宋体" w:cs="宋体"/>
                <w:color w:val="auto"/>
                <w:kern w:val="0"/>
                <w:sz w:val="24"/>
                <w:szCs w:val="24"/>
              </w:rPr>
              <w:t>/</w:t>
            </w:r>
          </w:p>
        </w:tc>
        <w:tc>
          <w:tcPr>
            <w:tcW w:w="711"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rPr>
            </w:pPr>
            <w:r>
              <w:rPr>
                <w:rFonts w:hint="eastAsia" w:ascii="宋体" w:hAnsi="宋体" w:eastAsia="宋体" w:cs="宋体"/>
                <w:color w:val="auto"/>
                <w:kern w:val="0"/>
                <w:sz w:val="24"/>
                <w:szCs w:val="24"/>
              </w:rPr>
              <w:t>/</w:t>
            </w:r>
          </w:p>
        </w:tc>
        <w:tc>
          <w:tcPr>
            <w:tcW w:w="1865"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rPr>
            </w:pPr>
            <w:r>
              <w:rPr>
                <w:rFonts w:hint="eastAsia" w:ascii="宋体" w:hAnsi="宋体" w:eastAsia="宋体" w:cs="宋体"/>
                <w:color w:val="auto"/>
                <w:kern w:val="0"/>
                <w:sz w:val="24"/>
                <w:szCs w:val="24"/>
              </w:rPr>
              <w:t>/</w:t>
            </w:r>
          </w:p>
        </w:tc>
        <w:tc>
          <w:tcPr>
            <w:tcW w:w="956" w:type="dxa"/>
            <w:tcBorders>
              <w:tl2br w:val="nil"/>
              <w:tr2bl w:val="nil"/>
            </w:tcBorders>
            <w:shd w:val="clear" w:color="auto" w:fill="auto"/>
            <w:vAlign w:val="center"/>
          </w:tcPr>
          <w:p>
            <w:pPr>
              <w:widowControl/>
              <w:jc w:val="center"/>
              <w:textAlignment w:val="center"/>
              <w:rPr>
                <w:rStyle w:val="31"/>
                <w:rFonts w:ascii="宋体" w:hAnsi="宋体" w:eastAsia="宋体" w:cs="宋体"/>
                <w:color w:val="auto"/>
                <w:sz w:val="24"/>
                <w:szCs w:val="24"/>
              </w:rPr>
            </w:pPr>
            <w:r>
              <w:rPr>
                <w:rFonts w:hint="eastAsia" w:ascii="宋体" w:hAnsi="宋体" w:eastAsia="宋体" w:cs="宋体"/>
                <w:color w:val="auto"/>
                <w:kern w:val="0"/>
                <w:sz w:val="24"/>
                <w:szCs w:val="24"/>
              </w:rPr>
              <w:t>/</w:t>
            </w:r>
          </w:p>
        </w:tc>
        <w:tc>
          <w:tcPr>
            <w:tcW w:w="1367" w:type="dxa"/>
            <w:tcBorders>
              <w:tl2br w:val="nil"/>
              <w:tr2bl w:val="nil"/>
            </w:tcBorders>
            <w:shd w:val="clear" w:color="auto" w:fill="auto"/>
            <w:vAlign w:val="center"/>
          </w:tcPr>
          <w:p>
            <w:pPr>
              <w:adjustRightInd w:val="0"/>
              <w:snapToGrid w:val="0"/>
              <w:spacing w:beforeLines="80"/>
              <w:jc w:val="center"/>
              <w:rPr>
                <w:rStyle w:val="31"/>
                <w:rFonts w:ascii="宋体" w:hAnsi="宋体" w:eastAsia="宋体" w:cs="宋体"/>
                <w:color w:val="auto"/>
                <w:sz w:val="24"/>
                <w:szCs w:val="24"/>
              </w:rPr>
            </w:pPr>
            <w:r>
              <w:rPr>
                <w:rFonts w:hint="eastAsia" w:ascii="宋体" w:hAnsi="宋体" w:eastAsia="宋体" w:cs="宋体"/>
                <w:color w:val="auto"/>
                <w:kern w:val="0"/>
                <w:sz w:val="24"/>
                <w:szCs w:val="24"/>
              </w:rPr>
              <w:t>/</w:t>
            </w:r>
          </w:p>
        </w:tc>
        <w:tc>
          <w:tcPr>
            <w:tcW w:w="1293" w:type="dxa"/>
            <w:tcBorders>
              <w:tl2br w:val="nil"/>
              <w:tr2bl w:val="nil"/>
            </w:tcBorders>
            <w:shd w:val="clear" w:color="auto" w:fill="auto"/>
            <w:vAlign w:val="center"/>
          </w:tcPr>
          <w:p>
            <w:pPr>
              <w:adjustRightInd w:val="0"/>
              <w:snapToGrid w:val="0"/>
              <w:spacing w:beforeLines="80"/>
              <w:jc w:val="left"/>
              <w:rPr>
                <w:rFonts w:ascii="宋体" w:hAnsi="宋体" w:eastAsia="宋体" w:cs="宋体"/>
                <w:color w:val="auto"/>
                <w:kern w:val="0"/>
                <w:sz w:val="24"/>
                <w:szCs w:val="24"/>
              </w:rPr>
            </w:pPr>
            <w:r>
              <w:rPr>
                <w:rFonts w:hint="eastAsia" w:ascii="宋体" w:hAnsi="宋体" w:eastAsia="宋体" w:cs="宋体"/>
                <w:color w:val="auto"/>
                <w:kern w:val="0"/>
                <w:sz w:val="24"/>
                <w:szCs w:val="24"/>
              </w:rPr>
              <w:t>自动监测设备出现故障时开展手工监测，每4小时监测一次</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2526" w:hRule="atLeast"/>
        </w:trPr>
        <w:tc>
          <w:tcPr>
            <w:tcW w:w="506"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rPr>
            </w:pPr>
            <w:r>
              <w:rPr>
                <w:rFonts w:ascii="宋体" w:hAnsi="宋体" w:eastAsia="宋体" w:cs="宋体"/>
                <w:color w:val="auto"/>
                <w:sz w:val="24"/>
                <w:szCs w:val="24"/>
              </w:rPr>
              <w:t>4</w:t>
            </w:r>
          </w:p>
        </w:tc>
        <w:tc>
          <w:tcPr>
            <w:tcW w:w="813"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rPr>
            </w:pPr>
            <w:r>
              <w:rPr>
                <w:rFonts w:hint="eastAsia" w:ascii="宋体" w:hAnsi="宋体" w:eastAsia="宋体" w:cs="宋体"/>
                <w:color w:val="auto"/>
                <w:kern w:val="0"/>
                <w:sz w:val="24"/>
                <w:szCs w:val="24"/>
              </w:rPr>
              <w:t>废水</w:t>
            </w:r>
          </w:p>
        </w:tc>
        <w:tc>
          <w:tcPr>
            <w:tcW w:w="867"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rPr>
            </w:pPr>
            <w:r>
              <w:rPr>
                <w:rFonts w:hint="eastAsia" w:ascii="宋体" w:hAnsi="宋体" w:eastAsia="宋体" w:cs="宋体"/>
                <w:color w:val="auto"/>
                <w:kern w:val="0"/>
                <w:sz w:val="24"/>
                <w:szCs w:val="24"/>
              </w:rPr>
              <w:t>DW001</w:t>
            </w:r>
          </w:p>
        </w:tc>
        <w:tc>
          <w:tcPr>
            <w:tcW w:w="1084"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rPr>
            </w:pPr>
            <w:r>
              <w:rPr>
                <w:rFonts w:hint="eastAsia" w:ascii="宋体" w:hAnsi="宋体" w:eastAsia="宋体" w:cs="宋体"/>
                <w:color w:val="auto"/>
                <w:kern w:val="0"/>
                <w:sz w:val="24"/>
                <w:szCs w:val="24"/>
              </w:rPr>
              <w:t>污水排放口</w:t>
            </w:r>
          </w:p>
        </w:tc>
        <w:tc>
          <w:tcPr>
            <w:tcW w:w="957"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rPr>
            </w:pPr>
            <w:r>
              <w:rPr>
                <w:rFonts w:hint="eastAsia" w:ascii="宋体" w:hAnsi="宋体" w:eastAsia="宋体" w:cs="宋体"/>
                <w:color w:val="auto"/>
                <w:kern w:val="0"/>
                <w:sz w:val="24"/>
                <w:szCs w:val="24"/>
              </w:rPr>
              <w:t>氨氮（NH</w:t>
            </w:r>
            <w:r>
              <w:rPr>
                <w:rFonts w:hint="eastAsia" w:ascii="宋体" w:hAnsi="宋体" w:eastAsia="宋体" w:cs="宋体"/>
                <w:color w:val="auto"/>
                <w:kern w:val="0"/>
                <w:sz w:val="24"/>
                <w:szCs w:val="24"/>
                <w:vertAlign w:val="subscript"/>
              </w:rPr>
              <w:t>3</w:t>
            </w:r>
            <w:r>
              <w:rPr>
                <w:rFonts w:hint="eastAsia" w:ascii="宋体" w:hAnsi="宋体" w:eastAsia="宋体" w:cs="宋体"/>
                <w:color w:val="auto"/>
                <w:kern w:val="0"/>
                <w:sz w:val="24"/>
                <w:szCs w:val="24"/>
              </w:rPr>
              <w:t>-N）</w:t>
            </w:r>
          </w:p>
        </w:tc>
        <w:tc>
          <w:tcPr>
            <w:tcW w:w="613"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rPr>
            </w:pPr>
            <w:r>
              <w:rPr>
                <w:rFonts w:hint="eastAsia" w:ascii="宋体" w:hAnsi="宋体" w:eastAsia="宋体" w:cs="宋体"/>
                <w:color w:val="auto"/>
                <w:kern w:val="0"/>
                <w:sz w:val="24"/>
                <w:szCs w:val="24"/>
              </w:rPr>
              <w:t>自动</w:t>
            </w:r>
          </w:p>
        </w:tc>
        <w:tc>
          <w:tcPr>
            <w:tcW w:w="1792" w:type="dxa"/>
            <w:tcBorders>
              <w:tl2br w:val="nil"/>
              <w:tr2bl w:val="nil"/>
            </w:tcBorders>
            <w:shd w:val="clear" w:color="auto" w:fill="auto"/>
            <w:vAlign w:val="center"/>
          </w:tcPr>
          <w:p>
            <w:pPr>
              <w:jc w:val="center"/>
              <w:rPr>
                <w:rFonts w:ascii="宋体" w:hAnsi="宋体" w:eastAsia="宋体" w:cs="宋体"/>
                <w:color w:val="auto"/>
                <w:sz w:val="24"/>
                <w:szCs w:val="24"/>
              </w:rPr>
            </w:pPr>
            <w:r>
              <w:rPr>
                <w:rFonts w:hint="eastAsia" w:ascii="宋体" w:hAnsi="宋体" w:eastAsia="宋体" w:cs="宋体"/>
                <w:color w:val="auto"/>
                <w:sz w:val="24"/>
                <w:szCs w:val="24"/>
              </w:rPr>
              <w:t>《城镇污水处理厂污染物排放标准》（GB18918-2002）一级A标准排放</w:t>
            </w:r>
          </w:p>
        </w:tc>
        <w:tc>
          <w:tcPr>
            <w:tcW w:w="1063" w:type="dxa"/>
            <w:tcBorders>
              <w:tl2br w:val="nil"/>
              <w:tr2bl w:val="nil"/>
            </w:tcBorders>
            <w:shd w:val="clear" w:color="auto" w:fill="auto"/>
            <w:vAlign w:val="center"/>
          </w:tcPr>
          <w:p>
            <w:pPr>
              <w:jc w:val="center"/>
              <w:rPr>
                <w:rFonts w:ascii="宋体" w:hAnsi="宋体" w:eastAsia="宋体" w:cs="宋体"/>
                <w:color w:val="auto"/>
                <w:sz w:val="24"/>
                <w:szCs w:val="24"/>
              </w:rPr>
            </w:pPr>
            <w:r>
              <w:rPr>
                <w:rFonts w:hint="eastAsia" w:ascii="宋体" w:hAnsi="宋体" w:eastAsia="宋体" w:cs="宋体"/>
                <w:color w:val="auto"/>
                <w:sz w:val="24"/>
                <w:szCs w:val="24"/>
              </w:rPr>
              <w:t>水温≥12℃时限值为5mg/L，</w:t>
            </w:r>
          </w:p>
          <w:p>
            <w:pPr>
              <w:jc w:val="center"/>
              <w:rPr>
                <w:rFonts w:ascii="宋体" w:hAnsi="宋体" w:eastAsia="宋体" w:cs="宋体"/>
                <w:color w:val="auto"/>
                <w:sz w:val="24"/>
                <w:szCs w:val="24"/>
              </w:rPr>
            </w:pPr>
            <w:r>
              <w:rPr>
                <w:rFonts w:hint="eastAsia" w:ascii="宋体" w:hAnsi="宋体" w:eastAsia="宋体" w:cs="宋体"/>
                <w:color w:val="auto"/>
                <w:sz w:val="24"/>
                <w:szCs w:val="24"/>
              </w:rPr>
              <w:t>水温＜12℃时限值为8mg/L</w:t>
            </w:r>
          </w:p>
        </w:tc>
        <w:tc>
          <w:tcPr>
            <w:tcW w:w="1130" w:type="dxa"/>
            <w:tcBorders>
              <w:tl2br w:val="nil"/>
              <w:tr2bl w:val="nil"/>
            </w:tcBorders>
            <w:shd w:val="clear" w:color="auto" w:fill="auto"/>
            <w:vAlign w:val="center"/>
          </w:tcPr>
          <w:p>
            <w:pPr>
              <w:jc w:val="center"/>
              <w:rPr>
                <w:rFonts w:hint="default"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eastAsia="zh-CN"/>
              </w:rPr>
              <w:t>0.02-15</w:t>
            </w:r>
          </w:p>
        </w:tc>
        <w:tc>
          <w:tcPr>
            <w:tcW w:w="538"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rPr>
            </w:pPr>
            <w:r>
              <w:rPr>
                <w:rFonts w:hint="eastAsia" w:ascii="宋体" w:hAnsi="宋体" w:eastAsia="宋体" w:cs="宋体"/>
                <w:color w:val="auto"/>
                <w:kern w:val="0"/>
                <w:sz w:val="24"/>
                <w:szCs w:val="24"/>
              </w:rPr>
              <w:t>是</w:t>
            </w:r>
          </w:p>
        </w:tc>
        <w:tc>
          <w:tcPr>
            <w:tcW w:w="1068"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rPr>
            </w:pPr>
            <w:r>
              <w:rPr>
                <w:rFonts w:hint="eastAsia" w:ascii="宋体" w:hAnsi="宋体" w:eastAsia="宋体" w:cs="宋体"/>
                <w:color w:val="auto"/>
                <w:kern w:val="0"/>
                <w:sz w:val="24"/>
                <w:szCs w:val="24"/>
              </w:rPr>
              <w:t>氨氮在线监测设备</w:t>
            </w:r>
          </w:p>
        </w:tc>
        <w:tc>
          <w:tcPr>
            <w:tcW w:w="954"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rPr>
            </w:pPr>
            <w:r>
              <w:rPr>
                <w:rFonts w:hint="eastAsia" w:ascii="宋体" w:hAnsi="宋体" w:eastAsia="宋体" w:cs="宋体"/>
                <w:color w:val="auto"/>
                <w:kern w:val="0"/>
                <w:sz w:val="24"/>
                <w:szCs w:val="24"/>
              </w:rPr>
              <w:t>出水在线监测房</w:t>
            </w:r>
          </w:p>
        </w:tc>
        <w:tc>
          <w:tcPr>
            <w:tcW w:w="1113"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rPr>
            </w:pPr>
            <w:r>
              <w:rPr>
                <w:rFonts w:hint="eastAsia" w:ascii="宋体" w:hAnsi="宋体" w:eastAsia="宋体" w:cs="宋体"/>
                <w:color w:val="auto"/>
                <w:kern w:val="0"/>
                <w:sz w:val="24"/>
                <w:szCs w:val="24"/>
              </w:rPr>
              <w:t>是</w:t>
            </w:r>
          </w:p>
        </w:tc>
        <w:tc>
          <w:tcPr>
            <w:tcW w:w="1399"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rPr>
            </w:pPr>
            <w:r>
              <w:rPr>
                <w:rFonts w:hint="eastAsia" w:ascii="宋体" w:hAnsi="宋体" w:eastAsia="宋体" w:cs="宋体"/>
                <w:color w:val="auto"/>
                <w:kern w:val="0"/>
                <w:sz w:val="24"/>
                <w:szCs w:val="24"/>
              </w:rPr>
              <w:t>/</w:t>
            </w:r>
          </w:p>
        </w:tc>
        <w:tc>
          <w:tcPr>
            <w:tcW w:w="711"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rPr>
            </w:pPr>
            <w:r>
              <w:rPr>
                <w:rFonts w:hint="eastAsia" w:ascii="宋体" w:hAnsi="宋体" w:eastAsia="宋体" w:cs="宋体"/>
                <w:color w:val="auto"/>
                <w:kern w:val="0"/>
                <w:sz w:val="24"/>
                <w:szCs w:val="24"/>
              </w:rPr>
              <w:t>/</w:t>
            </w:r>
          </w:p>
        </w:tc>
        <w:tc>
          <w:tcPr>
            <w:tcW w:w="1865"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rPr>
            </w:pPr>
            <w:r>
              <w:rPr>
                <w:rFonts w:hint="eastAsia" w:ascii="宋体" w:hAnsi="宋体" w:eastAsia="宋体" w:cs="宋体"/>
                <w:color w:val="auto"/>
                <w:kern w:val="0"/>
                <w:sz w:val="24"/>
                <w:szCs w:val="24"/>
              </w:rPr>
              <w:t>/</w:t>
            </w:r>
          </w:p>
        </w:tc>
        <w:tc>
          <w:tcPr>
            <w:tcW w:w="956" w:type="dxa"/>
            <w:tcBorders>
              <w:tl2br w:val="nil"/>
              <w:tr2bl w:val="nil"/>
            </w:tcBorders>
            <w:shd w:val="clear" w:color="auto" w:fill="auto"/>
            <w:vAlign w:val="center"/>
          </w:tcPr>
          <w:p>
            <w:pPr>
              <w:widowControl/>
              <w:jc w:val="center"/>
              <w:textAlignment w:val="center"/>
              <w:rPr>
                <w:rStyle w:val="31"/>
                <w:rFonts w:ascii="宋体" w:hAnsi="宋体" w:eastAsia="宋体" w:cs="宋体"/>
                <w:color w:val="auto"/>
                <w:sz w:val="24"/>
                <w:szCs w:val="24"/>
              </w:rPr>
            </w:pPr>
            <w:r>
              <w:rPr>
                <w:rFonts w:hint="eastAsia" w:ascii="宋体" w:hAnsi="宋体" w:eastAsia="宋体" w:cs="宋体"/>
                <w:color w:val="auto"/>
                <w:kern w:val="0"/>
                <w:sz w:val="24"/>
                <w:szCs w:val="24"/>
              </w:rPr>
              <w:t>/</w:t>
            </w:r>
          </w:p>
        </w:tc>
        <w:tc>
          <w:tcPr>
            <w:tcW w:w="1367" w:type="dxa"/>
            <w:tcBorders>
              <w:tl2br w:val="nil"/>
              <w:tr2bl w:val="nil"/>
            </w:tcBorders>
            <w:shd w:val="clear" w:color="auto" w:fill="auto"/>
            <w:vAlign w:val="center"/>
          </w:tcPr>
          <w:p>
            <w:pPr>
              <w:adjustRightInd w:val="0"/>
              <w:snapToGrid w:val="0"/>
              <w:spacing w:beforeLines="80"/>
              <w:jc w:val="center"/>
              <w:rPr>
                <w:rStyle w:val="31"/>
                <w:rFonts w:ascii="宋体" w:hAnsi="宋体" w:eastAsia="宋体" w:cs="宋体"/>
                <w:color w:val="auto"/>
                <w:sz w:val="24"/>
                <w:szCs w:val="24"/>
              </w:rPr>
            </w:pPr>
            <w:r>
              <w:rPr>
                <w:rFonts w:hint="eastAsia" w:ascii="宋体" w:hAnsi="宋体" w:eastAsia="宋体" w:cs="宋体"/>
                <w:color w:val="auto"/>
                <w:kern w:val="0"/>
                <w:sz w:val="24"/>
                <w:szCs w:val="24"/>
              </w:rPr>
              <w:t>/</w:t>
            </w:r>
          </w:p>
        </w:tc>
        <w:tc>
          <w:tcPr>
            <w:tcW w:w="1293" w:type="dxa"/>
            <w:tcBorders>
              <w:tl2br w:val="nil"/>
              <w:tr2bl w:val="nil"/>
            </w:tcBorders>
            <w:shd w:val="clear" w:color="auto" w:fill="auto"/>
            <w:vAlign w:val="center"/>
          </w:tcPr>
          <w:p>
            <w:pPr>
              <w:adjustRightInd w:val="0"/>
              <w:snapToGrid w:val="0"/>
              <w:spacing w:beforeLines="80"/>
              <w:jc w:val="left"/>
              <w:rPr>
                <w:rFonts w:ascii="宋体" w:hAnsi="宋体" w:eastAsia="宋体" w:cs="宋体"/>
                <w:color w:val="auto"/>
                <w:kern w:val="0"/>
                <w:sz w:val="24"/>
                <w:szCs w:val="24"/>
              </w:rPr>
            </w:pPr>
            <w:r>
              <w:rPr>
                <w:rFonts w:hint="eastAsia" w:ascii="宋体" w:hAnsi="宋体" w:eastAsia="宋体" w:cs="宋体"/>
                <w:color w:val="auto"/>
                <w:kern w:val="0"/>
                <w:sz w:val="24"/>
                <w:szCs w:val="24"/>
              </w:rPr>
              <w:t>自动监测设备出现故障时开展手工监测，每4小时监测一次</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2410" w:hRule="atLeast"/>
        </w:trPr>
        <w:tc>
          <w:tcPr>
            <w:tcW w:w="506"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rPr>
            </w:pPr>
            <w:r>
              <w:rPr>
                <w:rFonts w:ascii="宋体" w:hAnsi="宋体" w:eastAsia="宋体" w:cs="宋体"/>
                <w:color w:val="auto"/>
                <w:kern w:val="0"/>
                <w:sz w:val="24"/>
                <w:szCs w:val="24"/>
              </w:rPr>
              <w:t>5</w:t>
            </w:r>
          </w:p>
        </w:tc>
        <w:tc>
          <w:tcPr>
            <w:tcW w:w="813"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rPr>
            </w:pPr>
            <w:r>
              <w:rPr>
                <w:rFonts w:hint="eastAsia" w:ascii="宋体" w:hAnsi="宋体" w:eastAsia="宋体" w:cs="宋体"/>
                <w:color w:val="auto"/>
                <w:kern w:val="0"/>
                <w:sz w:val="24"/>
                <w:szCs w:val="24"/>
              </w:rPr>
              <w:t>废水</w:t>
            </w:r>
          </w:p>
        </w:tc>
        <w:tc>
          <w:tcPr>
            <w:tcW w:w="867"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rPr>
            </w:pPr>
            <w:r>
              <w:rPr>
                <w:rFonts w:hint="eastAsia" w:ascii="宋体" w:hAnsi="宋体" w:eastAsia="宋体" w:cs="宋体"/>
                <w:color w:val="auto"/>
                <w:kern w:val="0"/>
                <w:sz w:val="24"/>
                <w:szCs w:val="24"/>
              </w:rPr>
              <w:t>DW001</w:t>
            </w:r>
          </w:p>
        </w:tc>
        <w:tc>
          <w:tcPr>
            <w:tcW w:w="1084"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rPr>
            </w:pPr>
            <w:r>
              <w:rPr>
                <w:rFonts w:hint="eastAsia" w:ascii="宋体" w:hAnsi="宋体" w:eastAsia="宋体" w:cs="宋体"/>
                <w:color w:val="auto"/>
                <w:kern w:val="0"/>
                <w:sz w:val="24"/>
                <w:szCs w:val="24"/>
              </w:rPr>
              <w:t>污水排放口</w:t>
            </w:r>
          </w:p>
        </w:tc>
        <w:tc>
          <w:tcPr>
            <w:tcW w:w="957"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rPr>
            </w:pPr>
            <w:r>
              <w:rPr>
                <w:rFonts w:hint="eastAsia" w:ascii="宋体" w:hAnsi="宋体" w:eastAsia="宋体" w:cs="宋体"/>
                <w:color w:val="auto"/>
                <w:kern w:val="0"/>
                <w:sz w:val="24"/>
                <w:szCs w:val="24"/>
              </w:rPr>
              <w:t>总磷（以P计）</w:t>
            </w:r>
          </w:p>
        </w:tc>
        <w:tc>
          <w:tcPr>
            <w:tcW w:w="613"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rPr>
            </w:pPr>
            <w:r>
              <w:rPr>
                <w:rFonts w:hint="eastAsia" w:ascii="宋体" w:hAnsi="宋体" w:eastAsia="宋体" w:cs="宋体"/>
                <w:color w:val="auto"/>
                <w:kern w:val="0"/>
                <w:sz w:val="24"/>
                <w:szCs w:val="24"/>
              </w:rPr>
              <w:t>自动</w:t>
            </w:r>
          </w:p>
        </w:tc>
        <w:tc>
          <w:tcPr>
            <w:tcW w:w="1792" w:type="dxa"/>
            <w:tcBorders>
              <w:tl2br w:val="nil"/>
              <w:tr2bl w:val="nil"/>
            </w:tcBorders>
            <w:shd w:val="clear" w:color="auto" w:fill="auto"/>
            <w:vAlign w:val="center"/>
          </w:tcPr>
          <w:p>
            <w:pPr>
              <w:jc w:val="center"/>
              <w:rPr>
                <w:rFonts w:ascii="宋体" w:hAnsi="宋体" w:eastAsia="宋体" w:cs="宋体"/>
                <w:color w:val="auto"/>
                <w:sz w:val="24"/>
                <w:szCs w:val="24"/>
              </w:rPr>
            </w:pPr>
            <w:r>
              <w:rPr>
                <w:rFonts w:hint="eastAsia" w:ascii="宋体" w:hAnsi="宋体" w:eastAsia="宋体" w:cs="宋体"/>
                <w:color w:val="auto"/>
                <w:sz w:val="24"/>
                <w:szCs w:val="24"/>
              </w:rPr>
              <w:t>《城镇污水处理厂污染物排放标准》（GB18918-2002）一级A标准排放</w:t>
            </w:r>
          </w:p>
        </w:tc>
        <w:tc>
          <w:tcPr>
            <w:tcW w:w="1063" w:type="dxa"/>
            <w:tcBorders>
              <w:tl2br w:val="nil"/>
              <w:tr2bl w:val="nil"/>
            </w:tcBorders>
            <w:shd w:val="clear" w:color="auto" w:fill="auto"/>
            <w:vAlign w:val="center"/>
          </w:tcPr>
          <w:p>
            <w:pPr>
              <w:jc w:val="center"/>
              <w:rPr>
                <w:rFonts w:ascii="宋体" w:hAnsi="宋体" w:eastAsia="宋体" w:cs="宋体"/>
                <w:color w:val="auto"/>
                <w:sz w:val="24"/>
                <w:szCs w:val="24"/>
              </w:rPr>
            </w:pPr>
            <w:r>
              <w:rPr>
                <w:rFonts w:hint="eastAsia" w:ascii="宋体" w:hAnsi="宋体" w:eastAsia="宋体" w:cs="宋体"/>
                <w:color w:val="auto"/>
                <w:sz w:val="24"/>
                <w:szCs w:val="24"/>
              </w:rPr>
              <w:t>0.5mg/L</w:t>
            </w:r>
          </w:p>
        </w:tc>
        <w:tc>
          <w:tcPr>
            <w:tcW w:w="1130" w:type="dxa"/>
            <w:tcBorders>
              <w:tl2br w:val="nil"/>
              <w:tr2bl w:val="nil"/>
            </w:tcBorders>
            <w:shd w:val="clear" w:color="auto" w:fill="auto"/>
            <w:vAlign w:val="center"/>
          </w:tcPr>
          <w:p>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p>
        </w:tc>
        <w:tc>
          <w:tcPr>
            <w:tcW w:w="538"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rPr>
            </w:pPr>
            <w:r>
              <w:rPr>
                <w:rFonts w:hint="eastAsia" w:ascii="宋体" w:hAnsi="宋体" w:eastAsia="宋体" w:cs="宋体"/>
                <w:color w:val="auto"/>
                <w:kern w:val="0"/>
                <w:sz w:val="24"/>
                <w:szCs w:val="24"/>
              </w:rPr>
              <w:t>是</w:t>
            </w:r>
          </w:p>
        </w:tc>
        <w:tc>
          <w:tcPr>
            <w:tcW w:w="1068"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rPr>
            </w:pPr>
            <w:r>
              <w:rPr>
                <w:rFonts w:hint="eastAsia" w:ascii="宋体" w:hAnsi="宋体" w:eastAsia="宋体" w:cs="宋体"/>
                <w:color w:val="auto"/>
                <w:kern w:val="0"/>
                <w:sz w:val="24"/>
                <w:szCs w:val="24"/>
              </w:rPr>
              <w:t>总磷总氮在线监测设备</w:t>
            </w:r>
          </w:p>
        </w:tc>
        <w:tc>
          <w:tcPr>
            <w:tcW w:w="954"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rPr>
            </w:pPr>
            <w:r>
              <w:rPr>
                <w:rFonts w:hint="eastAsia" w:ascii="宋体" w:hAnsi="宋体" w:eastAsia="宋体" w:cs="宋体"/>
                <w:color w:val="auto"/>
                <w:kern w:val="0"/>
                <w:sz w:val="24"/>
                <w:szCs w:val="24"/>
              </w:rPr>
              <w:t>出水在线监测房</w:t>
            </w:r>
          </w:p>
        </w:tc>
        <w:tc>
          <w:tcPr>
            <w:tcW w:w="1113"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rPr>
            </w:pPr>
            <w:r>
              <w:rPr>
                <w:rFonts w:hint="eastAsia" w:ascii="宋体" w:hAnsi="宋体" w:eastAsia="宋体" w:cs="宋体"/>
                <w:color w:val="auto"/>
                <w:kern w:val="0"/>
                <w:sz w:val="24"/>
                <w:szCs w:val="24"/>
              </w:rPr>
              <w:t>是</w:t>
            </w:r>
          </w:p>
        </w:tc>
        <w:tc>
          <w:tcPr>
            <w:tcW w:w="1399"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rPr>
            </w:pPr>
            <w:r>
              <w:rPr>
                <w:rFonts w:hint="eastAsia" w:ascii="宋体" w:hAnsi="宋体" w:eastAsia="宋体" w:cs="宋体"/>
                <w:color w:val="auto"/>
                <w:kern w:val="0"/>
                <w:sz w:val="24"/>
                <w:szCs w:val="24"/>
              </w:rPr>
              <w:t>/</w:t>
            </w:r>
          </w:p>
        </w:tc>
        <w:tc>
          <w:tcPr>
            <w:tcW w:w="711"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rPr>
            </w:pPr>
            <w:r>
              <w:rPr>
                <w:rFonts w:hint="eastAsia" w:ascii="宋体" w:hAnsi="宋体" w:eastAsia="宋体" w:cs="宋体"/>
                <w:color w:val="auto"/>
                <w:kern w:val="0"/>
                <w:sz w:val="24"/>
                <w:szCs w:val="24"/>
              </w:rPr>
              <w:t>/</w:t>
            </w:r>
          </w:p>
        </w:tc>
        <w:tc>
          <w:tcPr>
            <w:tcW w:w="1865"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rPr>
            </w:pPr>
            <w:r>
              <w:rPr>
                <w:rFonts w:hint="eastAsia" w:ascii="宋体" w:hAnsi="宋体" w:eastAsia="宋体" w:cs="宋体"/>
                <w:color w:val="auto"/>
                <w:kern w:val="0"/>
                <w:sz w:val="24"/>
                <w:szCs w:val="24"/>
              </w:rPr>
              <w:t>/</w:t>
            </w:r>
          </w:p>
        </w:tc>
        <w:tc>
          <w:tcPr>
            <w:tcW w:w="956" w:type="dxa"/>
            <w:tcBorders>
              <w:tl2br w:val="nil"/>
              <w:tr2bl w:val="nil"/>
            </w:tcBorders>
            <w:shd w:val="clear" w:color="auto" w:fill="auto"/>
            <w:vAlign w:val="center"/>
          </w:tcPr>
          <w:p>
            <w:pPr>
              <w:widowControl/>
              <w:jc w:val="center"/>
              <w:textAlignment w:val="center"/>
              <w:rPr>
                <w:rStyle w:val="31"/>
                <w:rFonts w:ascii="宋体" w:hAnsi="宋体" w:eastAsia="宋体" w:cs="宋体"/>
                <w:color w:val="auto"/>
                <w:sz w:val="24"/>
                <w:szCs w:val="24"/>
              </w:rPr>
            </w:pPr>
            <w:r>
              <w:rPr>
                <w:rFonts w:hint="eastAsia" w:ascii="宋体" w:hAnsi="宋体" w:eastAsia="宋体" w:cs="宋体"/>
                <w:color w:val="auto"/>
                <w:kern w:val="0"/>
                <w:sz w:val="24"/>
                <w:szCs w:val="24"/>
              </w:rPr>
              <w:t>/</w:t>
            </w:r>
          </w:p>
        </w:tc>
        <w:tc>
          <w:tcPr>
            <w:tcW w:w="1367" w:type="dxa"/>
            <w:tcBorders>
              <w:tl2br w:val="nil"/>
              <w:tr2bl w:val="nil"/>
            </w:tcBorders>
            <w:shd w:val="clear" w:color="auto" w:fill="auto"/>
            <w:vAlign w:val="center"/>
          </w:tcPr>
          <w:p>
            <w:pPr>
              <w:adjustRightInd w:val="0"/>
              <w:snapToGrid w:val="0"/>
              <w:spacing w:beforeLines="80"/>
              <w:jc w:val="center"/>
              <w:rPr>
                <w:rStyle w:val="31"/>
                <w:rFonts w:ascii="宋体" w:hAnsi="宋体" w:eastAsia="宋体" w:cs="宋体"/>
                <w:color w:val="auto"/>
                <w:sz w:val="24"/>
                <w:szCs w:val="24"/>
              </w:rPr>
            </w:pPr>
            <w:r>
              <w:rPr>
                <w:rFonts w:hint="eastAsia" w:ascii="宋体" w:hAnsi="宋体" w:eastAsia="宋体" w:cs="宋体"/>
                <w:color w:val="auto"/>
                <w:kern w:val="0"/>
                <w:sz w:val="24"/>
                <w:szCs w:val="24"/>
              </w:rPr>
              <w:t>/</w:t>
            </w:r>
          </w:p>
        </w:tc>
        <w:tc>
          <w:tcPr>
            <w:tcW w:w="1293" w:type="dxa"/>
            <w:tcBorders>
              <w:tl2br w:val="nil"/>
              <w:tr2bl w:val="nil"/>
            </w:tcBorders>
            <w:shd w:val="clear" w:color="auto" w:fill="auto"/>
            <w:vAlign w:val="center"/>
          </w:tcPr>
          <w:p>
            <w:pPr>
              <w:adjustRightInd w:val="0"/>
              <w:snapToGrid w:val="0"/>
              <w:spacing w:beforeLines="80"/>
              <w:jc w:val="left"/>
              <w:rPr>
                <w:rFonts w:ascii="宋体" w:hAnsi="宋体" w:eastAsia="宋体" w:cs="宋体"/>
                <w:color w:val="auto"/>
                <w:kern w:val="0"/>
                <w:sz w:val="24"/>
                <w:szCs w:val="24"/>
              </w:rPr>
            </w:pPr>
            <w:r>
              <w:rPr>
                <w:rFonts w:hint="eastAsia" w:ascii="宋体" w:hAnsi="宋体" w:eastAsia="宋体" w:cs="宋体"/>
                <w:color w:val="auto"/>
                <w:kern w:val="0"/>
                <w:sz w:val="24"/>
                <w:szCs w:val="24"/>
              </w:rPr>
              <w:t>自动监测设备出现故障时开展手工监测，每4小时监测一次</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654" w:hRule="atLeast"/>
        </w:trPr>
        <w:tc>
          <w:tcPr>
            <w:tcW w:w="506"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rPr>
            </w:pPr>
            <w:r>
              <w:rPr>
                <w:rFonts w:ascii="宋体" w:hAnsi="宋体" w:eastAsia="宋体" w:cs="宋体"/>
                <w:color w:val="auto"/>
                <w:kern w:val="0"/>
                <w:sz w:val="24"/>
                <w:szCs w:val="24"/>
              </w:rPr>
              <w:t>6</w:t>
            </w:r>
          </w:p>
        </w:tc>
        <w:tc>
          <w:tcPr>
            <w:tcW w:w="813"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rPr>
            </w:pPr>
            <w:r>
              <w:rPr>
                <w:rFonts w:hint="eastAsia" w:ascii="宋体" w:hAnsi="宋体" w:eastAsia="宋体" w:cs="宋体"/>
                <w:color w:val="auto"/>
                <w:kern w:val="0"/>
                <w:sz w:val="24"/>
                <w:szCs w:val="24"/>
              </w:rPr>
              <w:t>废水</w:t>
            </w:r>
          </w:p>
        </w:tc>
        <w:tc>
          <w:tcPr>
            <w:tcW w:w="867"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rPr>
            </w:pPr>
            <w:r>
              <w:rPr>
                <w:rFonts w:hint="eastAsia" w:ascii="宋体" w:hAnsi="宋体" w:eastAsia="宋体" w:cs="宋体"/>
                <w:color w:val="auto"/>
                <w:kern w:val="0"/>
                <w:sz w:val="24"/>
                <w:szCs w:val="24"/>
              </w:rPr>
              <w:t>DW001</w:t>
            </w:r>
          </w:p>
        </w:tc>
        <w:tc>
          <w:tcPr>
            <w:tcW w:w="1084"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rPr>
            </w:pPr>
            <w:r>
              <w:rPr>
                <w:rFonts w:hint="eastAsia" w:ascii="宋体" w:hAnsi="宋体" w:eastAsia="宋体" w:cs="宋体"/>
                <w:color w:val="auto"/>
                <w:kern w:val="0"/>
                <w:sz w:val="24"/>
                <w:szCs w:val="24"/>
              </w:rPr>
              <w:t>污水排放口</w:t>
            </w:r>
          </w:p>
        </w:tc>
        <w:tc>
          <w:tcPr>
            <w:tcW w:w="957"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rPr>
            </w:pPr>
            <w:r>
              <w:rPr>
                <w:rFonts w:hint="eastAsia" w:ascii="宋体" w:hAnsi="宋体" w:eastAsia="宋体" w:cs="宋体"/>
                <w:color w:val="auto"/>
                <w:kern w:val="0"/>
                <w:sz w:val="24"/>
                <w:szCs w:val="24"/>
              </w:rPr>
              <w:t>流量</w:t>
            </w:r>
          </w:p>
        </w:tc>
        <w:tc>
          <w:tcPr>
            <w:tcW w:w="613"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rPr>
            </w:pPr>
            <w:r>
              <w:rPr>
                <w:rFonts w:hint="eastAsia" w:ascii="宋体" w:hAnsi="宋体" w:eastAsia="宋体" w:cs="宋体"/>
                <w:color w:val="auto"/>
                <w:kern w:val="0"/>
                <w:sz w:val="24"/>
                <w:szCs w:val="24"/>
              </w:rPr>
              <w:t>自动</w:t>
            </w:r>
          </w:p>
        </w:tc>
        <w:tc>
          <w:tcPr>
            <w:tcW w:w="1792" w:type="dxa"/>
            <w:tcBorders>
              <w:tl2br w:val="nil"/>
              <w:tr2bl w:val="nil"/>
            </w:tcBorders>
            <w:shd w:val="clear" w:color="auto" w:fill="auto"/>
            <w:vAlign w:val="center"/>
          </w:tcPr>
          <w:p>
            <w:pPr>
              <w:jc w:val="center"/>
              <w:rPr>
                <w:rFonts w:ascii="宋体" w:hAnsi="宋体" w:eastAsia="宋体" w:cs="宋体"/>
                <w:color w:val="auto"/>
                <w:sz w:val="24"/>
                <w:szCs w:val="24"/>
              </w:rPr>
            </w:pPr>
            <w:r>
              <w:rPr>
                <w:rFonts w:hint="eastAsia" w:ascii="宋体" w:hAnsi="宋体" w:eastAsia="宋体" w:cs="宋体"/>
                <w:color w:val="auto"/>
                <w:kern w:val="0"/>
                <w:sz w:val="24"/>
                <w:szCs w:val="24"/>
              </w:rPr>
              <w:t>/</w:t>
            </w:r>
          </w:p>
        </w:tc>
        <w:tc>
          <w:tcPr>
            <w:tcW w:w="1063" w:type="dxa"/>
            <w:tcBorders>
              <w:tl2br w:val="nil"/>
              <w:tr2bl w:val="nil"/>
            </w:tcBorders>
            <w:shd w:val="clear" w:color="auto" w:fill="auto"/>
            <w:vAlign w:val="center"/>
          </w:tcPr>
          <w:p>
            <w:pPr>
              <w:jc w:val="center"/>
              <w:rPr>
                <w:rFonts w:ascii="宋体" w:hAnsi="宋体" w:eastAsia="宋体" w:cs="宋体"/>
                <w:color w:val="auto"/>
                <w:sz w:val="24"/>
                <w:szCs w:val="24"/>
              </w:rPr>
            </w:pPr>
            <w:r>
              <w:rPr>
                <w:rFonts w:hint="eastAsia" w:ascii="宋体" w:hAnsi="宋体" w:eastAsia="宋体" w:cs="宋体"/>
                <w:color w:val="auto"/>
                <w:kern w:val="0"/>
                <w:sz w:val="24"/>
                <w:szCs w:val="24"/>
              </w:rPr>
              <w:t>/</w:t>
            </w:r>
          </w:p>
        </w:tc>
        <w:tc>
          <w:tcPr>
            <w:tcW w:w="1130" w:type="dxa"/>
            <w:tcBorders>
              <w:tl2br w:val="nil"/>
              <w:tr2bl w:val="nil"/>
            </w:tcBorders>
            <w:shd w:val="clear" w:color="auto" w:fill="auto"/>
            <w:vAlign w:val="center"/>
          </w:tcPr>
          <w:p>
            <w:pPr>
              <w:jc w:val="center"/>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w:t>
            </w:r>
          </w:p>
        </w:tc>
        <w:tc>
          <w:tcPr>
            <w:tcW w:w="538"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rPr>
            </w:pPr>
            <w:r>
              <w:rPr>
                <w:rFonts w:hint="eastAsia" w:ascii="宋体" w:hAnsi="宋体" w:eastAsia="宋体" w:cs="宋体"/>
                <w:color w:val="auto"/>
                <w:kern w:val="0"/>
                <w:sz w:val="24"/>
                <w:szCs w:val="24"/>
              </w:rPr>
              <w:t>是</w:t>
            </w:r>
          </w:p>
        </w:tc>
        <w:tc>
          <w:tcPr>
            <w:tcW w:w="1068"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rPr>
            </w:pPr>
            <w:r>
              <w:rPr>
                <w:rFonts w:hint="eastAsia" w:ascii="宋体" w:hAnsi="宋体" w:eastAsia="宋体" w:cs="宋体"/>
                <w:color w:val="auto"/>
                <w:kern w:val="0"/>
                <w:sz w:val="24"/>
                <w:szCs w:val="24"/>
              </w:rPr>
              <w:t>流量计</w:t>
            </w:r>
          </w:p>
        </w:tc>
        <w:tc>
          <w:tcPr>
            <w:tcW w:w="954"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rPr>
            </w:pPr>
            <w:r>
              <w:rPr>
                <w:rFonts w:hint="eastAsia" w:ascii="宋体" w:hAnsi="宋体" w:eastAsia="宋体" w:cs="宋体"/>
                <w:color w:val="auto"/>
                <w:kern w:val="0"/>
                <w:sz w:val="24"/>
                <w:szCs w:val="24"/>
              </w:rPr>
              <w:t>出</w:t>
            </w:r>
            <w:r>
              <w:rPr>
                <w:rStyle w:val="33"/>
                <w:rFonts w:hint="default"/>
                <w:color w:val="auto"/>
                <w:sz w:val="24"/>
                <w:szCs w:val="24"/>
              </w:rPr>
              <w:t>水仪表小屋</w:t>
            </w:r>
          </w:p>
        </w:tc>
        <w:tc>
          <w:tcPr>
            <w:tcW w:w="1113"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rPr>
            </w:pPr>
            <w:r>
              <w:rPr>
                <w:rFonts w:hint="eastAsia" w:ascii="宋体" w:hAnsi="宋体" w:eastAsia="宋体" w:cs="宋体"/>
                <w:color w:val="auto"/>
                <w:kern w:val="0"/>
                <w:sz w:val="24"/>
                <w:szCs w:val="24"/>
              </w:rPr>
              <w:t>是</w:t>
            </w:r>
          </w:p>
        </w:tc>
        <w:tc>
          <w:tcPr>
            <w:tcW w:w="1399"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rPr>
            </w:pPr>
            <w:r>
              <w:rPr>
                <w:rFonts w:hint="eastAsia" w:ascii="宋体" w:hAnsi="宋体" w:eastAsia="宋体" w:cs="宋体"/>
                <w:color w:val="auto"/>
                <w:kern w:val="0"/>
                <w:sz w:val="24"/>
                <w:szCs w:val="24"/>
              </w:rPr>
              <w:t>/</w:t>
            </w:r>
          </w:p>
        </w:tc>
        <w:tc>
          <w:tcPr>
            <w:tcW w:w="711"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rPr>
            </w:pPr>
            <w:r>
              <w:rPr>
                <w:rFonts w:hint="eastAsia" w:ascii="宋体" w:hAnsi="宋体" w:eastAsia="宋体" w:cs="宋体"/>
                <w:color w:val="auto"/>
                <w:kern w:val="0"/>
                <w:sz w:val="24"/>
                <w:szCs w:val="24"/>
              </w:rPr>
              <w:t>/</w:t>
            </w:r>
          </w:p>
        </w:tc>
        <w:tc>
          <w:tcPr>
            <w:tcW w:w="1865"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rPr>
            </w:pPr>
            <w:r>
              <w:rPr>
                <w:rFonts w:hint="eastAsia" w:ascii="宋体" w:hAnsi="宋体" w:eastAsia="宋体" w:cs="宋体"/>
                <w:color w:val="auto"/>
                <w:kern w:val="0"/>
                <w:sz w:val="24"/>
                <w:szCs w:val="24"/>
              </w:rPr>
              <w:t>/</w:t>
            </w:r>
          </w:p>
        </w:tc>
        <w:tc>
          <w:tcPr>
            <w:tcW w:w="956"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rPr>
            </w:pPr>
            <w:r>
              <w:rPr>
                <w:rFonts w:hint="eastAsia" w:ascii="宋体" w:hAnsi="宋体" w:eastAsia="宋体" w:cs="宋体"/>
                <w:color w:val="auto"/>
                <w:kern w:val="0"/>
                <w:sz w:val="24"/>
                <w:szCs w:val="24"/>
              </w:rPr>
              <w:t>/</w:t>
            </w:r>
          </w:p>
        </w:tc>
        <w:tc>
          <w:tcPr>
            <w:tcW w:w="1367" w:type="dxa"/>
            <w:tcBorders>
              <w:tl2br w:val="nil"/>
              <w:tr2bl w:val="nil"/>
            </w:tcBorders>
            <w:shd w:val="clear" w:color="auto" w:fill="auto"/>
            <w:vAlign w:val="center"/>
          </w:tcPr>
          <w:p>
            <w:pPr>
              <w:adjustRightInd w:val="0"/>
              <w:snapToGrid w:val="0"/>
              <w:spacing w:beforeLines="80"/>
              <w:jc w:val="center"/>
              <w:rPr>
                <w:rFonts w:ascii="宋体" w:hAnsi="宋体" w:eastAsia="宋体" w:cs="宋体"/>
                <w:color w:val="auto"/>
                <w:kern w:val="0"/>
                <w:sz w:val="24"/>
                <w:szCs w:val="24"/>
              </w:rPr>
            </w:pPr>
            <w:r>
              <w:rPr>
                <w:rFonts w:hint="eastAsia" w:ascii="宋体" w:hAnsi="宋体" w:eastAsia="宋体" w:cs="宋体"/>
                <w:color w:val="auto"/>
                <w:kern w:val="0"/>
                <w:sz w:val="24"/>
                <w:szCs w:val="24"/>
              </w:rPr>
              <w:t>/</w:t>
            </w:r>
          </w:p>
        </w:tc>
        <w:tc>
          <w:tcPr>
            <w:tcW w:w="1293" w:type="dxa"/>
            <w:tcBorders>
              <w:tl2br w:val="nil"/>
              <w:tr2bl w:val="nil"/>
            </w:tcBorders>
            <w:shd w:val="clear" w:color="auto" w:fill="auto"/>
            <w:vAlign w:val="center"/>
          </w:tcPr>
          <w:p>
            <w:pPr>
              <w:adjustRightInd w:val="0"/>
              <w:snapToGrid w:val="0"/>
              <w:spacing w:beforeLines="80"/>
              <w:jc w:val="center"/>
              <w:rPr>
                <w:rFonts w:ascii="宋体" w:hAnsi="宋体" w:eastAsia="宋体" w:cs="宋体"/>
                <w:color w:val="auto"/>
                <w:kern w:val="0"/>
                <w:sz w:val="24"/>
                <w:szCs w:val="24"/>
              </w:rPr>
            </w:pPr>
            <w:r>
              <w:rPr>
                <w:rFonts w:hint="eastAsia" w:ascii="宋体" w:hAnsi="宋体" w:eastAsia="宋体" w:cs="宋体"/>
                <w:color w:val="auto"/>
                <w:kern w:val="0"/>
                <w:sz w:val="24"/>
                <w:szCs w:val="24"/>
              </w:rPr>
              <w:t>/</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3142" w:hRule="atLeast"/>
        </w:trPr>
        <w:tc>
          <w:tcPr>
            <w:tcW w:w="506"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rPr>
            </w:pPr>
            <w:r>
              <w:rPr>
                <w:rFonts w:ascii="宋体" w:hAnsi="宋体" w:eastAsia="宋体" w:cs="宋体"/>
                <w:color w:val="auto"/>
                <w:kern w:val="0"/>
                <w:sz w:val="24"/>
                <w:szCs w:val="24"/>
              </w:rPr>
              <w:t>7</w:t>
            </w:r>
          </w:p>
        </w:tc>
        <w:tc>
          <w:tcPr>
            <w:tcW w:w="813"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rPr>
            </w:pPr>
            <w:r>
              <w:rPr>
                <w:rFonts w:hint="eastAsia" w:ascii="宋体" w:hAnsi="宋体" w:eastAsia="宋体" w:cs="宋体"/>
                <w:color w:val="auto"/>
                <w:kern w:val="0"/>
                <w:sz w:val="24"/>
                <w:szCs w:val="24"/>
              </w:rPr>
              <w:t>废水</w:t>
            </w:r>
          </w:p>
        </w:tc>
        <w:tc>
          <w:tcPr>
            <w:tcW w:w="867"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rPr>
            </w:pPr>
            <w:r>
              <w:rPr>
                <w:rFonts w:hint="eastAsia" w:ascii="宋体" w:hAnsi="宋体" w:eastAsia="宋体" w:cs="宋体"/>
                <w:color w:val="auto"/>
                <w:kern w:val="0"/>
                <w:sz w:val="24"/>
                <w:szCs w:val="24"/>
              </w:rPr>
              <w:t>DW001</w:t>
            </w:r>
          </w:p>
        </w:tc>
        <w:tc>
          <w:tcPr>
            <w:tcW w:w="1084"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rPr>
            </w:pPr>
            <w:r>
              <w:rPr>
                <w:rFonts w:hint="eastAsia" w:ascii="宋体" w:hAnsi="宋体" w:eastAsia="宋体" w:cs="宋体"/>
                <w:color w:val="auto"/>
                <w:kern w:val="0"/>
                <w:sz w:val="24"/>
                <w:szCs w:val="24"/>
              </w:rPr>
              <w:t>污水排放口</w:t>
            </w:r>
          </w:p>
        </w:tc>
        <w:tc>
          <w:tcPr>
            <w:tcW w:w="957"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rPr>
            </w:pPr>
            <w:r>
              <w:rPr>
                <w:rFonts w:hint="eastAsia" w:ascii="宋体" w:hAnsi="宋体" w:eastAsia="宋体" w:cs="宋体"/>
                <w:color w:val="auto"/>
                <w:kern w:val="0"/>
                <w:sz w:val="24"/>
                <w:szCs w:val="24"/>
              </w:rPr>
              <w:t>水温</w:t>
            </w:r>
          </w:p>
        </w:tc>
        <w:tc>
          <w:tcPr>
            <w:tcW w:w="613"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rPr>
            </w:pPr>
            <w:r>
              <w:rPr>
                <w:rFonts w:hint="eastAsia" w:ascii="宋体" w:hAnsi="宋体" w:eastAsia="宋体" w:cs="宋体"/>
                <w:color w:val="auto"/>
                <w:kern w:val="0"/>
                <w:sz w:val="24"/>
                <w:szCs w:val="24"/>
              </w:rPr>
              <w:t>自动</w:t>
            </w:r>
          </w:p>
        </w:tc>
        <w:tc>
          <w:tcPr>
            <w:tcW w:w="1792" w:type="dxa"/>
            <w:tcBorders>
              <w:tl2br w:val="nil"/>
              <w:tr2bl w:val="nil"/>
            </w:tcBorders>
            <w:shd w:val="clear" w:color="auto" w:fill="auto"/>
            <w:vAlign w:val="center"/>
          </w:tcPr>
          <w:p>
            <w:pPr>
              <w:jc w:val="center"/>
              <w:rPr>
                <w:rFonts w:ascii="宋体" w:hAnsi="宋体" w:eastAsia="宋体" w:cs="宋体"/>
                <w:color w:val="auto"/>
                <w:sz w:val="24"/>
                <w:szCs w:val="24"/>
              </w:rPr>
            </w:pPr>
            <w:r>
              <w:rPr>
                <w:rFonts w:hint="eastAsia" w:ascii="宋体" w:hAnsi="宋体" w:eastAsia="宋体" w:cs="宋体"/>
                <w:color w:val="auto"/>
                <w:kern w:val="0"/>
                <w:sz w:val="24"/>
                <w:szCs w:val="24"/>
              </w:rPr>
              <w:t>/</w:t>
            </w:r>
          </w:p>
        </w:tc>
        <w:tc>
          <w:tcPr>
            <w:tcW w:w="1063" w:type="dxa"/>
            <w:tcBorders>
              <w:tl2br w:val="nil"/>
              <w:tr2bl w:val="nil"/>
            </w:tcBorders>
            <w:shd w:val="clear" w:color="auto" w:fill="auto"/>
            <w:vAlign w:val="center"/>
          </w:tcPr>
          <w:p>
            <w:pPr>
              <w:jc w:val="center"/>
              <w:rPr>
                <w:rFonts w:ascii="宋体" w:hAnsi="宋体" w:eastAsia="宋体" w:cs="宋体"/>
                <w:color w:val="auto"/>
                <w:sz w:val="24"/>
                <w:szCs w:val="24"/>
              </w:rPr>
            </w:pPr>
            <w:r>
              <w:rPr>
                <w:rFonts w:hint="eastAsia" w:ascii="宋体" w:hAnsi="宋体" w:eastAsia="宋体" w:cs="宋体"/>
                <w:color w:val="auto"/>
                <w:kern w:val="0"/>
                <w:sz w:val="24"/>
                <w:szCs w:val="24"/>
              </w:rPr>
              <w:t>/</w:t>
            </w:r>
          </w:p>
        </w:tc>
        <w:tc>
          <w:tcPr>
            <w:tcW w:w="1130" w:type="dxa"/>
            <w:tcBorders>
              <w:tl2br w:val="nil"/>
              <w:tr2bl w:val="nil"/>
            </w:tcBorders>
            <w:shd w:val="clear" w:color="auto" w:fill="auto"/>
            <w:vAlign w:val="center"/>
          </w:tcPr>
          <w:p>
            <w:pPr>
              <w:jc w:val="center"/>
              <w:rPr>
                <w:rFonts w:ascii="宋体" w:hAnsi="宋体" w:eastAsia="宋体" w:cs="宋体"/>
                <w:color w:val="auto"/>
                <w:kern w:val="0"/>
                <w:sz w:val="24"/>
                <w:szCs w:val="24"/>
              </w:rPr>
            </w:pPr>
            <w:r>
              <w:rPr>
                <w:rFonts w:hint="eastAsia" w:ascii="宋体" w:hAnsi="宋体" w:eastAsia="宋体" w:cs="宋体"/>
                <w:color w:val="auto"/>
                <w:sz w:val="24"/>
                <w:szCs w:val="24"/>
                <w:highlight w:val="none"/>
                <w:lang w:val="en-US" w:eastAsia="zh-CN"/>
              </w:rPr>
              <w:t>/</w:t>
            </w:r>
          </w:p>
        </w:tc>
        <w:tc>
          <w:tcPr>
            <w:tcW w:w="538"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rPr>
            </w:pPr>
            <w:r>
              <w:rPr>
                <w:rFonts w:hint="eastAsia" w:ascii="宋体" w:hAnsi="宋体" w:eastAsia="宋体" w:cs="宋体"/>
                <w:color w:val="auto"/>
                <w:kern w:val="0"/>
                <w:sz w:val="24"/>
                <w:szCs w:val="24"/>
              </w:rPr>
              <w:t>是</w:t>
            </w:r>
          </w:p>
        </w:tc>
        <w:tc>
          <w:tcPr>
            <w:tcW w:w="1068" w:type="dxa"/>
            <w:tcBorders>
              <w:tl2br w:val="nil"/>
              <w:tr2bl w:val="nil"/>
            </w:tcBorders>
            <w:shd w:val="clear" w:color="auto" w:fill="auto"/>
            <w:vAlign w:val="center"/>
          </w:tcPr>
          <w:p>
            <w:pPr>
              <w:widowControl/>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pH/T在线监测设备</w:t>
            </w:r>
          </w:p>
          <w:p>
            <w:pPr>
              <w:widowControl/>
              <w:jc w:val="center"/>
              <w:textAlignment w:val="center"/>
              <w:rPr>
                <w:rFonts w:hint="eastAsia" w:ascii="宋体" w:hAnsi="宋体" w:eastAsia="宋体" w:cs="宋体"/>
                <w:color w:val="auto"/>
                <w:kern w:val="0"/>
                <w:sz w:val="24"/>
                <w:szCs w:val="24"/>
              </w:rPr>
            </w:pPr>
          </w:p>
        </w:tc>
        <w:tc>
          <w:tcPr>
            <w:tcW w:w="954" w:type="dxa"/>
            <w:tcBorders>
              <w:tl2br w:val="nil"/>
              <w:tr2bl w:val="nil"/>
            </w:tcBorders>
            <w:shd w:val="clear" w:color="auto" w:fill="auto"/>
            <w:vAlign w:val="center"/>
          </w:tcPr>
          <w:p>
            <w:pPr>
              <w:widowControl/>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出</w:t>
            </w:r>
            <w:r>
              <w:rPr>
                <w:rFonts w:hint="default" w:ascii="宋体" w:hAnsi="宋体" w:eastAsia="宋体" w:cs="宋体"/>
                <w:color w:val="auto"/>
                <w:kern w:val="0"/>
                <w:sz w:val="24"/>
                <w:szCs w:val="24"/>
              </w:rPr>
              <w:t>水仪表小屋</w:t>
            </w:r>
          </w:p>
        </w:tc>
        <w:tc>
          <w:tcPr>
            <w:tcW w:w="1113"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rPr>
            </w:pPr>
            <w:r>
              <w:rPr>
                <w:rFonts w:hint="eastAsia" w:ascii="宋体" w:hAnsi="宋体" w:eastAsia="宋体" w:cs="宋体"/>
                <w:color w:val="auto"/>
                <w:kern w:val="0"/>
                <w:sz w:val="24"/>
                <w:szCs w:val="24"/>
              </w:rPr>
              <w:t>是</w:t>
            </w:r>
          </w:p>
        </w:tc>
        <w:tc>
          <w:tcPr>
            <w:tcW w:w="1399"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rPr>
            </w:pPr>
            <w:r>
              <w:rPr>
                <w:rFonts w:hint="eastAsia" w:ascii="宋体" w:hAnsi="宋体" w:eastAsia="宋体" w:cs="宋体"/>
                <w:color w:val="auto"/>
                <w:kern w:val="0"/>
                <w:sz w:val="24"/>
                <w:szCs w:val="24"/>
              </w:rPr>
              <w:t>/</w:t>
            </w:r>
          </w:p>
        </w:tc>
        <w:tc>
          <w:tcPr>
            <w:tcW w:w="711"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rPr>
            </w:pPr>
            <w:r>
              <w:rPr>
                <w:rFonts w:hint="eastAsia" w:ascii="宋体" w:hAnsi="宋体" w:eastAsia="宋体" w:cs="宋体"/>
                <w:color w:val="auto"/>
                <w:kern w:val="0"/>
                <w:sz w:val="24"/>
                <w:szCs w:val="24"/>
              </w:rPr>
              <w:t>/</w:t>
            </w:r>
          </w:p>
        </w:tc>
        <w:tc>
          <w:tcPr>
            <w:tcW w:w="1865"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rPr>
            </w:pPr>
            <w:r>
              <w:rPr>
                <w:rFonts w:hint="eastAsia" w:ascii="宋体" w:hAnsi="宋体" w:eastAsia="宋体" w:cs="宋体"/>
                <w:color w:val="auto"/>
                <w:kern w:val="0"/>
                <w:sz w:val="24"/>
                <w:szCs w:val="24"/>
              </w:rPr>
              <w:t>/</w:t>
            </w:r>
          </w:p>
        </w:tc>
        <w:tc>
          <w:tcPr>
            <w:tcW w:w="956"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rPr>
            </w:pPr>
            <w:r>
              <w:rPr>
                <w:rFonts w:hint="eastAsia" w:ascii="宋体" w:hAnsi="宋体" w:eastAsia="宋体" w:cs="宋体"/>
                <w:color w:val="auto"/>
                <w:kern w:val="0"/>
                <w:sz w:val="24"/>
                <w:szCs w:val="24"/>
              </w:rPr>
              <w:t>/</w:t>
            </w:r>
          </w:p>
        </w:tc>
        <w:tc>
          <w:tcPr>
            <w:tcW w:w="1367" w:type="dxa"/>
            <w:tcBorders>
              <w:tl2br w:val="nil"/>
              <w:tr2bl w:val="nil"/>
            </w:tcBorders>
            <w:shd w:val="clear" w:color="auto" w:fill="auto"/>
            <w:vAlign w:val="center"/>
          </w:tcPr>
          <w:p>
            <w:pPr>
              <w:adjustRightInd w:val="0"/>
              <w:snapToGrid w:val="0"/>
              <w:spacing w:beforeLines="80"/>
              <w:jc w:val="center"/>
              <w:rPr>
                <w:rFonts w:ascii="宋体" w:hAnsi="宋体" w:eastAsia="宋体" w:cs="宋体"/>
                <w:color w:val="auto"/>
                <w:kern w:val="0"/>
                <w:sz w:val="24"/>
                <w:szCs w:val="24"/>
              </w:rPr>
            </w:pPr>
            <w:r>
              <w:rPr>
                <w:rFonts w:hint="eastAsia" w:ascii="宋体" w:hAnsi="宋体" w:eastAsia="宋体" w:cs="宋体"/>
                <w:color w:val="auto"/>
                <w:kern w:val="0"/>
                <w:sz w:val="24"/>
                <w:szCs w:val="24"/>
              </w:rPr>
              <w:t>/</w:t>
            </w:r>
          </w:p>
        </w:tc>
        <w:tc>
          <w:tcPr>
            <w:tcW w:w="1293" w:type="dxa"/>
            <w:tcBorders>
              <w:tl2br w:val="nil"/>
              <w:tr2bl w:val="nil"/>
            </w:tcBorders>
            <w:shd w:val="clear" w:color="auto" w:fill="auto"/>
            <w:vAlign w:val="center"/>
          </w:tcPr>
          <w:p>
            <w:pPr>
              <w:adjustRightInd w:val="0"/>
              <w:snapToGrid w:val="0"/>
              <w:spacing w:beforeLines="80"/>
              <w:jc w:val="left"/>
              <w:rPr>
                <w:rFonts w:ascii="宋体" w:hAnsi="宋体" w:eastAsia="宋体" w:cs="宋体"/>
                <w:color w:val="auto"/>
                <w:kern w:val="0"/>
                <w:sz w:val="24"/>
                <w:szCs w:val="24"/>
              </w:rPr>
            </w:pPr>
            <w:r>
              <w:rPr>
                <w:rFonts w:hint="eastAsia" w:ascii="宋体" w:hAnsi="宋体" w:eastAsia="宋体" w:cs="宋体"/>
                <w:color w:val="auto"/>
                <w:kern w:val="0"/>
                <w:sz w:val="24"/>
                <w:szCs w:val="24"/>
              </w:rPr>
              <w:t>自动监测设备出现故障时开展手工监测，每4小时监测一次</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2063" w:hRule="atLeast"/>
        </w:trPr>
        <w:tc>
          <w:tcPr>
            <w:tcW w:w="506"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rPr>
            </w:pPr>
            <w:r>
              <w:rPr>
                <w:rFonts w:ascii="宋体" w:hAnsi="宋体" w:eastAsia="宋体" w:cs="宋体"/>
                <w:color w:val="auto"/>
                <w:kern w:val="0"/>
                <w:sz w:val="24"/>
                <w:szCs w:val="24"/>
              </w:rPr>
              <w:t>8</w:t>
            </w:r>
          </w:p>
        </w:tc>
        <w:tc>
          <w:tcPr>
            <w:tcW w:w="813"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rPr>
            </w:pPr>
            <w:r>
              <w:rPr>
                <w:rFonts w:hint="eastAsia" w:ascii="宋体" w:hAnsi="宋体" w:eastAsia="宋体" w:cs="宋体"/>
                <w:color w:val="auto"/>
                <w:kern w:val="0"/>
                <w:sz w:val="24"/>
                <w:szCs w:val="24"/>
              </w:rPr>
              <w:t>废水</w:t>
            </w:r>
          </w:p>
        </w:tc>
        <w:tc>
          <w:tcPr>
            <w:tcW w:w="867"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rPr>
            </w:pPr>
            <w:r>
              <w:rPr>
                <w:rFonts w:hint="eastAsia" w:ascii="宋体" w:hAnsi="宋体" w:eastAsia="宋体" w:cs="宋体"/>
                <w:color w:val="auto"/>
                <w:kern w:val="0"/>
                <w:sz w:val="24"/>
                <w:szCs w:val="24"/>
              </w:rPr>
              <w:t>DW001</w:t>
            </w:r>
          </w:p>
        </w:tc>
        <w:tc>
          <w:tcPr>
            <w:tcW w:w="1084"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rPr>
            </w:pPr>
            <w:r>
              <w:rPr>
                <w:rFonts w:hint="eastAsia" w:ascii="宋体" w:hAnsi="宋体" w:eastAsia="宋体" w:cs="宋体"/>
                <w:color w:val="auto"/>
                <w:kern w:val="0"/>
                <w:sz w:val="24"/>
                <w:szCs w:val="24"/>
              </w:rPr>
              <w:t>污水排放口</w:t>
            </w:r>
          </w:p>
        </w:tc>
        <w:tc>
          <w:tcPr>
            <w:tcW w:w="957"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rPr>
            </w:pPr>
            <w:r>
              <w:rPr>
                <w:rFonts w:hint="eastAsia" w:ascii="宋体" w:hAnsi="宋体" w:eastAsia="宋体" w:cs="宋体"/>
                <w:color w:val="auto"/>
                <w:kern w:val="0"/>
                <w:sz w:val="24"/>
                <w:szCs w:val="24"/>
              </w:rPr>
              <w:t>色度</w:t>
            </w:r>
            <w:r>
              <w:rPr>
                <w:rFonts w:hint="eastAsia" w:ascii="宋体" w:hAnsi="宋体" w:eastAsia="宋体" w:cs="宋体"/>
                <w:color w:val="auto"/>
                <w:sz w:val="24"/>
                <w:szCs w:val="24"/>
              </w:rPr>
              <w:t>（稀释倍数）</w:t>
            </w:r>
          </w:p>
        </w:tc>
        <w:tc>
          <w:tcPr>
            <w:tcW w:w="613"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rPr>
            </w:pPr>
            <w:r>
              <w:rPr>
                <w:rFonts w:hint="eastAsia" w:ascii="宋体" w:hAnsi="宋体" w:eastAsia="宋体" w:cs="宋体"/>
                <w:color w:val="auto"/>
                <w:kern w:val="0"/>
                <w:sz w:val="24"/>
                <w:szCs w:val="24"/>
              </w:rPr>
              <w:t>手工</w:t>
            </w:r>
          </w:p>
        </w:tc>
        <w:tc>
          <w:tcPr>
            <w:tcW w:w="1792" w:type="dxa"/>
            <w:tcBorders>
              <w:tl2br w:val="nil"/>
              <w:tr2bl w:val="nil"/>
            </w:tcBorders>
            <w:shd w:val="clear" w:color="auto" w:fill="auto"/>
            <w:vAlign w:val="center"/>
          </w:tcPr>
          <w:p>
            <w:pPr>
              <w:jc w:val="center"/>
              <w:rPr>
                <w:rFonts w:ascii="宋体" w:hAnsi="宋体" w:eastAsia="宋体" w:cs="宋体"/>
                <w:color w:val="auto"/>
                <w:sz w:val="24"/>
                <w:szCs w:val="24"/>
              </w:rPr>
            </w:pPr>
            <w:r>
              <w:rPr>
                <w:rFonts w:hint="eastAsia" w:ascii="宋体" w:hAnsi="宋体" w:eastAsia="宋体" w:cs="宋体"/>
                <w:color w:val="auto"/>
                <w:sz w:val="24"/>
                <w:szCs w:val="24"/>
              </w:rPr>
              <w:t>《城镇污水处理厂污染物排放标准》（GB18918-2002）一级A标准排放</w:t>
            </w:r>
          </w:p>
        </w:tc>
        <w:tc>
          <w:tcPr>
            <w:tcW w:w="1063" w:type="dxa"/>
            <w:tcBorders>
              <w:tl2br w:val="nil"/>
              <w:tr2bl w:val="nil"/>
            </w:tcBorders>
            <w:shd w:val="clear" w:color="auto" w:fill="auto"/>
            <w:vAlign w:val="center"/>
          </w:tcPr>
          <w:p>
            <w:pPr>
              <w:jc w:val="center"/>
              <w:rPr>
                <w:rFonts w:ascii="宋体" w:hAnsi="宋体" w:eastAsia="宋体" w:cs="宋体"/>
                <w:color w:val="auto"/>
                <w:sz w:val="24"/>
                <w:szCs w:val="24"/>
              </w:rPr>
            </w:pPr>
            <w:r>
              <w:rPr>
                <w:rFonts w:hint="eastAsia" w:ascii="宋体" w:hAnsi="宋体" w:eastAsia="宋体" w:cs="宋体"/>
                <w:color w:val="auto"/>
                <w:sz w:val="24"/>
                <w:szCs w:val="24"/>
              </w:rPr>
              <w:t>30倍</w:t>
            </w:r>
          </w:p>
        </w:tc>
        <w:tc>
          <w:tcPr>
            <w:tcW w:w="1130" w:type="dxa"/>
            <w:tcBorders>
              <w:tl2br w:val="nil"/>
              <w:tr2bl w:val="nil"/>
            </w:tcBorders>
            <w:shd w:val="clear" w:color="auto" w:fill="auto"/>
            <w:vAlign w:val="center"/>
          </w:tcPr>
          <w:p>
            <w:pPr>
              <w:jc w:val="center"/>
              <w:rPr>
                <w:rFonts w:ascii="宋体" w:hAnsi="宋体" w:eastAsia="宋体" w:cs="宋体"/>
                <w:color w:val="auto"/>
                <w:sz w:val="24"/>
                <w:szCs w:val="24"/>
              </w:rPr>
            </w:pPr>
            <w:r>
              <w:rPr>
                <w:rFonts w:hint="eastAsia" w:ascii="宋体" w:hAnsi="宋体" w:eastAsia="宋体" w:cs="宋体"/>
                <w:color w:val="auto"/>
                <w:sz w:val="24"/>
                <w:szCs w:val="24"/>
              </w:rPr>
              <w:t>2倍</w:t>
            </w:r>
          </w:p>
        </w:tc>
        <w:tc>
          <w:tcPr>
            <w:tcW w:w="538" w:type="dxa"/>
            <w:tcBorders>
              <w:tl2br w:val="nil"/>
              <w:tr2bl w:val="nil"/>
            </w:tcBorders>
            <w:shd w:val="clear" w:color="auto" w:fill="auto"/>
            <w:vAlign w:val="center"/>
          </w:tcPr>
          <w:p>
            <w:pPr>
              <w:jc w:val="center"/>
              <w:rPr>
                <w:rFonts w:ascii="宋体" w:hAnsi="宋体" w:eastAsia="宋体" w:cs="宋体"/>
                <w:color w:val="auto"/>
                <w:sz w:val="24"/>
                <w:szCs w:val="24"/>
              </w:rPr>
            </w:pPr>
            <w:r>
              <w:rPr>
                <w:rFonts w:hint="eastAsia" w:ascii="宋体" w:hAnsi="宋体" w:eastAsia="宋体" w:cs="宋体"/>
                <w:color w:val="auto"/>
                <w:kern w:val="0"/>
                <w:sz w:val="24"/>
                <w:szCs w:val="24"/>
              </w:rPr>
              <w:t>/</w:t>
            </w:r>
          </w:p>
        </w:tc>
        <w:tc>
          <w:tcPr>
            <w:tcW w:w="1068" w:type="dxa"/>
            <w:tcBorders>
              <w:tl2br w:val="nil"/>
              <w:tr2bl w:val="nil"/>
            </w:tcBorders>
            <w:shd w:val="clear" w:color="auto" w:fill="auto"/>
            <w:vAlign w:val="center"/>
          </w:tcPr>
          <w:p>
            <w:pPr>
              <w:jc w:val="center"/>
              <w:rPr>
                <w:rFonts w:ascii="宋体" w:hAnsi="宋体" w:eastAsia="宋体" w:cs="宋体"/>
                <w:color w:val="auto"/>
                <w:sz w:val="24"/>
                <w:szCs w:val="24"/>
              </w:rPr>
            </w:pPr>
            <w:r>
              <w:rPr>
                <w:rFonts w:hint="eastAsia" w:ascii="宋体" w:hAnsi="宋体" w:eastAsia="宋体" w:cs="宋体"/>
                <w:color w:val="auto"/>
                <w:kern w:val="0"/>
                <w:sz w:val="24"/>
                <w:szCs w:val="24"/>
              </w:rPr>
              <w:t>/</w:t>
            </w:r>
          </w:p>
        </w:tc>
        <w:tc>
          <w:tcPr>
            <w:tcW w:w="954" w:type="dxa"/>
            <w:tcBorders>
              <w:tl2br w:val="nil"/>
              <w:tr2bl w:val="nil"/>
            </w:tcBorders>
            <w:shd w:val="clear" w:color="auto" w:fill="auto"/>
            <w:vAlign w:val="center"/>
          </w:tcPr>
          <w:p>
            <w:pPr>
              <w:jc w:val="center"/>
              <w:rPr>
                <w:rFonts w:ascii="宋体" w:hAnsi="宋体" w:eastAsia="宋体" w:cs="宋体"/>
                <w:color w:val="auto"/>
                <w:sz w:val="24"/>
                <w:szCs w:val="24"/>
              </w:rPr>
            </w:pPr>
            <w:r>
              <w:rPr>
                <w:rFonts w:hint="eastAsia" w:ascii="宋体" w:hAnsi="宋体" w:eastAsia="宋体" w:cs="宋体"/>
                <w:color w:val="auto"/>
                <w:kern w:val="0"/>
                <w:sz w:val="24"/>
                <w:szCs w:val="24"/>
              </w:rPr>
              <w:t>/</w:t>
            </w:r>
          </w:p>
        </w:tc>
        <w:tc>
          <w:tcPr>
            <w:tcW w:w="1113" w:type="dxa"/>
            <w:tcBorders>
              <w:tl2br w:val="nil"/>
              <w:tr2bl w:val="nil"/>
            </w:tcBorders>
            <w:shd w:val="clear" w:color="auto" w:fill="auto"/>
            <w:vAlign w:val="center"/>
          </w:tcPr>
          <w:p>
            <w:pPr>
              <w:jc w:val="center"/>
              <w:rPr>
                <w:rFonts w:ascii="宋体" w:hAnsi="宋体" w:eastAsia="宋体" w:cs="宋体"/>
                <w:color w:val="auto"/>
                <w:sz w:val="24"/>
                <w:szCs w:val="24"/>
              </w:rPr>
            </w:pPr>
            <w:r>
              <w:rPr>
                <w:rFonts w:hint="eastAsia" w:ascii="宋体" w:hAnsi="宋体" w:eastAsia="宋体" w:cs="宋体"/>
                <w:color w:val="auto"/>
                <w:kern w:val="0"/>
                <w:sz w:val="24"/>
                <w:szCs w:val="24"/>
              </w:rPr>
              <w:t>/</w:t>
            </w:r>
          </w:p>
        </w:tc>
        <w:tc>
          <w:tcPr>
            <w:tcW w:w="1399"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xml:space="preserve">瞬时采样 </w:t>
            </w:r>
          </w:p>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3个瞬时样</w:t>
            </w:r>
          </w:p>
        </w:tc>
        <w:tc>
          <w:tcPr>
            <w:tcW w:w="711"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1次/月</w:t>
            </w:r>
          </w:p>
        </w:tc>
        <w:tc>
          <w:tcPr>
            <w:tcW w:w="1865"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《水质 色度的测定》</w:t>
            </w:r>
          </w:p>
          <w:p>
            <w:pPr>
              <w:widowControl/>
              <w:jc w:val="center"/>
              <w:textAlignment w:val="center"/>
              <w:rPr>
                <w:rFonts w:ascii="宋体" w:hAnsi="宋体" w:eastAsia="宋体" w:cs="宋体"/>
                <w:color w:val="auto"/>
                <w:sz w:val="24"/>
                <w:szCs w:val="24"/>
                <w:highlight w:val="none"/>
              </w:rPr>
            </w:pPr>
            <w:r>
              <w:rPr>
                <w:rStyle w:val="30"/>
                <w:rFonts w:hint="eastAsia" w:ascii="宋体" w:hAnsi="宋体" w:eastAsia="宋体" w:cs="宋体"/>
                <w:color w:val="auto"/>
                <w:sz w:val="24"/>
                <w:szCs w:val="24"/>
                <w:highlight w:val="none"/>
              </w:rPr>
              <w:t xml:space="preserve"> HJ 1182-2021</w:t>
            </w:r>
          </w:p>
        </w:tc>
        <w:tc>
          <w:tcPr>
            <w:tcW w:w="956" w:type="dxa"/>
            <w:tcBorders>
              <w:tl2br w:val="nil"/>
              <w:tr2bl w:val="nil"/>
            </w:tcBorders>
            <w:shd w:val="clear" w:color="auto" w:fill="auto"/>
            <w:vAlign w:val="center"/>
          </w:tcPr>
          <w:p>
            <w:pPr>
              <w:widowControl/>
              <w:jc w:val="center"/>
              <w:textAlignment w:val="center"/>
              <w:rPr>
                <w:rStyle w:val="30"/>
                <w:rFonts w:ascii="宋体" w:hAnsi="宋体" w:eastAsia="宋体" w:cs="宋体"/>
                <w:color w:val="auto"/>
                <w:sz w:val="24"/>
                <w:szCs w:val="24"/>
                <w:highlight w:val="none"/>
              </w:rPr>
            </w:pPr>
            <w:r>
              <w:rPr>
                <w:rStyle w:val="30"/>
                <w:rFonts w:hint="eastAsia" w:ascii="宋体" w:hAnsi="宋体" w:eastAsia="宋体" w:cs="宋体"/>
                <w:color w:val="auto"/>
                <w:sz w:val="24"/>
                <w:szCs w:val="24"/>
                <w:highlight w:val="none"/>
              </w:rPr>
              <w:t>比色管</w:t>
            </w:r>
          </w:p>
        </w:tc>
        <w:tc>
          <w:tcPr>
            <w:tcW w:w="1367"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c>
          <w:tcPr>
            <w:tcW w:w="1293"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rPr>
            </w:pPr>
            <w:r>
              <w:rPr>
                <w:rFonts w:hint="eastAsia" w:ascii="宋体" w:hAnsi="宋体" w:eastAsia="宋体" w:cs="宋体"/>
                <w:color w:val="auto"/>
                <w:kern w:val="0"/>
                <w:sz w:val="24"/>
                <w:szCs w:val="24"/>
              </w:rPr>
              <w:t>/</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1902" w:hRule="atLeast"/>
        </w:trPr>
        <w:tc>
          <w:tcPr>
            <w:tcW w:w="506"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rPr>
            </w:pPr>
            <w:r>
              <w:rPr>
                <w:rFonts w:ascii="宋体" w:hAnsi="宋体" w:eastAsia="宋体" w:cs="宋体"/>
                <w:color w:val="auto"/>
                <w:kern w:val="0"/>
                <w:sz w:val="24"/>
                <w:szCs w:val="24"/>
              </w:rPr>
              <w:t>9</w:t>
            </w:r>
          </w:p>
        </w:tc>
        <w:tc>
          <w:tcPr>
            <w:tcW w:w="813"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rPr>
            </w:pPr>
            <w:r>
              <w:rPr>
                <w:rFonts w:hint="eastAsia" w:ascii="宋体" w:hAnsi="宋体" w:eastAsia="宋体" w:cs="宋体"/>
                <w:color w:val="auto"/>
                <w:kern w:val="0"/>
                <w:sz w:val="24"/>
                <w:szCs w:val="24"/>
              </w:rPr>
              <w:t>废水</w:t>
            </w:r>
          </w:p>
        </w:tc>
        <w:tc>
          <w:tcPr>
            <w:tcW w:w="867"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rPr>
            </w:pPr>
            <w:r>
              <w:rPr>
                <w:rFonts w:hint="eastAsia" w:ascii="宋体" w:hAnsi="宋体" w:eastAsia="宋体" w:cs="宋体"/>
                <w:color w:val="auto"/>
                <w:kern w:val="0"/>
                <w:sz w:val="24"/>
                <w:szCs w:val="24"/>
              </w:rPr>
              <w:t>DW001</w:t>
            </w:r>
          </w:p>
        </w:tc>
        <w:tc>
          <w:tcPr>
            <w:tcW w:w="1084"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rPr>
            </w:pPr>
            <w:r>
              <w:rPr>
                <w:rFonts w:hint="eastAsia" w:ascii="宋体" w:hAnsi="宋体" w:eastAsia="宋体" w:cs="宋体"/>
                <w:color w:val="auto"/>
                <w:kern w:val="0"/>
                <w:sz w:val="24"/>
                <w:szCs w:val="24"/>
              </w:rPr>
              <w:t>污水排放口</w:t>
            </w:r>
          </w:p>
        </w:tc>
        <w:tc>
          <w:tcPr>
            <w:tcW w:w="957"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rPr>
            </w:pPr>
            <w:r>
              <w:rPr>
                <w:rFonts w:hint="eastAsia" w:ascii="宋体" w:hAnsi="宋体" w:eastAsia="宋体" w:cs="宋体"/>
                <w:color w:val="auto"/>
                <w:kern w:val="0"/>
                <w:sz w:val="24"/>
                <w:szCs w:val="24"/>
              </w:rPr>
              <w:t>悬浮物</w:t>
            </w:r>
          </w:p>
        </w:tc>
        <w:tc>
          <w:tcPr>
            <w:tcW w:w="613"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rPr>
            </w:pPr>
            <w:r>
              <w:rPr>
                <w:rFonts w:hint="eastAsia" w:ascii="宋体" w:hAnsi="宋体" w:eastAsia="宋体" w:cs="宋体"/>
                <w:color w:val="auto"/>
                <w:kern w:val="0"/>
                <w:sz w:val="24"/>
                <w:szCs w:val="24"/>
              </w:rPr>
              <w:t>手工</w:t>
            </w:r>
          </w:p>
        </w:tc>
        <w:tc>
          <w:tcPr>
            <w:tcW w:w="1792" w:type="dxa"/>
            <w:tcBorders>
              <w:tl2br w:val="nil"/>
              <w:tr2bl w:val="nil"/>
            </w:tcBorders>
            <w:shd w:val="clear" w:color="auto" w:fill="auto"/>
            <w:vAlign w:val="center"/>
          </w:tcPr>
          <w:p>
            <w:pPr>
              <w:jc w:val="center"/>
              <w:rPr>
                <w:rFonts w:ascii="宋体" w:hAnsi="宋体" w:eastAsia="宋体" w:cs="宋体"/>
                <w:color w:val="auto"/>
                <w:sz w:val="24"/>
                <w:szCs w:val="24"/>
              </w:rPr>
            </w:pPr>
            <w:r>
              <w:rPr>
                <w:rFonts w:hint="eastAsia" w:ascii="宋体" w:hAnsi="宋体" w:eastAsia="宋体" w:cs="宋体"/>
                <w:color w:val="auto"/>
                <w:sz w:val="24"/>
                <w:szCs w:val="24"/>
              </w:rPr>
              <w:t>《城镇污水处理厂污染物排放标准》（GB18918-2002）一级A标准排放</w:t>
            </w:r>
          </w:p>
        </w:tc>
        <w:tc>
          <w:tcPr>
            <w:tcW w:w="1063" w:type="dxa"/>
            <w:tcBorders>
              <w:tl2br w:val="nil"/>
              <w:tr2bl w:val="nil"/>
            </w:tcBorders>
            <w:shd w:val="clear" w:color="auto" w:fill="auto"/>
            <w:vAlign w:val="center"/>
          </w:tcPr>
          <w:p>
            <w:pPr>
              <w:jc w:val="center"/>
              <w:rPr>
                <w:rFonts w:ascii="宋体" w:hAnsi="宋体" w:eastAsia="宋体" w:cs="宋体"/>
                <w:color w:val="auto"/>
                <w:sz w:val="24"/>
                <w:szCs w:val="24"/>
              </w:rPr>
            </w:pPr>
            <w:r>
              <w:rPr>
                <w:rFonts w:hint="eastAsia" w:ascii="宋体" w:hAnsi="宋体" w:eastAsia="宋体" w:cs="宋体"/>
                <w:color w:val="auto"/>
                <w:sz w:val="24"/>
                <w:szCs w:val="24"/>
              </w:rPr>
              <w:t>10mg/L</w:t>
            </w:r>
          </w:p>
        </w:tc>
        <w:tc>
          <w:tcPr>
            <w:tcW w:w="1130" w:type="dxa"/>
            <w:tcBorders>
              <w:tl2br w:val="nil"/>
              <w:tr2bl w:val="nil"/>
            </w:tcBorders>
            <w:shd w:val="clear" w:color="auto" w:fill="auto"/>
            <w:vAlign w:val="center"/>
          </w:tcPr>
          <w:p>
            <w:pPr>
              <w:jc w:val="center"/>
              <w:rPr>
                <w:rFonts w:ascii="宋体" w:hAnsi="宋体" w:eastAsia="宋体" w:cs="宋体"/>
                <w:color w:val="auto"/>
                <w:sz w:val="24"/>
                <w:szCs w:val="24"/>
              </w:rPr>
            </w:pPr>
            <w:r>
              <w:rPr>
                <w:rFonts w:hint="eastAsia" w:ascii="宋体" w:hAnsi="宋体" w:eastAsia="宋体" w:cs="宋体"/>
                <w:color w:val="auto"/>
                <w:sz w:val="24"/>
                <w:szCs w:val="24"/>
              </w:rPr>
              <w:t>5</w:t>
            </w:r>
            <w:r>
              <w:rPr>
                <w:rFonts w:ascii="宋体" w:hAnsi="宋体" w:eastAsia="宋体" w:cs="宋体"/>
                <w:color w:val="auto"/>
                <w:sz w:val="24"/>
                <w:szCs w:val="24"/>
              </w:rPr>
              <w:t>mg/L</w:t>
            </w:r>
          </w:p>
        </w:tc>
        <w:tc>
          <w:tcPr>
            <w:tcW w:w="538" w:type="dxa"/>
            <w:tcBorders>
              <w:tl2br w:val="nil"/>
              <w:tr2bl w:val="nil"/>
            </w:tcBorders>
            <w:shd w:val="clear" w:color="auto" w:fill="auto"/>
            <w:vAlign w:val="center"/>
          </w:tcPr>
          <w:p>
            <w:pPr>
              <w:jc w:val="center"/>
              <w:rPr>
                <w:rFonts w:ascii="宋体" w:hAnsi="宋体" w:eastAsia="宋体" w:cs="宋体"/>
                <w:color w:val="auto"/>
                <w:sz w:val="24"/>
                <w:szCs w:val="24"/>
              </w:rPr>
            </w:pPr>
            <w:r>
              <w:rPr>
                <w:rFonts w:hint="eastAsia" w:ascii="宋体" w:hAnsi="宋体" w:eastAsia="宋体" w:cs="宋体"/>
                <w:color w:val="auto"/>
                <w:kern w:val="0"/>
                <w:sz w:val="24"/>
                <w:szCs w:val="24"/>
              </w:rPr>
              <w:t>/</w:t>
            </w:r>
          </w:p>
        </w:tc>
        <w:tc>
          <w:tcPr>
            <w:tcW w:w="1068" w:type="dxa"/>
            <w:tcBorders>
              <w:tl2br w:val="nil"/>
              <w:tr2bl w:val="nil"/>
            </w:tcBorders>
            <w:shd w:val="clear" w:color="auto" w:fill="auto"/>
            <w:vAlign w:val="center"/>
          </w:tcPr>
          <w:p>
            <w:pPr>
              <w:jc w:val="center"/>
              <w:rPr>
                <w:rFonts w:ascii="宋体" w:hAnsi="宋体" w:eastAsia="宋体" w:cs="宋体"/>
                <w:color w:val="auto"/>
                <w:sz w:val="24"/>
                <w:szCs w:val="24"/>
              </w:rPr>
            </w:pPr>
            <w:r>
              <w:rPr>
                <w:rFonts w:hint="eastAsia" w:ascii="宋体" w:hAnsi="宋体" w:eastAsia="宋体" w:cs="宋体"/>
                <w:color w:val="auto"/>
                <w:kern w:val="0"/>
                <w:sz w:val="24"/>
                <w:szCs w:val="24"/>
              </w:rPr>
              <w:t>/</w:t>
            </w:r>
          </w:p>
        </w:tc>
        <w:tc>
          <w:tcPr>
            <w:tcW w:w="954" w:type="dxa"/>
            <w:tcBorders>
              <w:tl2br w:val="nil"/>
              <w:tr2bl w:val="nil"/>
            </w:tcBorders>
            <w:shd w:val="clear" w:color="auto" w:fill="auto"/>
            <w:vAlign w:val="center"/>
          </w:tcPr>
          <w:p>
            <w:pPr>
              <w:jc w:val="center"/>
              <w:rPr>
                <w:rFonts w:ascii="宋体" w:hAnsi="宋体" w:eastAsia="宋体" w:cs="宋体"/>
                <w:color w:val="auto"/>
                <w:sz w:val="24"/>
                <w:szCs w:val="24"/>
              </w:rPr>
            </w:pPr>
            <w:r>
              <w:rPr>
                <w:rFonts w:hint="eastAsia" w:ascii="宋体" w:hAnsi="宋体" w:eastAsia="宋体" w:cs="宋体"/>
                <w:color w:val="auto"/>
                <w:kern w:val="0"/>
                <w:sz w:val="24"/>
                <w:szCs w:val="24"/>
              </w:rPr>
              <w:t>/</w:t>
            </w:r>
          </w:p>
        </w:tc>
        <w:tc>
          <w:tcPr>
            <w:tcW w:w="1113" w:type="dxa"/>
            <w:tcBorders>
              <w:tl2br w:val="nil"/>
              <w:tr2bl w:val="nil"/>
            </w:tcBorders>
            <w:shd w:val="clear" w:color="auto" w:fill="auto"/>
            <w:vAlign w:val="center"/>
          </w:tcPr>
          <w:p>
            <w:pPr>
              <w:jc w:val="center"/>
              <w:rPr>
                <w:rFonts w:ascii="宋体" w:hAnsi="宋体" w:eastAsia="宋体" w:cs="宋体"/>
                <w:color w:val="auto"/>
                <w:sz w:val="24"/>
                <w:szCs w:val="24"/>
              </w:rPr>
            </w:pPr>
            <w:r>
              <w:rPr>
                <w:rFonts w:hint="eastAsia" w:ascii="宋体" w:hAnsi="宋体" w:eastAsia="宋体" w:cs="宋体"/>
                <w:color w:val="auto"/>
                <w:kern w:val="0"/>
                <w:sz w:val="24"/>
                <w:szCs w:val="24"/>
              </w:rPr>
              <w:t>/</w:t>
            </w:r>
          </w:p>
        </w:tc>
        <w:tc>
          <w:tcPr>
            <w:tcW w:w="1399"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xml:space="preserve">瞬时采样 </w:t>
            </w:r>
          </w:p>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 xml:space="preserve">3个瞬时样                                                                                                                                                                                                                                                                                                                                                                                                                                                                                                                                                        </w:t>
            </w:r>
          </w:p>
        </w:tc>
        <w:tc>
          <w:tcPr>
            <w:tcW w:w="711"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1次/月</w:t>
            </w:r>
          </w:p>
        </w:tc>
        <w:tc>
          <w:tcPr>
            <w:tcW w:w="1865" w:type="dxa"/>
            <w:tcBorders>
              <w:tl2br w:val="nil"/>
              <w:tr2bl w:val="nil"/>
            </w:tcBorders>
            <w:shd w:val="clear" w:color="auto" w:fill="auto"/>
            <w:vAlign w:val="center"/>
          </w:tcPr>
          <w:p>
            <w:pPr>
              <w:widowControl/>
              <w:jc w:val="center"/>
              <w:textAlignment w:val="center"/>
              <w:rPr>
                <w:rStyle w:val="30"/>
                <w:rFonts w:ascii="宋体" w:hAnsi="宋体" w:eastAsia="宋体" w:cs="宋体"/>
                <w:color w:val="auto"/>
                <w:sz w:val="24"/>
                <w:szCs w:val="24"/>
                <w:highlight w:val="none"/>
              </w:rPr>
            </w:pPr>
            <w:r>
              <w:rPr>
                <w:rStyle w:val="30"/>
                <w:rFonts w:hint="eastAsia" w:ascii="宋体" w:hAnsi="宋体" w:eastAsia="宋体" w:cs="宋体"/>
                <w:color w:val="auto"/>
                <w:sz w:val="24"/>
                <w:szCs w:val="24"/>
                <w:highlight w:val="none"/>
              </w:rPr>
              <w:t>《</w:t>
            </w:r>
            <w:r>
              <w:rPr>
                <w:rStyle w:val="31"/>
                <w:rFonts w:hint="eastAsia" w:ascii="宋体" w:hAnsi="宋体" w:eastAsia="宋体" w:cs="宋体"/>
                <w:color w:val="auto"/>
                <w:sz w:val="24"/>
                <w:szCs w:val="24"/>
                <w:highlight w:val="none"/>
              </w:rPr>
              <w:t>水质 悬浮物的测定重量法</w:t>
            </w:r>
            <w:r>
              <w:rPr>
                <w:rStyle w:val="30"/>
                <w:rFonts w:hint="eastAsia" w:ascii="宋体" w:hAnsi="宋体" w:eastAsia="宋体" w:cs="宋体"/>
                <w:color w:val="auto"/>
                <w:sz w:val="24"/>
                <w:szCs w:val="24"/>
                <w:highlight w:val="none"/>
              </w:rPr>
              <w:t>》</w:t>
            </w:r>
          </w:p>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GB</w:t>
            </w:r>
            <w:r>
              <w:rPr>
                <w:rStyle w:val="30"/>
                <w:rFonts w:hint="eastAsia" w:ascii="宋体" w:hAnsi="宋体" w:eastAsia="宋体" w:cs="宋体"/>
                <w:color w:val="auto"/>
                <w:sz w:val="24"/>
                <w:szCs w:val="24"/>
                <w:highlight w:val="none"/>
              </w:rPr>
              <w:t xml:space="preserve">/T 11901-1989 </w:t>
            </w:r>
          </w:p>
        </w:tc>
        <w:tc>
          <w:tcPr>
            <w:tcW w:w="956" w:type="dxa"/>
            <w:tcBorders>
              <w:tl2br w:val="nil"/>
              <w:tr2bl w:val="nil"/>
            </w:tcBorders>
            <w:shd w:val="clear" w:color="auto" w:fill="auto"/>
            <w:vAlign w:val="center"/>
          </w:tcPr>
          <w:p>
            <w:pPr>
              <w:widowControl/>
              <w:jc w:val="center"/>
              <w:textAlignment w:val="center"/>
              <w:rPr>
                <w:rFonts w:hint="eastAsia" w:ascii="宋体" w:hAnsi="宋体" w:eastAsia="宋体" w:cs="宋体"/>
                <w:color w:val="auto"/>
                <w:kern w:val="0"/>
                <w:sz w:val="24"/>
                <w:szCs w:val="24"/>
                <w:highlight w:val="none"/>
                <w:lang w:eastAsia="zh-CN"/>
              </w:rPr>
            </w:pPr>
            <w:r>
              <w:rPr>
                <w:rStyle w:val="31"/>
                <w:rFonts w:hint="eastAsia" w:ascii="宋体" w:hAnsi="宋体" w:eastAsia="宋体" w:cs="宋体"/>
                <w:color w:val="auto"/>
                <w:sz w:val="24"/>
                <w:szCs w:val="24"/>
                <w:highlight w:val="none"/>
                <w:lang w:eastAsia="zh-CN"/>
              </w:rPr>
              <w:t>万分之一天平</w:t>
            </w:r>
          </w:p>
        </w:tc>
        <w:tc>
          <w:tcPr>
            <w:tcW w:w="1367"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Style w:val="31"/>
                <w:rFonts w:hint="eastAsia" w:ascii="宋体" w:hAnsi="宋体" w:eastAsia="宋体" w:cs="宋体"/>
                <w:color w:val="auto"/>
                <w:sz w:val="24"/>
                <w:szCs w:val="24"/>
                <w:highlight w:val="none"/>
              </w:rPr>
              <w:t>冷藏，避光，按实际化验处理办法填写</w:t>
            </w:r>
          </w:p>
        </w:tc>
        <w:tc>
          <w:tcPr>
            <w:tcW w:w="1293"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rPr>
            </w:pPr>
            <w:r>
              <w:rPr>
                <w:rFonts w:hint="eastAsia" w:ascii="宋体" w:hAnsi="宋体" w:eastAsia="宋体" w:cs="宋体"/>
                <w:color w:val="auto"/>
                <w:kern w:val="0"/>
                <w:sz w:val="24"/>
                <w:szCs w:val="24"/>
              </w:rPr>
              <w:t>/</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1902" w:hRule="atLeast"/>
        </w:trPr>
        <w:tc>
          <w:tcPr>
            <w:tcW w:w="506"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rPr>
            </w:pPr>
            <w:r>
              <w:rPr>
                <w:rFonts w:ascii="宋体" w:hAnsi="宋体" w:eastAsia="宋体" w:cs="宋体"/>
                <w:color w:val="auto"/>
                <w:kern w:val="0"/>
                <w:sz w:val="24"/>
                <w:szCs w:val="24"/>
              </w:rPr>
              <w:t>10</w:t>
            </w:r>
          </w:p>
        </w:tc>
        <w:tc>
          <w:tcPr>
            <w:tcW w:w="813"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废水</w:t>
            </w:r>
          </w:p>
        </w:tc>
        <w:tc>
          <w:tcPr>
            <w:tcW w:w="867"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DW001</w:t>
            </w:r>
          </w:p>
        </w:tc>
        <w:tc>
          <w:tcPr>
            <w:tcW w:w="1084"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污水排放口</w:t>
            </w:r>
          </w:p>
        </w:tc>
        <w:tc>
          <w:tcPr>
            <w:tcW w:w="957"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五日生化需氧量</w:t>
            </w:r>
          </w:p>
        </w:tc>
        <w:tc>
          <w:tcPr>
            <w:tcW w:w="613"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手工</w:t>
            </w:r>
          </w:p>
        </w:tc>
        <w:tc>
          <w:tcPr>
            <w:tcW w:w="1792" w:type="dxa"/>
            <w:tcBorders>
              <w:tl2br w:val="nil"/>
              <w:tr2bl w:val="nil"/>
            </w:tcBorders>
            <w:shd w:val="clear" w:color="auto" w:fill="auto"/>
            <w:vAlign w:val="center"/>
          </w:tcPr>
          <w:p>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《城镇污水处理厂污染物排放标准》（GB18918-2002）一级A标准排放</w:t>
            </w:r>
          </w:p>
        </w:tc>
        <w:tc>
          <w:tcPr>
            <w:tcW w:w="1063" w:type="dxa"/>
            <w:tcBorders>
              <w:tl2br w:val="nil"/>
              <w:tr2bl w:val="nil"/>
            </w:tcBorders>
            <w:shd w:val="clear" w:color="auto" w:fill="auto"/>
            <w:vAlign w:val="center"/>
          </w:tcPr>
          <w:p>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10mg/L</w:t>
            </w:r>
          </w:p>
        </w:tc>
        <w:tc>
          <w:tcPr>
            <w:tcW w:w="1130" w:type="dxa"/>
            <w:tcBorders>
              <w:tl2br w:val="nil"/>
              <w:tr2bl w:val="nil"/>
            </w:tcBorders>
            <w:shd w:val="clear" w:color="auto" w:fill="auto"/>
            <w:vAlign w:val="center"/>
          </w:tcPr>
          <w:p>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0.5</w:t>
            </w:r>
            <w:r>
              <w:rPr>
                <w:rFonts w:ascii="宋体" w:hAnsi="宋体" w:eastAsia="宋体" w:cs="宋体"/>
                <w:color w:val="auto"/>
                <w:sz w:val="24"/>
                <w:szCs w:val="24"/>
                <w:highlight w:val="none"/>
              </w:rPr>
              <w:t>mg/L</w:t>
            </w:r>
          </w:p>
        </w:tc>
        <w:tc>
          <w:tcPr>
            <w:tcW w:w="538" w:type="dxa"/>
            <w:tcBorders>
              <w:tl2br w:val="nil"/>
              <w:tr2bl w:val="nil"/>
            </w:tcBorders>
            <w:shd w:val="clear" w:color="auto" w:fill="auto"/>
            <w:vAlign w:val="center"/>
          </w:tcPr>
          <w:p>
            <w:pPr>
              <w:jc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c>
          <w:tcPr>
            <w:tcW w:w="1068" w:type="dxa"/>
            <w:tcBorders>
              <w:tl2br w:val="nil"/>
              <w:tr2bl w:val="nil"/>
            </w:tcBorders>
            <w:shd w:val="clear" w:color="auto" w:fill="auto"/>
            <w:vAlign w:val="center"/>
          </w:tcPr>
          <w:p>
            <w:pPr>
              <w:jc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c>
          <w:tcPr>
            <w:tcW w:w="954" w:type="dxa"/>
            <w:tcBorders>
              <w:tl2br w:val="nil"/>
              <w:tr2bl w:val="nil"/>
            </w:tcBorders>
            <w:shd w:val="clear" w:color="auto" w:fill="auto"/>
            <w:vAlign w:val="center"/>
          </w:tcPr>
          <w:p>
            <w:pPr>
              <w:jc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c>
          <w:tcPr>
            <w:tcW w:w="1113" w:type="dxa"/>
            <w:tcBorders>
              <w:tl2br w:val="nil"/>
              <w:tr2bl w:val="nil"/>
            </w:tcBorders>
            <w:shd w:val="clear" w:color="auto" w:fill="auto"/>
            <w:vAlign w:val="center"/>
          </w:tcPr>
          <w:p>
            <w:pPr>
              <w:jc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c>
          <w:tcPr>
            <w:tcW w:w="1399"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xml:space="preserve">瞬时采样 </w:t>
            </w:r>
          </w:p>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 xml:space="preserve">3个瞬时样 </w:t>
            </w:r>
          </w:p>
        </w:tc>
        <w:tc>
          <w:tcPr>
            <w:tcW w:w="711"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1次/月</w:t>
            </w:r>
          </w:p>
        </w:tc>
        <w:tc>
          <w:tcPr>
            <w:tcW w:w="1865" w:type="dxa"/>
            <w:tcBorders>
              <w:tl2br w:val="nil"/>
              <w:tr2bl w:val="nil"/>
            </w:tcBorders>
            <w:shd w:val="clear" w:color="auto" w:fill="auto"/>
            <w:vAlign w:val="center"/>
          </w:tcPr>
          <w:p>
            <w:pPr>
              <w:widowControl/>
              <w:jc w:val="center"/>
              <w:textAlignment w:val="center"/>
              <w:rPr>
                <w:rStyle w:val="31"/>
                <w:rFonts w:ascii="宋体" w:hAnsi="宋体" w:eastAsia="宋体" w:cs="宋体"/>
                <w:color w:val="auto"/>
                <w:sz w:val="24"/>
                <w:szCs w:val="24"/>
                <w:highlight w:val="none"/>
              </w:rPr>
            </w:pPr>
            <w:r>
              <w:rPr>
                <w:rStyle w:val="31"/>
                <w:rFonts w:hint="eastAsia" w:ascii="宋体" w:hAnsi="宋体" w:eastAsia="宋体" w:cs="宋体"/>
                <w:color w:val="auto"/>
                <w:sz w:val="24"/>
                <w:szCs w:val="24"/>
                <w:highlight w:val="none"/>
              </w:rPr>
              <w:t>《</w:t>
            </w:r>
            <w:r>
              <w:rPr>
                <w:rStyle w:val="32"/>
                <w:rFonts w:hint="default"/>
                <w:color w:val="auto"/>
                <w:sz w:val="24"/>
                <w:szCs w:val="24"/>
                <w:highlight w:val="none"/>
              </w:rPr>
              <w:t>水质 五日生化需氧量</w:t>
            </w:r>
            <w:r>
              <w:rPr>
                <w:rStyle w:val="31"/>
                <w:rFonts w:hint="eastAsia" w:ascii="宋体" w:hAnsi="宋体" w:eastAsia="宋体" w:cs="宋体"/>
                <w:color w:val="auto"/>
                <w:sz w:val="24"/>
                <w:szCs w:val="24"/>
                <w:highlight w:val="none"/>
              </w:rPr>
              <w:t>(BOD5)</w:t>
            </w:r>
            <w:r>
              <w:rPr>
                <w:rStyle w:val="32"/>
                <w:rFonts w:hint="default"/>
                <w:color w:val="auto"/>
                <w:sz w:val="24"/>
                <w:szCs w:val="24"/>
                <w:highlight w:val="none"/>
              </w:rPr>
              <w:t>的测定稀释与接种法</w:t>
            </w:r>
            <w:r>
              <w:rPr>
                <w:rStyle w:val="31"/>
                <w:rFonts w:hint="eastAsia" w:ascii="宋体" w:hAnsi="宋体" w:eastAsia="宋体" w:cs="宋体"/>
                <w:color w:val="auto"/>
                <w:sz w:val="24"/>
                <w:szCs w:val="24"/>
                <w:highlight w:val="none"/>
              </w:rPr>
              <w:t>》</w:t>
            </w:r>
          </w:p>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HJ 505-2009</w:t>
            </w:r>
            <w:r>
              <w:rPr>
                <w:rStyle w:val="31"/>
                <w:rFonts w:hint="eastAsia" w:ascii="宋体" w:hAnsi="宋体" w:eastAsia="宋体" w:cs="宋体"/>
                <w:color w:val="auto"/>
                <w:sz w:val="24"/>
                <w:szCs w:val="24"/>
                <w:highlight w:val="none"/>
              </w:rPr>
              <w:t xml:space="preserve"> </w:t>
            </w:r>
          </w:p>
        </w:tc>
        <w:tc>
          <w:tcPr>
            <w:tcW w:w="956"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highlight w:val="none"/>
              </w:rPr>
            </w:pPr>
            <w:r>
              <w:rPr>
                <w:rStyle w:val="31"/>
                <w:rFonts w:hint="eastAsia" w:ascii="宋体" w:hAnsi="宋体" w:eastAsia="宋体" w:cs="宋体"/>
                <w:color w:val="auto"/>
                <w:sz w:val="24"/>
                <w:szCs w:val="24"/>
                <w:highlight w:val="none"/>
              </w:rPr>
              <w:t>生化培养箱</w:t>
            </w:r>
          </w:p>
        </w:tc>
        <w:tc>
          <w:tcPr>
            <w:tcW w:w="1367"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Style w:val="31"/>
                <w:rFonts w:hint="eastAsia" w:ascii="宋体" w:hAnsi="宋体" w:eastAsia="宋体" w:cs="宋体"/>
                <w:color w:val="auto"/>
                <w:sz w:val="24"/>
                <w:szCs w:val="24"/>
                <w:highlight w:val="none"/>
              </w:rPr>
              <w:t>冷藏，避光</w:t>
            </w:r>
          </w:p>
        </w:tc>
        <w:tc>
          <w:tcPr>
            <w:tcW w:w="1293"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3774" w:hRule="atLeast"/>
        </w:trPr>
        <w:tc>
          <w:tcPr>
            <w:tcW w:w="506"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rPr>
            </w:pPr>
            <w:r>
              <w:rPr>
                <w:rFonts w:hint="eastAsia" w:ascii="宋体" w:hAnsi="宋体" w:eastAsia="宋体" w:cs="宋体"/>
                <w:color w:val="auto"/>
                <w:kern w:val="0"/>
                <w:sz w:val="24"/>
                <w:szCs w:val="24"/>
              </w:rPr>
              <w:t>1</w:t>
            </w:r>
            <w:r>
              <w:rPr>
                <w:rFonts w:ascii="宋体" w:hAnsi="宋体" w:eastAsia="宋体" w:cs="宋体"/>
                <w:color w:val="auto"/>
                <w:kern w:val="0"/>
                <w:sz w:val="24"/>
                <w:szCs w:val="24"/>
              </w:rPr>
              <w:t>1</w:t>
            </w:r>
          </w:p>
        </w:tc>
        <w:tc>
          <w:tcPr>
            <w:tcW w:w="813"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废水</w:t>
            </w:r>
          </w:p>
        </w:tc>
        <w:tc>
          <w:tcPr>
            <w:tcW w:w="867"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DW001</w:t>
            </w:r>
          </w:p>
        </w:tc>
        <w:tc>
          <w:tcPr>
            <w:tcW w:w="1084"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污水排放口</w:t>
            </w:r>
          </w:p>
        </w:tc>
        <w:tc>
          <w:tcPr>
            <w:tcW w:w="957"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粪大肠菌群数/（个/L）</w:t>
            </w:r>
          </w:p>
        </w:tc>
        <w:tc>
          <w:tcPr>
            <w:tcW w:w="613"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手工</w:t>
            </w:r>
          </w:p>
        </w:tc>
        <w:tc>
          <w:tcPr>
            <w:tcW w:w="1792" w:type="dxa"/>
            <w:tcBorders>
              <w:tl2br w:val="nil"/>
              <w:tr2bl w:val="nil"/>
            </w:tcBorders>
            <w:shd w:val="clear" w:color="auto" w:fill="auto"/>
            <w:vAlign w:val="center"/>
          </w:tcPr>
          <w:p>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《城镇污水处理厂污染物排放标准》（GB18918-2002）一级A标准排放</w:t>
            </w:r>
          </w:p>
        </w:tc>
        <w:tc>
          <w:tcPr>
            <w:tcW w:w="1063" w:type="dxa"/>
            <w:tcBorders>
              <w:tl2br w:val="nil"/>
              <w:tr2bl w:val="nil"/>
            </w:tcBorders>
            <w:shd w:val="clear" w:color="auto" w:fill="auto"/>
            <w:vAlign w:val="center"/>
          </w:tcPr>
          <w:p>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1000个/L</w:t>
            </w:r>
          </w:p>
        </w:tc>
        <w:tc>
          <w:tcPr>
            <w:tcW w:w="1130" w:type="dxa"/>
            <w:tcBorders>
              <w:tl2br w:val="nil"/>
              <w:tr2bl w:val="nil"/>
            </w:tcBorders>
            <w:shd w:val="clear" w:color="auto" w:fill="auto"/>
            <w:vAlign w:val="center"/>
          </w:tcPr>
          <w:p>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10CFU/L</w:t>
            </w:r>
          </w:p>
        </w:tc>
        <w:tc>
          <w:tcPr>
            <w:tcW w:w="538" w:type="dxa"/>
            <w:tcBorders>
              <w:tl2br w:val="nil"/>
              <w:tr2bl w:val="nil"/>
            </w:tcBorders>
            <w:shd w:val="clear" w:color="auto" w:fill="auto"/>
            <w:vAlign w:val="center"/>
          </w:tcPr>
          <w:p>
            <w:pPr>
              <w:jc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c>
          <w:tcPr>
            <w:tcW w:w="1068" w:type="dxa"/>
            <w:tcBorders>
              <w:tl2br w:val="nil"/>
              <w:tr2bl w:val="nil"/>
            </w:tcBorders>
            <w:shd w:val="clear" w:color="auto" w:fill="auto"/>
            <w:vAlign w:val="center"/>
          </w:tcPr>
          <w:p>
            <w:pPr>
              <w:jc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c>
          <w:tcPr>
            <w:tcW w:w="954" w:type="dxa"/>
            <w:tcBorders>
              <w:tl2br w:val="nil"/>
              <w:tr2bl w:val="nil"/>
            </w:tcBorders>
            <w:shd w:val="clear" w:color="auto" w:fill="auto"/>
            <w:vAlign w:val="center"/>
          </w:tcPr>
          <w:p>
            <w:pPr>
              <w:jc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c>
          <w:tcPr>
            <w:tcW w:w="1113" w:type="dxa"/>
            <w:tcBorders>
              <w:tl2br w:val="nil"/>
              <w:tr2bl w:val="nil"/>
            </w:tcBorders>
            <w:shd w:val="clear" w:color="auto" w:fill="auto"/>
            <w:vAlign w:val="center"/>
          </w:tcPr>
          <w:p>
            <w:pPr>
              <w:jc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c>
          <w:tcPr>
            <w:tcW w:w="1399"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xml:space="preserve">瞬时采样 </w:t>
            </w:r>
          </w:p>
          <w:p>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3个瞬时样</w:t>
            </w:r>
          </w:p>
        </w:tc>
        <w:tc>
          <w:tcPr>
            <w:tcW w:w="711"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1次/月</w:t>
            </w:r>
          </w:p>
        </w:tc>
        <w:tc>
          <w:tcPr>
            <w:tcW w:w="1865"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1、《水质 粪大肠菌群的测定 多管发酵法》</w:t>
            </w:r>
          </w:p>
          <w:p>
            <w:pPr>
              <w:widowControl/>
              <w:jc w:val="center"/>
              <w:textAlignment w:val="center"/>
              <w:rPr>
                <w:rStyle w:val="34"/>
                <w:rFonts w:ascii="宋体" w:hAnsi="宋体" w:eastAsia="宋体" w:cs="宋体"/>
                <w:color w:val="auto"/>
                <w:sz w:val="24"/>
                <w:szCs w:val="24"/>
                <w:highlight w:val="none"/>
              </w:rPr>
            </w:pPr>
            <w:r>
              <w:rPr>
                <w:rStyle w:val="34"/>
                <w:rFonts w:hint="eastAsia" w:ascii="宋体" w:hAnsi="宋体" w:eastAsia="宋体" w:cs="宋体"/>
                <w:color w:val="auto"/>
                <w:sz w:val="24"/>
                <w:szCs w:val="24"/>
                <w:highlight w:val="none"/>
              </w:rPr>
              <w:t>HJ 347.2-2018</w:t>
            </w:r>
          </w:p>
          <w:p>
            <w:pPr>
              <w:widowControl/>
              <w:jc w:val="center"/>
              <w:textAlignment w:val="center"/>
              <w:rPr>
                <w:rFonts w:ascii="宋体" w:hAnsi="宋体" w:eastAsia="宋体" w:cs="宋体"/>
                <w:color w:val="auto"/>
                <w:kern w:val="0"/>
                <w:sz w:val="24"/>
                <w:szCs w:val="24"/>
                <w:highlight w:val="none"/>
              </w:rPr>
            </w:pPr>
            <w:r>
              <w:rPr>
                <w:rStyle w:val="34"/>
                <w:rFonts w:hint="eastAsia"/>
                <w:color w:val="auto"/>
                <w:highlight w:val="none"/>
              </w:rPr>
              <w:t>2、</w:t>
            </w:r>
            <w:r>
              <w:rPr>
                <w:rFonts w:hint="eastAsia" w:ascii="宋体" w:hAnsi="宋体" w:eastAsia="宋体" w:cs="宋体"/>
                <w:color w:val="auto"/>
                <w:kern w:val="0"/>
                <w:sz w:val="24"/>
                <w:szCs w:val="24"/>
                <w:highlight w:val="none"/>
              </w:rPr>
              <w:t>《水质 粪大肠菌群的测定 滤膜法》</w:t>
            </w:r>
          </w:p>
          <w:p>
            <w:pPr>
              <w:widowControl/>
              <w:jc w:val="center"/>
              <w:textAlignment w:val="center"/>
              <w:rPr>
                <w:rStyle w:val="31"/>
                <w:rFonts w:ascii="宋体" w:hAnsi="宋体" w:eastAsia="宋体" w:cs="宋体"/>
                <w:color w:val="auto"/>
                <w:sz w:val="24"/>
                <w:szCs w:val="24"/>
                <w:highlight w:val="none"/>
              </w:rPr>
            </w:pPr>
            <w:r>
              <w:rPr>
                <w:rStyle w:val="34"/>
                <w:rFonts w:hint="eastAsia" w:ascii="宋体" w:hAnsi="宋体" w:eastAsia="宋体" w:cs="宋体"/>
                <w:color w:val="auto"/>
                <w:sz w:val="24"/>
                <w:szCs w:val="24"/>
                <w:highlight w:val="none"/>
              </w:rPr>
              <w:t>HJ 347.</w:t>
            </w:r>
            <w:r>
              <w:rPr>
                <w:rStyle w:val="34"/>
                <w:rFonts w:ascii="宋体" w:hAnsi="宋体" w:eastAsia="宋体" w:cs="宋体"/>
                <w:color w:val="auto"/>
                <w:sz w:val="24"/>
                <w:szCs w:val="24"/>
                <w:highlight w:val="none"/>
              </w:rPr>
              <w:t>1</w:t>
            </w:r>
            <w:r>
              <w:rPr>
                <w:rStyle w:val="34"/>
                <w:rFonts w:hint="eastAsia" w:ascii="宋体" w:hAnsi="宋体" w:eastAsia="宋体" w:cs="宋体"/>
                <w:color w:val="auto"/>
                <w:sz w:val="24"/>
                <w:szCs w:val="24"/>
                <w:highlight w:val="none"/>
              </w:rPr>
              <w:t>-2018</w:t>
            </w:r>
          </w:p>
        </w:tc>
        <w:tc>
          <w:tcPr>
            <w:tcW w:w="956" w:type="dxa"/>
            <w:tcBorders>
              <w:tl2br w:val="nil"/>
              <w:tr2bl w:val="nil"/>
            </w:tcBorders>
            <w:shd w:val="clear" w:color="auto" w:fill="auto"/>
            <w:vAlign w:val="center"/>
          </w:tcPr>
          <w:p>
            <w:pPr>
              <w:widowControl/>
              <w:jc w:val="center"/>
              <w:textAlignment w:val="center"/>
              <w:rPr>
                <w:rStyle w:val="31"/>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隔水式恒温培养箱</w:t>
            </w:r>
          </w:p>
        </w:tc>
        <w:tc>
          <w:tcPr>
            <w:tcW w:w="1367" w:type="dxa"/>
            <w:tcBorders>
              <w:tl2br w:val="nil"/>
              <w:tr2bl w:val="nil"/>
            </w:tcBorders>
            <w:shd w:val="clear" w:color="auto" w:fill="auto"/>
            <w:vAlign w:val="center"/>
          </w:tcPr>
          <w:p>
            <w:pPr>
              <w:widowControl/>
              <w:jc w:val="left"/>
              <w:rPr>
                <w:rStyle w:val="31"/>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自己化验室做就是及时分析</w:t>
            </w:r>
          </w:p>
        </w:tc>
        <w:tc>
          <w:tcPr>
            <w:tcW w:w="1293"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4201" w:hRule="atLeast"/>
        </w:trPr>
        <w:tc>
          <w:tcPr>
            <w:tcW w:w="506"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rPr>
            </w:pPr>
            <w:r>
              <w:rPr>
                <w:rFonts w:ascii="宋体" w:hAnsi="宋体" w:eastAsia="宋体" w:cs="宋体"/>
                <w:color w:val="auto"/>
                <w:kern w:val="0"/>
                <w:sz w:val="24"/>
                <w:szCs w:val="24"/>
              </w:rPr>
              <w:t>12</w:t>
            </w:r>
          </w:p>
        </w:tc>
        <w:tc>
          <w:tcPr>
            <w:tcW w:w="813"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废水</w:t>
            </w:r>
          </w:p>
        </w:tc>
        <w:tc>
          <w:tcPr>
            <w:tcW w:w="867"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DW001</w:t>
            </w:r>
          </w:p>
        </w:tc>
        <w:tc>
          <w:tcPr>
            <w:tcW w:w="1084"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污水排放口</w:t>
            </w:r>
          </w:p>
        </w:tc>
        <w:tc>
          <w:tcPr>
            <w:tcW w:w="957"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阴离子表面活性剂</w:t>
            </w:r>
          </w:p>
        </w:tc>
        <w:tc>
          <w:tcPr>
            <w:tcW w:w="613"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手工</w:t>
            </w:r>
          </w:p>
        </w:tc>
        <w:tc>
          <w:tcPr>
            <w:tcW w:w="1792" w:type="dxa"/>
            <w:tcBorders>
              <w:tl2br w:val="nil"/>
              <w:tr2bl w:val="nil"/>
            </w:tcBorders>
            <w:shd w:val="clear" w:color="auto" w:fill="auto"/>
            <w:vAlign w:val="center"/>
          </w:tcPr>
          <w:p>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《城镇污水处理厂污染物排放标准》（GB18918-2002）一级A标准排放</w:t>
            </w:r>
          </w:p>
        </w:tc>
        <w:tc>
          <w:tcPr>
            <w:tcW w:w="1063" w:type="dxa"/>
            <w:tcBorders>
              <w:tl2br w:val="nil"/>
              <w:tr2bl w:val="nil"/>
            </w:tcBorders>
            <w:shd w:val="clear" w:color="auto" w:fill="auto"/>
            <w:vAlign w:val="center"/>
          </w:tcPr>
          <w:p>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0.5</w:t>
            </w:r>
            <w:r>
              <w:rPr>
                <w:rFonts w:ascii="宋体" w:hAnsi="宋体" w:eastAsia="宋体" w:cs="宋体"/>
                <w:color w:val="auto"/>
                <w:sz w:val="24"/>
                <w:szCs w:val="24"/>
                <w:highlight w:val="none"/>
              </w:rPr>
              <w:t>mg/ L</w:t>
            </w:r>
          </w:p>
        </w:tc>
        <w:tc>
          <w:tcPr>
            <w:tcW w:w="1130" w:type="dxa"/>
            <w:tcBorders>
              <w:tl2br w:val="nil"/>
              <w:tr2bl w:val="nil"/>
            </w:tcBorders>
            <w:shd w:val="clear" w:color="auto" w:fill="auto"/>
            <w:vAlign w:val="center"/>
          </w:tcPr>
          <w:p>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0.05</w:t>
            </w:r>
            <w:r>
              <w:rPr>
                <w:rFonts w:ascii="宋体" w:hAnsi="宋体" w:eastAsia="宋体" w:cs="宋体"/>
                <w:color w:val="auto"/>
                <w:sz w:val="24"/>
                <w:szCs w:val="24"/>
                <w:highlight w:val="none"/>
              </w:rPr>
              <w:t>mg/ L</w:t>
            </w:r>
          </w:p>
        </w:tc>
        <w:tc>
          <w:tcPr>
            <w:tcW w:w="538" w:type="dxa"/>
            <w:tcBorders>
              <w:tl2br w:val="nil"/>
              <w:tr2bl w:val="nil"/>
            </w:tcBorders>
            <w:shd w:val="clear" w:color="auto" w:fill="auto"/>
            <w:vAlign w:val="center"/>
          </w:tcPr>
          <w:p>
            <w:pPr>
              <w:jc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c>
          <w:tcPr>
            <w:tcW w:w="1068" w:type="dxa"/>
            <w:tcBorders>
              <w:tl2br w:val="nil"/>
              <w:tr2bl w:val="nil"/>
            </w:tcBorders>
            <w:shd w:val="clear" w:color="auto" w:fill="auto"/>
            <w:vAlign w:val="center"/>
          </w:tcPr>
          <w:p>
            <w:pPr>
              <w:jc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c>
          <w:tcPr>
            <w:tcW w:w="954" w:type="dxa"/>
            <w:tcBorders>
              <w:tl2br w:val="nil"/>
              <w:tr2bl w:val="nil"/>
            </w:tcBorders>
            <w:shd w:val="clear" w:color="auto" w:fill="auto"/>
            <w:vAlign w:val="center"/>
          </w:tcPr>
          <w:p>
            <w:pPr>
              <w:jc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c>
          <w:tcPr>
            <w:tcW w:w="1113" w:type="dxa"/>
            <w:tcBorders>
              <w:tl2br w:val="nil"/>
              <w:tr2bl w:val="nil"/>
            </w:tcBorders>
            <w:shd w:val="clear" w:color="auto" w:fill="auto"/>
            <w:vAlign w:val="center"/>
          </w:tcPr>
          <w:p>
            <w:pPr>
              <w:jc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c>
          <w:tcPr>
            <w:tcW w:w="1399"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xml:space="preserve">瞬时采样 </w:t>
            </w:r>
          </w:p>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3个瞬时样</w:t>
            </w:r>
          </w:p>
        </w:tc>
        <w:tc>
          <w:tcPr>
            <w:tcW w:w="711"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1次/月</w:t>
            </w:r>
          </w:p>
        </w:tc>
        <w:tc>
          <w:tcPr>
            <w:tcW w:w="1865"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1、《亚甲蓝分光光度法》</w:t>
            </w:r>
          </w:p>
          <w:p>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GB 7494-87</w:t>
            </w:r>
          </w:p>
          <w:p>
            <w:pPr>
              <w:widowControl/>
              <w:numPr>
                <w:ilvl w:val="0"/>
                <w:numId w:val="2"/>
              </w:numPr>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xml:space="preserve">《水质 总氮、挥发酚、硫化物、阴离子表面活性剂和六价铬的测定 连续流动分析-分光光度法》 </w:t>
            </w:r>
          </w:p>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SL/T 788-2019</w:t>
            </w:r>
          </w:p>
        </w:tc>
        <w:tc>
          <w:tcPr>
            <w:tcW w:w="956"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1、紫外分光光度计</w:t>
            </w:r>
          </w:p>
          <w:p>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2、连续流动分析仪</w:t>
            </w:r>
          </w:p>
        </w:tc>
        <w:tc>
          <w:tcPr>
            <w:tcW w:w="1367" w:type="dxa"/>
            <w:tcBorders>
              <w:tl2br w:val="nil"/>
              <w:tr2bl w:val="nil"/>
            </w:tcBorders>
            <w:shd w:val="clear" w:color="auto" w:fill="auto"/>
            <w:vAlign w:val="center"/>
          </w:tcPr>
          <w:p>
            <w:pPr>
              <w:widowControl/>
              <w:jc w:val="center"/>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避光，0-4℃冷藏</w:t>
            </w:r>
          </w:p>
          <w:p>
            <w:pPr>
              <w:widowControl/>
              <w:jc w:val="center"/>
              <w:textAlignment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注：如果只是冷藏不加保护剂，就要在采样后的24小时内检测，加了保护剂的话就可以在4天内检测。</w:t>
            </w:r>
          </w:p>
        </w:tc>
        <w:tc>
          <w:tcPr>
            <w:tcW w:w="1293"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委托检测</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1902" w:hRule="atLeast"/>
        </w:trPr>
        <w:tc>
          <w:tcPr>
            <w:tcW w:w="506"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rPr>
            </w:pPr>
            <w:r>
              <w:rPr>
                <w:rFonts w:hint="eastAsia" w:ascii="宋体" w:hAnsi="宋体" w:eastAsia="宋体" w:cs="宋体"/>
                <w:color w:val="auto"/>
                <w:kern w:val="0"/>
                <w:sz w:val="24"/>
                <w:szCs w:val="24"/>
              </w:rPr>
              <w:t>1</w:t>
            </w:r>
            <w:r>
              <w:rPr>
                <w:rFonts w:ascii="宋体" w:hAnsi="宋体" w:eastAsia="宋体" w:cs="宋体"/>
                <w:color w:val="auto"/>
                <w:kern w:val="0"/>
                <w:sz w:val="24"/>
                <w:szCs w:val="24"/>
              </w:rPr>
              <w:t>3</w:t>
            </w:r>
          </w:p>
        </w:tc>
        <w:tc>
          <w:tcPr>
            <w:tcW w:w="813"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废水</w:t>
            </w:r>
          </w:p>
        </w:tc>
        <w:tc>
          <w:tcPr>
            <w:tcW w:w="867"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DW001</w:t>
            </w:r>
          </w:p>
        </w:tc>
        <w:tc>
          <w:tcPr>
            <w:tcW w:w="1084"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污水排放口</w:t>
            </w:r>
          </w:p>
        </w:tc>
        <w:tc>
          <w:tcPr>
            <w:tcW w:w="957"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石油类</w:t>
            </w:r>
          </w:p>
        </w:tc>
        <w:tc>
          <w:tcPr>
            <w:tcW w:w="613"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手工</w:t>
            </w:r>
          </w:p>
        </w:tc>
        <w:tc>
          <w:tcPr>
            <w:tcW w:w="1792" w:type="dxa"/>
            <w:tcBorders>
              <w:tl2br w:val="nil"/>
              <w:tr2bl w:val="nil"/>
            </w:tcBorders>
            <w:shd w:val="clear" w:color="auto" w:fill="auto"/>
            <w:vAlign w:val="center"/>
          </w:tcPr>
          <w:p>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《城镇污水处理厂污染物排放标准》（GB18918-2002）一级A标准排放</w:t>
            </w:r>
          </w:p>
        </w:tc>
        <w:tc>
          <w:tcPr>
            <w:tcW w:w="1063" w:type="dxa"/>
            <w:tcBorders>
              <w:tl2br w:val="nil"/>
              <w:tr2bl w:val="nil"/>
            </w:tcBorders>
            <w:shd w:val="clear" w:color="auto" w:fill="auto"/>
            <w:vAlign w:val="center"/>
          </w:tcPr>
          <w:p>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1mg/L</w:t>
            </w:r>
          </w:p>
        </w:tc>
        <w:tc>
          <w:tcPr>
            <w:tcW w:w="1130" w:type="dxa"/>
            <w:tcBorders>
              <w:tl2br w:val="nil"/>
              <w:tr2bl w:val="nil"/>
            </w:tcBorders>
            <w:shd w:val="clear" w:color="auto" w:fill="auto"/>
            <w:vAlign w:val="center"/>
          </w:tcPr>
          <w:p>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0.06mg/L</w:t>
            </w:r>
          </w:p>
        </w:tc>
        <w:tc>
          <w:tcPr>
            <w:tcW w:w="538" w:type="dxa"/>
            <w:tcBorders>
              <w:tl2br w:val="nil"/>
              <w:tr2bl w:val="nil"/>
            </w:tcBorders>
            <w:shd w:val="clear" w:color="auto" w:fill="auto"/>
            <w:vAlign w:val="center"/>
          </w:tcPr>
          <w:p>
            <w:pPr>
              <w:jc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c>
          <w:tcPr>
            <w:tcW w:w="1068" w:type="dxa"/>
            <w:tcBorders>
              <w:tl2br w:val="nil"/>
              <w:tr2bl w:val="nil"/>
            </w:tcBorders>
            <w:shd w:val="clear" w:color="auto" w:fill="auto"/>
            <w:vAlign w:val="center"/>
          </w:tcPr>
          <w:p>
            <w:pPr>
              <w:jc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c>
          <w:tcPr>
            <w:tcW w:w="954" w:type="dxa"/>
            <w:tcBorders>
              <w:tl2br w:val="nil"/>
              <w:tr2bl w:val="nil"/>
            </w:tcBorders>
            <w:shd w:val="clear" w:color="auto" w:fill="auto"/>
            <w:vAlign w:val="center"/>
          </w:tcPr>
          <w:p>
            <w:pPr>
              <w:jc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c>
          <w:tcPr>
            <w:tcW w:w="1113" w:type="dxa"/>
            <w:tcBorders>
              <w:tl2br w:val="nil"/>
              <w:tr2bl w:val="nil"/>
            </w:tcBorders>
            <w:shd w:val="clear" w:color="auto" w:fill="auto"/>
            <w:vAlign w:val="center"/>
          </w:tcPr>
          <w:p>
            <w:pPr>
              <w:jc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c>
          <w:tcPr>
            <w:tcW w:w="1399"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xml:space="preserve">瞬时采样 </w:t>
            </w:r>
          </w:p>
          <w:p>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3个瞬时样</w:t>
            </w:r>
          </w:p>
        </w:tc>
        <w:tc>
          <w:tcPr>
            <w:tcW w:w="711"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1次/月</w:t>
            </w:r>
          </w:p>
        </w:tc>
        <w:tc>
          <w:tcPr>
            <w:tcW w:w="1865"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《水质 石油类和动植物油类的测定 红外分光光度法》</w:t>
            </w:r>
          </w:p>
          <w:p>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HJ 637-2018</w:t>
            </w:r>
          </w:p>
        </w:tc>
        <w:tc>
          <w:tcPr>
            <w:tcW w:w="956"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全自动红外测油仪</w:t>
            </w:r>
          </w:p>
        </w:tc>
        <w:tc>
          <w:tcPr>
            <w:tcW w:w="1367" w:type="dxa"/>
            <w:tcBorders>
              <w:tl2br w:val="nil"/>
              <w:tr2bl w:val="nil"/>
            </w:tcBorders>
            <w:shd w:val="clear" w:color="auto" w:fill="auto"/>
            <w:vAlign w:val="center"/>
          </w:tcPr>
          <w:p>
            <w:pPr>
              <w:widowControl/>
              <w:jc w:val="left"/>
              <w:rPr>
                <w:rStyle w:val="31"/>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HCl，pH≤2</w:t>
            </w:r>
          </w:p>
        </w:tc>
        <w:tc>
          <w:tcPr>
            <w:tcW w:w="1293"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委托检测</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1902" w:hRule="atLeast"/>
        </w:trPr>
        <w:tc>
          <w:tcPr>
            <w:tcW w:w="506"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rPr>
            </w:pPr>
            <w:r>
              <w:rPr>
                <w:rFonts w:hint="eastAsia" w:ascii="宋体" w:hAnsi="宋体" w:eastAsia="宋体" w:cs="宋体"/>
                <w:color w:val="auto"/>
                <w:kern w:val="0"/>
                <w:sz w:val="24"/>
                <w:szCs w:val="24"/>
              </w:rPr>
              <w:t>1</w:t>
            </w:r>
            <w:r>
              <w:rPr>
                <w:rFonts w:ascii="宋体" w:hAnsi="宋体" w:eastAsia="宋体" w:cs="宋体"/>
                <w:color w:val="auto"/>
                <w:kern w:val="0"/>
                <w:sz w:val="24"/>
                <w:szCs w:val="24"/>
              </w:rPr>
              <w:t>4</w:t>
            </w:r>
          </w:p>
        </w:tc>
        <w:tc>
          <w:tcPr>
            <w:tcW w:w="813"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废水</w:t>
            </w:r>
          </w:p>
        </w:tc>
        <w:tc>
          <w:tcPr>
            <w:tcW w:w="867"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DW001</w:t>
            </w:r>
          </w:p>
        </w:tc>
        <w:tc>
          <w:tcPr>
            <w:tcW w:w="1084"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污水排放口</w:t>
            </w:r>
          </w:p>
        </w:tc>
        <w:tc>
          <w:tcPr>
            <w:tcW w:w="957"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动植物油</w:t>
            </w:r>
          </w:p>
        </w:tc>
        <w:tc>
          <w:tcPr>
            <w:tcW w:w="613"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手工</w:t>
            </w:r>
          </w:p>
        </w:tc>
        <w:tc>
          <w:tcPr>
            <w:tcW w:w="1792" w:type="dxa"/>
            <w:tcBorders>
              <w:tl2br w:val="nil"/>
              <w:tr2bl w:val="nil"/>
            </w:tcBorders>
            <w:shd w:val="clear" w:color="auto" w:fill="auto"/>
            <w:vAlign w:val="center"/>
          </w:tcPr>
          <w:p>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《城镇污水处理厂污染物排放标准》（GB18918-2002）一级A标准排放</w:t>
            </w:r>
          </w:p>
        </w:tc>
        <w:tc>
          <w:tcPr>
            <w:tcW w:w="1063" w:type="dxa"/>
            <w:tcBorders>
              <w:tl2br w:val="nil"/>
              <w:tr2bl w:val="nil"/>
            </w:tcBorders>
            <w:shd w:val="clear" w:color="auto" w:fill="auto"/>
            <w:vAlign w:val="center"/>
          </w:tcPr>
          <w:p>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1mg/L</w:t>
            </w:r>
          </w:p>
        </w:tc>
        <w:tc>
          <w:tcPr>
            <w:tcW w:w="1130" w:type="dxa"/>
            <w:tcBorders>
              <w:tl2br w:val="nil"/>
              <w:tr2bl w:val="nil"/>
            </w:tcBorders>
            <w:shd w:val="clear" w:color="auto" w:fill="auto"/>
            <w:vAlign w:val="center"/>
          </w:tcPr>
          <w:p>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0.06mg/L</w:t>
            </w:r>
          </w:p>
        </w:tc>
        <w:tc>
          <w:tcPr>
            <w:tcW w:w="538" w:type="dxa"/>
            <w:tcBorders>
              <w:tl2br w:val="nil"/>
              <w:tr2bl w:val="nil"/>
            </w:tcBorders>
            <w:shd w:val="clear" w:color="auto" w:fill="auto"/>
            <w:vAlign w:val="center"/>
          </w:tcPr>
          <w:p>
            <w:pPr>
              <w:jc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c>
          <w:tcPr>
            <w:tcW w:w="1068" w:type="dxa"/>
            <w:tcBorders>
              <w:tl2br w:val="nil"/>
              <w:tr2bl w:val="nil"/>
            </w:tcBorders>
            <w:shd w:val="clear" w:color="auto" w:fill="auto"/>
            <w:vAlign w:val="center"/>
          </w:tcPr>
          <w:p>
            <w:pPr>
              <w:jc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c>
          <w:tcPr>
            <w:tcW w:w="954" w:type="dxa"/>
            <w:tcBorders>
              <w:tl2br w:val="nil"/>
              <w:tr2bl w:val="nil"/>
            </w:tcBorders>
            <w:shd w:val="clear" w:color="auto" w:fill="auto"/>
            <w:vAlign w:val="center"/>
          </w:tcPr>
          <w:p>
            <w:pPr>
              <w:jc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c>
          <w:tcPr>
            <w:tcW w:w="1113" w:type="dxa"/>
            <w:tcBorders>
              <w:tl2br w:val="nil"/>
              <w:tr2bl w:val="nil"/>
            </w:tcBorders>
            <w:shd w:val="clear" w:color="auto" w:fill="auto"/>
            <w:vAlign w:val="center"/>
          </w:tcPr>
          <w:p>
            <w:pPr>
              <w:jc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c>
          <w:tcPr>
            <w:tcW w:w="1399"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xml:space="preserve">瞬时采样 </w:t>
            </w:r>
          </w:p>
          <w:p>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3个瞬时样</w:t>
            </w:r>
          </w:p>
        </w:tc>
        <w:tc>
          <w:tcPr>
            <w:tcW w:w="711"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1次/月</w:t>
            </w:r>
          </w:p>
        </w:tc>
        <w:tc>
          <w:tcPr>
            <w:tcW w:w="1865"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《水质 石油类和动植物油类的测定 红外分光光度法》</w:t>
            </w:r>
          </w:p>
          <w:p>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HJ 637-2018</w:t>
            </w:r>
          </w:p>
        </w:tc>
        <w:tc>
          <w:tcPr>
            <w:tcW w:w="956"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全自动红外测油仪</w:t>
            </w:r>
          </w:p>
        </w:tc>
        <w:tc>
          <w:tcPr>
            <w:tcW w:w="1367" w:type="dxa"/>
            <w:tcBorders>
              <w:tl2br w:val="nil"/>
              <w:tr2bl w:val="nil"/>
            </w:tcBorders>
            <w:shd w:val="clear" w:color="auto" w:fill="auto"/>
            <w:vAlign w:val="center"/>
          </w:tcPr>
          <w:p>
            <w:pPr>
              <w:widowControl/>
              <w:jc w:val="left"/>
              <w:rPr>
                <w:rStyle w:val="31"/>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HCl，pH≤2</w:t>
            </w:r>
          </w:p>
        </w:tc>
        <w:tc>
          <w:tcPr>
            <w:tcW w:w="1293"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委托检测</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1902" w:hRule="atLeast"/>
        </w:trPr>
        <w:tc>
          <w:tcPr>
            <w:tcW w:w="506"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rPr>
            </w:pPr>
            <w:r>
              <w:rPr>
                <w:rFonts w:hint="eastAsia" w:ascii="宋体" w:hAnsi="宋体" w:eastAsia="宋体" w:cs="宋体"/>
                <w:color w:val="auto"/>
                <w:kern w:val="0"/>
                <w:sz w:val="24"/>
                <w:szCs w:val="24"/>
              </w:rPr>
              <w:t>1</w:t>
            </w:r>
            <w:r>
              <w:rPr>
                <w:rFonts w:ascii="宋体" w:hAnsi="宋体" w:eastAsia="宋体" w:cs="宋体"/>
                <w:color w:val="auto"/>
                <w:kern w:val="0"/>
                <w:sz w:val="24"/>
                <w:szCs w:val="24"/>
              </w:rPr>
              <w:t>5</w:t>
            </w:r>
          </w:p>
        </w:tc>
        <w:tc>
          <w:tcPr>
            <w:tcW w:w="813"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废水</w:t>
            </w:r>
          </w:p>
        </w:tc>
        <w:tc>
          <w:tcPr>
            <w:tcW w:w="867"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DW001</w:t>
            </w:r>
          </w:p>
        </w:tc>
        <w:tc>
          <w:tcPr>
            <w:tcW w:w="1084"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污水排放口</w:t>
            </w:r>
          </w:p>
        </w:tc>
        <w:tc>
          <w:tcPr>
            <w:tcW w:w="957"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六价铬</w:t>
            </w:r>
          </w:p>
        </w:tc>
        <w:tc>
          <w:tcPr>
            <w:tcW w:w="613"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手工</w:t>
            </w:r>
          </w:p>
        </w:tc>
        <w:tc>
          <w:tcPr>
            <w:tcW w:w="1792" w:type="dxa"/>
            <w:tcBorders>
              <w:tl2br w:val="nil"/>
              <w:tr2bl w:val="nil"/>
            </w:tcBorders>
            <w:shd w:val="clear" w:color="auto" w:fill="auto"/>
            <w:vAlign w:val="center"/>
          </w:tcPr>
          <w:p>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《城镇污水处理厂污染物排放标准》（GB18918-2002）一级A标准排放</w:t>
            </w:r>
          </w:p>
        </w:tc>
        <w:tc>
          <w:tcPr>
            <w:tcW w:w="1063" w:type="dxa"/>
            <w:tcBorders>
              <w:tl2br w:val="nil"/>
              <w:tr2bl w:val="nil"/>
            </w:tcBorders>
            <w:shd w:val="clear" w:color="auto" w:fill="auto"/>
            <w:vAlign w:val="center"/>
          </w:tcPr>
          <w:p>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0.05mg/L</w:t>
            </w:r>
          </w:p>
        </w:tc>
        <w:tc>
          <w:tcPr>
            <w:tcW w:w="1130" w:type="dxa"/>
            <w:tcBorders>
              <w:tl2br w:val="nil"/>
              <w:tr2bl w:val="nil"/>
            </w:tcBorders>
            <w:shd w:val="clear" w:color="auto" w:fill="auto"/>
            <w:vAlign w:val="center"/>
          </w:tcPr>
          <w:p>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0.001mg/L</w:t>
            </w:r>
          </w:p>
        </w:tc>
        <w:tc>
          <w:tcPr>
            <w:tcW w:w="538" w:type="dxa"/>
            <w:tcBorders>
              <w:tl2br w:val="nil"/>
              <w:tr2bl w:val="nil"/>
            </w:tcBorders>
            <w:shd w:val="clear" w:color="auto" w:fill="auto"/>
            <w:vAlign w:val="center"/>
          </w:tcPr>
          <w:p>
            <w:pPr>
              <w:jc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c>
          <w:tcPr>
            <w:tcW w:w="1068" w:type="dxa"/>
            <w:tcBorders>
              <w:tl2br w:val="nil"/>
              <w:tr2bl w:val="nil"/>
            </w:tcBorders>
            <w:shd w:val="clear" w:color="auto" w:fill="auto"/>
            <w:vAlign w:val="center"/>
          </w:tcPr>
          <w:p>
            <w:pPr>
              <w:jc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c>
          <w:tcPr>
            <w:tcW w:w="954" w:type="dxa"/>
            <w:tcBorders>
              <w:tl2br w:val="nil"/>
              <w:tr2bl w:val="nil"/>
            </w:tcBorders>
            <w:shd w:val="clear" w:color="auto" w:fill="auto"/>
            <w:vAlign w:val="center"/>
          </w:tcPr>
          <w:p>
            <w:pPr>
              <w:jc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c>
          <w:tcPr>
            <w:tcW w:w="1113" w:type="dxa"/>
            <w:tcBorders>
              <w:tl2br w:val="nil"/>
              <w:tr2bl w:val="nil"/>
            </w:tcBorders>
            <w:shd w:val="clear" w:color="auto" w:fill="auto"/>
            <w:vAlign w:val="center"/>
          </w:tcPr>
          <w:p>
            <w:pPr>
              <w:jc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c>
          <w:tcPr>
            <w:tcW w:w="1399"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xml:space="preserve">瞬时采样 </w:t>
            </w:r>
          </w:p>
          <w:p>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3个瞬时样</w:t>
            </w:r>
          </w:p>
        </w:tc>
        <w:tc>
          <w:tcPr>
            <w:tcW w:w="711"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1次/</w:t>
            </w:r>
            <w:r>
              <w:rPr>
                <w:rStyle w:val="33"/>
                <w:rFonts w:hint="default"/>
                <w:color w:val="auto"/>
                <w:sz w:val="24"/>
                <w:szCs w:val="24"/>
                <w:highlight w:val="none"/>
              </w:rPr>
              <w:t>季</w:t>
            </w:r>
          </w:p>
        </w:tc>
        <w:tc>
          <w:tcPr>
            <w:tcW w:w="1865"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《水质 六价铬的测定 二苯碳酰二肼分光光度法》</w:t>
            </w:r>
          </w:p>
          <w:p>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xml:space="preserve"> GB 7467-87</w:t>
            </w:r>
          </w:p>
        </w:tc>
        <w:tc>
          <w:tcPr>
            <w:tcW w:w="956"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紫外分光光度计</w:t>
            </w:r>
          </w:p>
        </w:tc>
        <w:tc>
          <w:tcPr>
            <w:tcW w:w="1367" w:type="dxa"/>
            <w:tcBorders>
              <w:tl2br w:val="nil"/>
              <w:tr2bl w:val="nil"/>
            </w:tcBorders>
            <w:shd w:val="clear" w:color="auto" w:fill="auto"/>
            <w:vAlign w:val="center"/>
          </w:tcPr>
          <w:p>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NaOH，pH 8～9</w:t>
            </w:r>
          </w:p>
        </w:tc>
        <w:tc>
          <w:tcPr>
            <w:tcW w:w="1293"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委托检测</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1902" w:hRule="atLeast"/>
        </w:trPr>
        <w:tc>
          <w:tcPr>
            <w:tcW w:w="506"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rPr>
            </w:pPr>
            <w:r>
              <w:rPr>
                <w:rFonts w:ascii="宋体" w:hAnsi="宋体" w:eastAsia="宋体" w:cs="宋体"/>
                <w:color w:val="auto"/>
                <w:kern w:val="0"/>
                <w:sz w:val="24"/>
                <w:szCs w:val="24"/>
              </w:rPr>
              <w:t>16</w:t>
            </w:r>
          </w:p>
        </w:tc>
        <w:tc>
          <w:tcPr>
            <w:tcW w:w="813"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废水</w:t>
            </w:r>
          </w:p>
        </w:tc>
        <w:tc>
          <w:tcPr>
            <w:tcW w:w="867"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DW001</w:t>
            </w:r>
          </w:p>
        </w:tc>
        <w:tc>
          <w:tcPr>
            <w:tcW w:w="1084"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污水排放口</w:t>
            </w:r>
          </w:p>
        </w:tc>
        <w:tc>
          <w:tcPr>
            <w:tcW w:w="957"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总汞</w:t>
            </w:r>
          </w:p>
        </w:tc>
        <w:tc>
          <w:tcPr>
            <w:tcW w:w="613"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手工</w:t>
            </w:r>
          </w:p>
        </w:tc>
        <w:tc>
          <w:tcPr>
            <w:tcW w:w="1792" w:type="dxa"/>
            <w:tcBorders>
              <w:tl2br w:val="nil"/>
              <w:tr2bl w:val="nil"/>
            </w:tcBorders>
            <w:shd w:val="clear" w:color="auto" w:fill="auto"/>
            <w:vAlign w:val="center"/>
          </w:tcPr>
          <w:p>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《城镇污水处理厂污染物排放标准》（GB18918-2002）一级A标准排放</w:t>
            </w:r>
          </w:p>
        </w:tc>
        <w:tc>
          <w:tcPr>
            <w:tcW w:w="1063" w:type="dxa"/>
            <w:tcBorders>
              <w:tl2br w:val="nil"/>
              <w:tr2bl w:val="nil"/>
            </w:tcBorders>
            <w:shd w:val="clear" w:color="auto" w:fill="auto"/>
            <w:vAlign w:val="center"/>
          </w:tcPr>
          <w:p>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0.001mg/L</w:t>
            </w:r>
          </w:p>
        </w:tc>
        <w:tc>
          <w:tcPr>
            <w:tcW w:w="1130" w:type="dxa"/>
            <w:tcBorders>
              <w:tl2br w:val="nil"/>
              <w:tr2bl w:val="nil"/>
            </w:tcBorders>
            <w:shd w:val="clear" w:color="auto" w:fill="auto"/>
            <w:vAlign w:val="center"/>
          </w:tcPr>
          <w:p>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0.04</w:t>
            </w:r>
            <w:r>
              <w:rPr>
                <w:rFonts w:hint="eastAsia"/>
                <w:color w:val="auto"/>
                <w:highlight w:val="none"/>
              </w:rPr>
              <w:t>μg/L</w:t>
            </w:r>
          </w:p>
        </w:tc>
        <w:tc>
          <w:tcPr>
            <w:tcW w:w="538" w:type="dxa"/>
            <w:tcBorders>
              <w:tl2br w:val="nil"/>
              <w:tr2bl w:val="nil"/>
            </w:tcBorders>
            <w:shd w:val="clear" w:color="auto" w:fill="auto"/>
            <w:vAlign w:val="center"/>
          </w:tcPr>
          <w:p>
            <w:pPr>
              <w:jc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c>
          <w:tcPr>
            <w:tcW w:w="1068" w:type="dxa"/>
            <w:tcBorders>
              <w:tl2br w:val="nil"/>
              <w:tr2bl w:val="nil"/>
            </w:tcBorders>
            <w:shd w:val="clear" w:color="auto" w:fill="auto"/>
            <w:vAlign w:val="center"/>
          </w:tcPr>
          <w:p>
            <w:pPr>
              <w:jc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c>
          <w:tcPr>
            <w:tcW w:w="954" w:type="dxa"/>
            <w:tcBorders>
              <w:tl2br w:val="nil"/>
              <w:tr2bl w:val="nil"/>
            </w:tcBorders>
            <w:shd w:val="clear" w:color="auto" w:fill="auto"/>
            <w:vAlign w:val="center"/>
          </w:tcPr>
          <w:p>
            <w:pPr>
              <w:jc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c>
          <w:tcPr>
            <w:tcW w:w="1113" w:type="dxa"/>
            <w:tcBorders>
              <w:tl2br w:val="nil"/>
              <w:tr2bl w:val="nil"/>
            </w:tcBorders>
            <w:shd w:val="clear" w:color="auto" w:fill="auto"/>
            <w:vAlign w:val="center"/>
          </w:tcPr>
          <w:p>
            <w:pPr>
              <w:jc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c>
          <w:tcPr>
            <w:tcW w:w="1399"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xml:space="preserve">瞬时采样 </w:t>
            </w:r>
          </w:p>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3个瞬时样</w:t>
            </w:r>
          </w:p>
        </w:tc>
        <w:tc>
          <w:tcPr>
            <w:tcW w:w="711"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1次/</w:t>
            </w:r>
            <w:r>
              <w:rPr>
                <w:rStyle w:val="33"/>
                <w:rFonts w:hint="default"/>
                <w:color w:val="auto"/>
                <w:sz w:val="24"/>
                <w:szCs w:val="24"/>
                <w:highlight w:val="none"/>
              </w:rPr>
              <w:t>季</w:t>
            </w:r>
          </w:p>
        </w:tc>
        <w:tc>
          <w:tcPr>
            <w:tcW w:w="1865"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《水质 汞、砷、硒、铋和锑的测定 原子荧光法》</w:t>
            </w:r>
          </w:p>
          <w:p>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HJ 694-2014</w:t>
            </w:r>
          </w:p>
        </w:tc>
        <w:tc>
          <w:tcPr>
            <w:tcW w:w="956"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原子荧光光谱仪</w:t>
            </w:r>
          </w:p>
        </w:tc>
        <w:tc>
          <w:tcPr>
            <w:tcW w:w="1367"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HCl 1%，如水样为中性，1L水样中加浓HCl10ml</w:t>
            </w:r>
          </w:p>
        </w:tc>
        <w:tc>
          <w:tcPr>
            <w:tcW w:w="1293"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委托检测</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3456" w:hRule="atLeast"/>
        </w:trPr>
        <w:tc>
          <w:tcPr>
            <w:tcW w:w="506"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rPr>
            </w:pPr>
            <w:r>
              <w:rPr>
                <w:rFonts w:hint="eastAsia" w:ascii="宋体" w:hAnsi="宋体" w:eastAsia="宋体" w:cs="宋体"/>
                <w:color w:val="auto"/>
                <w:kern w:val="0"/>
                <w:sz w:val="24"/>
                <w:szCs w:val="24"/>
              </w:rPr>
              <w:t>1</w:t>
            </w:r>
            <w:r>
              <w:rPr>
                <w:rFonts w:ascii="宋体" w:hAnsi="宋体" w:eastAsia="宋体" w:cs="宋体"/>
                <w:color w:val="auto"/>
                <w:kern w:val="0"/>
                <w:sz w:val="24"/>
                <w:szCs w:val="24"/>
              </w:rPr>
              <w:t>7</w:t>
            </w:r>
          </w:p>
        </w:tc>
        <w:tc>
          <w:tcPr>
            <w:tcW w:w="813"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废水</w:t>
            </w:r>
          </w:p>
        </w:tc>
        <w:tc>
          <w:tcPr>
            <w:tcW w:w="867"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DW001</w:t>
            </w:r>
          </w:p>
        </w:tc>
        <w:tc>
          <w:tcPr>
            <w:tcW w:w="1084"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污水排放口</w:t>
            </w:r>
          </w:p>
        </w:tc>
        <w:tc>
          <w:tcPr>
            <w:tcW w:w="957"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总砷</w:t>
            </w:r>
          </w:p>
        </w:tc>
        <w:tc>
          <w:tcPr>
            <w:tcW w:w="613"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手工</w:t>
            </w:r>
          </w:p>
        </w:tc>
        <w:tc>
          <w:tcPr>
            <w:tcW w:w="1792" w:type="dxa"/>
            <w:tcBorders>
              <w:tl2br w:val="nil"/>
              <w:tr2bl w:val="nil"/>
            </w:tcBorders>
            <w:shd w:val="clear" w:color="auto" w:fill="auto"/>
            <w:vAlign w:val="center"/>
          </w:tcPr>
          <w:p>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《城镇污水处理厂污染物排放标准》（GB18918-2002）一级A标准排放</w:t>
            </w:r>
          </w:p>
        </w:tc>
        <w:tc>
          <w:tcPr>
            <w:tcW w:w="1063" w:type="dxa"/>
            <w:tcBorders>
              <w:tl2br w:val="nil"/>
              <w:tr2bl w:val="nil"/>
            </w:tcBorders>
            <w:shd w:val="clear" w:color="auto" w:fill="auto"/>
            <w:vAlign w:val="center"/>
          </w:tcPr>
          <w:p>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上限：0.1mg/L</w:t>
            </w:r>
          </w:p>
        </w:tc>
        <w:tc>
          <w:tcPr>
            <w:tcW w:w="1130" w:type="dxa"/>
            <w:tcBorders>
              <w:tl2br w:val="nil"/>
              <w:tr2bl w:val="nil"/>
            </w:tcBorders>
            <w:shd w:val="clear" w:color="auto" w:fill="auto"/>
            <w:vAlign w:val="center"/>
          </w:tcPr>
          <w:p>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0.3</w:t>
            </w:r>
            <w:r>
              <w:rPr>
                <w:rFonts w:hint="eastAsia"/>
                <w:color w:val="auto"/>
                <w:highlight w:val="none"/>
              </w:rPr>
              <w:t>μg/L</w:t>
            </w:r>
          </w:p>
        </w:tc>
        <w:tc>
          <w:tcPr>
            <w:tcW w:w="538" w:type="dxa"/>
            <w:tcBorders>
              <w:tl2br w:val="nil"/>
              <w:tr2bl w:val="nil"/>
            </w:tcBorders>
            <w:shd w:val="clear" w:color="auto" w:fill="auto"/>
            <w:vAlign w:val="center"/>
          </w:tcPr>
          <w:p>
            <w:pPr>
              <w:jc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c>
          <w:tcPr>
            <w:tcW w:w="1068" w:type="dxa"/>
            <w:tcBorders>
              <w:tl2br w:val="nil"/>
              <w:tr2bl w:val="nil"/>
            </w:tcBorders>
            <w:shd w:val="clear" w:color="auto" w:fill="auto"/>
            <w:vAlign w:val="center"/>
          </w:tcPr>
          <w:p>
            <w:pPr>
              <w:jc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c>
          <w:tcPr>
            <w:tcW w:w="954" w:type="dxa"/>
            <w:tcBorders>
              <w:tl2br w:val="nil"/>
              <w:tr2bl w:val="nil"/>
            </w:tcBorders>
            <w:shd w:val="clear" w:color="auto" w:fill="auto"/>
            <w:vAlign w:val="center"/>
          </w:tcPr>
          <w:p>
            <w:pPr>
              <w:jc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c>
          <w:tcPr>
            <w:tcW w:w="1113" w:type="dxa"/>
            <w:tcBorders>
              <w:tl2br w:val="nil"/>
              <w:tr2bl w:val="nil"/>
            </w:tcBorders>
            <w:shd w:val="clear" w:color="auto" w:fill="auto"/>
            <w:vAlign w:val="center"/>
          </w:tcPr>
          <w:p>
            <w:pPr>
              <w:jc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c>
          <w:tcPr>
            <w:tcW w:w="1399"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xml:space="preserve">瞬时采样 </w:t>
            </w:r>
          </w:p>
          <w:p>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3个瞬时样</w:t>
            </w:r>
          </w:p>
        </w:tc>
        <w:tc>
          <w:tcPr>
            <w:tcW w:w="711"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1次/</w:t>
            </w:r>
            <w:r>
              <w:rPr>
                <w:rStyle w:val="33"/>
                <w:rFonts w:hint="default"/>
                <w:color w:val="auto"/>
                <w:sz w:val="24"/>
                <w:szCs w:val="24"/>
                <w:highlight w:val="none"/>
              </w:rPr>
              <w:t>季</w:t>
            </w:r>
          </w:p>
        </w:tc>
        <w:tc>
          <w:tcPr>
            <w:tcW w:w="1865"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1、《水质 汞、砷、硒、铋和锑的测定 原子荧光法》</w:t>
            </w:r>
          </w:p>
          <w:p>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HJ 694-2014</w:t>
            </w:r>
          </w:p>
          <w:p>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2、《水质 65种元素的测定 电感耦合等离子体质谱法》 HJ 700-2014</w:t>
            </w:r>
          </w:p>
        </w:tc>
        <w:tc>
          <w:tcPr>
            <w:tcW w:w="956"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1、原子荧光光谱仪</w:t>
            </w:r>
          </w:p>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2、电感耦合等离子体质谱仪</w:t>
            </w:r>
          </w:p>
        </w:tc>
        <w:tc>
          <w:tcPr>
            <w:tcW w:w="1367" w:type="dxa"/>
            <w:tcBorders>
              <w:tl2br w:val="nil"/>
              <w:tr2bl w:val="nil"/>
            </w:tcBorders>
            <w:shd w:val="clear" w:color="auto" w:fill="auto"/>
            <w:vAlign w:val="center"/>
          </w:tcPr>
          <w:p>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HNO</w:t>
            </w:r>
            <w:r>
              <w:rPr>
                <w:rFonts w:hint="eastAsia" w:ascii="宋体" w:hAnsi="宋体" w:eastAsia="宋体" w:cs="宋体"/>
                <w:color w:val="auto"/>
                <w:kern w:val="0"/>
                <w:sz w:val="24"/>
                <w:szCs w:val="24"/>
                <w:highlight w:val="none"/>
                <w:vertAlign w:val="subscript"/>
              </w:rPr>
              <w:t>3</w:t>
            </w:r>
            <w:r>
              <w:rPr>
                <w:rFonts w:hint="eastAsia" w:ascii="宋体" w:hAnsi="宋体" w:eastAsia="宋体" w:cs="宋体"/>
                <w:color w:val="auto"/>
                <w:kern w:val="0"/>
                <w:sz w:val="24"/>
                <w:szCs w:val="24"/>
                <w:highlight w:val="none"/>
              </w:rPr>
              <w:t>，1 L 水样中加浓 HNO</w:t>
            </w:r>
            <w:r>
              <w:rPr>
                <w:rFonts w:hint="eastAsia" w:ascii="宋体" w:hAnsi="宋体" w:eastAsia="宋体" w:cs="宋体"/>
                <w:color w:val="auto"/>
                <w:kern w:val="0"/>
                <w:sz w:val="24"/>
                <w:szCs w:val="24"/>
                <w:highlight w:val="none"/>
                <w:vertAlign w:val="subscript"/>
              </w:rPr>
              <w:t>3</w:t>
            </w:r>
            <w:r>
              <w:rPr>
                <w:rFonts w:hint="eastAsia" w:ascii="宋体" w:hAnsi="宋体" w:eastAsia="宋体" w:cs="宋体"/>
                <w:color w:val="auto"/>
                <w:kern w:val="0"/>
                <w:sz w:val="24"/>
                <w:szCs w:val="24"/>
                <w:highlight w:val="none"/>
              </w:rPr>
              <w:t>10ml，如用原子荧光法测定，1L水样中加10ml浓HCl</w:t>
            </w:r>
          </w:p>
        </w:tc>
        <w:tc>
          <w:tcPr>
            <w:tcW w:w="1293"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委托检测</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1902" w:hRule="atLeast"/>
        </w:trPr>
        <w:tc>
          <w:tcPr>
            <w:tcW w:w="506"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rPr>
            </w:pPr>
            <w:r>
              <w:rPr>
                <w:rFonts w:ascii="宋体" w:hAnsi="宋体" w:eastAsia="宋体" w:cs="宋体"/>
                <w:color w:val="auto"/>
                <w:kern w:val="0"/>
                <w:sz w:val="24"/>
                <w:szCs w:val="24"/>
              </w:rPr>
              <w:t>18</w:t>
            </w:r>
          </w:p>
        </w:tc>
        <w:tc>
          <w:tcPr>
            <w:tcW w:w="813"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废水</w:t>
            </w:r>
          </w:p>
        </w:tc>
        <w:tc>
          <w:tcPr>
            <w:tcW w:w="867"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DW001</w:t>
            </w:r>
          </w:p>
        </w:tc>
        <w:tc>
          <w:tcPr>
            <w:tcW w:w="1084"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污水排放口</w:t>
            </w:r>
          </w:p>
        </w:tc>
        <w:tc>
          <w:tcPr>
            <w:tcW w:w="957"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总镉</w:t>
            </w:r>
          </w:p>
        </w:tc>
        <w:tc>
          <w:tcPr>
            <w:tcW w:w="613"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手工</w:t>
            </w:r>
          </w:p>
        </w:tc>
        <w:tc>
          <w:tcPr>
            <w:tcW w:w="1792" w:type="dxa"/>
            <w:tcBorders>
              <w:tl2br w:val="nil"/>
              <w:tr2bl w:val="nil"/>
            </w:tcBorders>
            <w:shd w:val="clear" w:color="auto" w:fill="auto"/>
            <w:vAlign w:val="center"/>
          </w:tcPr>
          <w:p>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《城镇污水处理厂污染物排放标准》（GB18918-2002）一级A标准排放</w:t>
            </w:r>
          </w:p>
        </w:tc>
        <w:tc>
          <w:tcPr>
            <w:tcW w:w="1063" w:type="dxa"/>
            <w:tcBorders>
              <w:tl2br w:val="nil"/>
              <w:tr2bl w:val="nil"/>
            </w:tcBorders>
            <w:shd w:val="clear" w:color="auto" w:fill="auto"/>
            <w:vAlign w:val="center"/>
          </w:tcPr>
          <w:p>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0.01mg/L</w:t>
            </w:r>
          </w:p>
        </w:tc>
        <w:tc>
          <w:tcPr>
            <w:tcW w:w="1130" w:type="dxa"/>
            <w:tcBorders>
              <w:tl2br w:val="nil"/>
              <w:tr2bl w:val="nil"/>
            </w:tcBorders>
            <w:shd w:val="clear" w:color="auto" w:fill="auto"/>
            <w:vAlign w:val="center"/>
          </w:tcPr>
          <w:p>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0.05</w:t>
            </w:r>
            <w:r>
              <w:rPr>
                <w:rFonts w:hint="eastAsia"/>
                <w:color w:val="auto"/>
                <w:highlight w:val="none"/>
              </w:rPr>
              <w:t>μg/L</w:t>
            </w:r>
          </w:p>
        </w:tc>
        <w:tc>
          <w:tcPr>
            <w:tcW w:w="538" w:type="dxa"/>
            <w:tcBorders>
              <w:tl2br w:val="nil"/>
              <w:tr2bl w:val="nil"/>
            </w:tcBorders>
            <w:shd w:val="clear" w:color="auto" w:fill="auto"/>
            <w:vAlign w:val="center"/>
          </w:tcPr>
          <w:p>
            <w:pPr>
              <w:jc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c>
          <w:tcPr>
            <w:tcW w:w="1068" w:type="dxa"/>
            <w:tcBorders>
              <w:tl2br w:val="nil"/>
              <w:tr2bl w:val="nil"/>
            </w:tcBorders>
            <w:shd w:val="clear" w:color="auto" w:fill="auto"/>
            <w:vAlign w:val="center"/>
          </w:tcPr>
          <w:p>
            <w:pPr>
              <w:jc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c>
          <w:tcPr>
            <w:tcW w:w="954" w:type="dxa"/>
            <w:tcBorders>
              <w:tl2br w:val="nil"/>
              <w:tr2bl w:val="nil"/>
            </w:tcBorders>
            <w:shd w:val="clear" w:color="auto" w:fill="auto"/>
            <w:vAlign w:val="center"/>
          </w:tcPr>
          <w:p>
            <w:pPr>
              <w:jc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c>
          <w:tcPr>
            <w:tcW w:w="1113" w:type="dxa"/>
            <w:tcBorders>
              <w:tl2br w:val="nil"/>
              <w:tr2bl w:val="nil"/>
            </w:tcBorders>
            <w:shd w:val="clear" w:color="auto" w:fill="auto"/>
            <w:vAlign w:val="center"/>
          </w:tcPr>
          <w:p>
            <w:pPr>
              <w:jc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c>
          <w:tcPr>
            <w:tcW w:w="1399"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xml:space="preserve">瞬时采样 </w:t>
            </w:r>
          </w:p>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3个瞬时样</w:t>
            </w:r>
          </w:p>
        </w:tc>
        <w:tc>
          <w:tcPr>
            <w:tcW w:w="711"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1次/</w:t>
            </w:r>
            <w:r>
              <w:rPr>
                <w:rStyle w:val="33"/>
                <w:rFonts w:hint="default"/>
                <w:color w:val="auto"/>
                <w:sz w:val="24"/>
                <w:szCs w:val="24"/>
                <w:highlight w:val="none"/>
              </w:rPr>
              <w:t>季</w:t>
            </w:r>
          </w:p>
        </w:tc>
        <w:tc>
          <w:tcPr>
            <w:tcW w:w="1865"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《水质 65种元素的测定 电感耦合等离子体质谱法》 HJ 700-2014</w:t>
            </w:r>
          </w:p>
        </w:tc>
        <w:tc>
          <w:tcPr>
            <w:tcW w:w="956"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电感耦合等离子体质谱仪</w:t>
            </w:r>
          </w:p>
        </w:tc>
        <w:tc>
          <w:tcPr>
            <w:tcW w:w="1367" w:type="dxa"/>
            <w:tcBorders>
              <w:tl2br w:val="nil"/>
              <w:tr2bl w:val="nil"/>
            </w:tcBorders>
            <w:shd w:val="clear" w:color="auto" w:fill="auto"/>
            <w:vAlign w:val="center"/>
          </w:tcPr>
          <w:p>
            <w:pPr>
              <w:widowControl/>
              <w:jc w:val="left"/>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HNO</w:t>
            </w:r>
            <w:r>
              <w:rPr>
                <w:rFonts w:hint="eastAsia" w:ascii="宋体" w:hAnsi="宋体" w:eastAsia="宋体" w:cs="宋体"/>
                <w:color w:val="auto"/>
                <w:kern w:val="0"/>
                <w:sz w:val="24"/>
                <w:szCs w:val="24"/>
                <w:highlight w:val="none"/>
                <w:vertAlign w:val="subscript"/>
              </w:rPr>
              <w:t>3</w:t>
            </w:r>
            <w:r>
              <w:rPr>
                <w:rFonts w:hint="eastAsia" w:ascii="宋体" w:hAnsi="宋体" w:eastAsia="宋体" w:cs="宋体"/>
                <w:color w:val="auto"/>
                <w:kern w:val="0"/>
                <w:sz w:val="24"/>
                <w:szCs w:val="24"/>
                <w:highlight w:val="none"/>
              </w:rPr>
              <w:t>，1L 水样中加浓 HNO</w:t>
            </w:r>
            <w:r>
              <w:rPr>
                <w:rFonts w:hint="eastAsia" w:ascii="宋体" w:hAnsi="宋体" w:eastAsia="宋体" w:cs="宋体"/>
                <w:color w:val="auto"/>
                <w:kern w:val="0"/>
                <w:sz w:val="24"/>
                <w:szCs w:val="24"/>
                <w:highlight w:val="none"/>
                <w:vertAlign w:val="subscript"/>
              </w:rPr>
              <w:t>3</w:t>
            </w:r>
            <w:r>
              <w:rPr>
                <w:rFonts w:hint="eastAsia" w:ascii="宋体" w:hAnsi="宋体" w:eastAsia="宋体" w:cs="宋体"/>
                <w:color w:val="auto"/>
                <w:kern w:val="0"/>
                <w:sz w:val="24"/>
                <w:szCs w:val="24"/>
                <w:highlight w:val="none"/>
              </w:rPr>
              <w:t>10 ml</w:t>
            </w:r>
          </w:p>
        </w:tc>
        <w:tc>
          <w:tcPr>
            <w:tcW w:w="1293"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委托检测</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1902" w:hRule="atLeast"/>
        </w:trPr>
        <w:tc>
          <w:tcPr>
            <w:tcW w:w="506"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rPr>
            </w:pPr>
            <w:r>
              <w:rPr>
                <w:rFonts w:hint="eastAsia" w:ascii="宋体" w:hAnsi="宋体" w:eastAsia="宋体" w:cs="宋体"/>
                <w:color w:val="auto"/>
                <w:kern w:val="0"/>
                <w:sz w:val="24"/>
                <w:szCs w:val="24"/>
              </w:rPr>
              <w:t>1</w:t>
            </w:r>
            <w:r>
              <w:rPr>
                <w:rFonts w:ascii="宋体" w:hAnsi="宋体" w:eastAsia="宋体" w:cs="宋体"/>
                <w:color w:val="auto"/>
                <w:kern w:val="0"/>
                <w:sz w:val="24"/>
                <w:szCs w:val="24"/>
              </w:rPr>
              <w:t>9</w:t>
            </w:r>
          </w:p>
        </w:tc>
        <w:tc>
          <w:tcPr>
            <w:tcW w:w="813"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废水</w:t>
            </w:r>
          </w:p>
        </w:tc>
        <w:tc>
          <w:tcPr>
            <w:tcW w:w="867"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DW001</w:t>
            </w:r>
          </w:p>
        </w:tc>
        <w:tc>
          <w:tcPr>
            <w:tcW w:w="1084"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污水排放口</w:t>
            </w:r>
          </w:p>
        </w:tc>
        <w:tc>
          <w:tcPr>
            <w:tcW w:w="957"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总铬</w:t>
            </w:r>
          </w:p>
        </w:tc>
        <w:tc>
          <w:tcPr>
            <w:tcW w:w="613"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手工</w:t>
            </w:r>
          </w:p>
        </w:tc>
        <w:tc>
          <w:tcPr>
            <w:tcW w:w="1792" w:type="dxa"/>
            <w:tcBorders>
              <w:tl2br w:val="nil"/>
              <w:tr2bl w:val="nil"/>
            </w:tcBorders>
            <w:shd w:val="clear" w:color="auto" w:fill="auto"/>
            <w:vAlign w:val="center"/>
          </w:tcPr>
          <w:p>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《城镇污水处理厂污染物排放标准》（GB18918-2002）一级A标准排放</w:t>
            </w:r>
          </w:p>
        </w:tc>
        <w:tc>
          <w:tcPr>
            <w:tcW w:w="1063" w:type="dxa"/>
            <w:tcBorders>
              <w:tl2br w:val="nil"/>
              <w:tr2bl w:val="nil"/>
            </w:tcBorders>
            <w:shd w:val="clear" w:color="auto" w:fill="auto"/>
            <w:vAlign w:val="center"/>
          </w:tcPr>
          <w:p>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≤0.1mg/L</w:t>
            </w:r>
          </w:p>
        </w:tc>
        <w:tc>
          <w:tcPr>
            <w:tcW w:w="1130" w:type="dxa"/>
            <w:tcBorders>
              <w:tl2br w:val="nil"/>
              <w:tr2bl w:val="nil"/>
            </w:tcBorders>
            <w:shd w:val="clear" w:color="auto" w:fill="auto"/>
            <w:vAlign w:val="center"/>
          </w:tcPr>
          <w:p>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0.11</w:t>
            </w:r>
            <w:r>
              <w:rPr>
                <w:rFonts w:hint="eastAsia"/>
                <w:color w:val="auto"/>
                <w:highlight w:val="none"/>
              </w:rPr>
              <w:t>μg/L</w:t>
            </w:r>
          </w:p>
        </w:tc>
        <w:tc>
          <w:tcPr>
            <w:tcW w:w="538" w:type="dxa"/>
            <w:tcBorders>
              <w:tl2br w:val="nil"/>
              <w:tr2bl w:val="nil"/>
            </w:tcBorders>
            <w:shd w:val="clear" w:color="auto" w:fill="auto"/>
            <w:vAlign w:val="center"/>
          </w:tcPr>
          <w:p>
            <w:pPr>
              <w:jc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c>
          <w:tcPr>
            <w:tcW w:w="1068" w:type="dxa"/>
            <w:tcBorders>
              <w:tl2br w:val="nil"/>
              <w:tr2bl w:val="nil"/>
            </w:tcBorders>
            <w:shd w:val="clear" w:color="auto" w:fill="auto"/>
            <w:vAlign w:val="center"/>
          </w:tcPr>
          <w:p>
            <w:pPr>
              <w:jc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c>
          <w:tcPr>
            <w:tcW w:w="954" w:type="dxa"/>
            <w:tcBorders>
              <w:tl2br w:val="nil"/>
              <w:tr2bl w:val="nil"/>
            </w:tcBorders>
            <w:shd w:val="clear" w:color="auto" w:fill="auto"/>
            <w:vAlign w:val="center"/>
          </w:tcPr>
          <w:p>
            <w:pPr>
              <w:jc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c>
          <w:tcPr>
            <w:tcW w:w="1113" w:type="dxa"/>
            <w:tcBorders>
              <w:tl2br w:val="nil"/>
              <w:tr2bl w:val="nil"/>
            </w:tcBorders>
            <w:shd w:val="clear" w:color="auto" w:fill="auto"/>
            <w:vAlign w:val="center"/>
          </w:tcPr>
          <w:p>
            <w:pPr>
              <w:jc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c>
          <w:tcPr>
            <w:tcW w:w="1399"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xml:space="preserve">瞬时采样 </w:t>
            </w:r>
          </w:p>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3个瞬时样</w:t>
            </w:r>
          </w:p>
        </w:tc>
        <w:tc>
          <w:tcPr>
            <w:tcW w:w="711"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1次/</w:t>
            </w:r>
            <w:r>
              <w:rPr>
                <w:rStyle w:val="33"/>
                <w:rFonts w:hint="default"/>
                <w:color w:val="auto"/>
                <w:sz w:val="24"/>
                <w:szCs w:val="24"/>
                <w:highlight w:val="none"/>
              </w:rPr>
              <w:t>季</w:t>
            </w:r>
          </w:p>
        </w:tc>
        <w:tc>
          <w:tcPr>
            <w:tcW w:w="1865" w:type="dxa"/>
            <w:tcBorders>
              <w:tl2br w:val="nil"/>
              <w:tr2bl w:val="nil"/>
            </w:tcBorders>
            <w:shd w:val="clear" w:color="auto" w:fill="auto"/>
            <w:vAlign w:val="center"/>
          </w:tcPr>
          <w:p>
            <w:pPr>
              <w:widowControl/>
              <w:jc w:val="both"/>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《水质 65种元素的测定 电感耦合等离子体质谱法》HJ 700-2014</w:t>
            </w:r>
          </w:p>
          <w:p>
            <w:pPr>
              <w:widowControl/>
              <w:jc w:val="center"/>
              <w:textAlignment w:val="center"/>
              <w:rPr>
                <w:rFonts w:ascii="宋体" w:hAnsi="宋体" w:eastAsia="宋体" w:cs="宋体"/>
                <w:color w:val="auto"/>
                <w:kern w:val="0"/>
                <w:sz w:val="24"/>
                <w:szCs w:val="24"/>
                <w:highlight w:val="none"/>
              </w:rPr>
            </w:pPr>
          </w:p>
        </w:tc>
        <w:tc>
          <w:tcPr>
            <w:tcW w:w="956"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电感耦合等离子体质谱仪</w:t>
            </w:r>
          </w:p>
          <w:p>
            <w:pPr>
              <w:widowControl/>
              <w:jc w:val="center"/>
              <w:textAlignment w:val="center"/>
              <w:rPr>
                <w:rFonts w:ascii="宋体" w:hAnsi="宋体" w:eastAsia="宋体" w:cs="宋体"/>
                <w:color w:val="auto"/>
                <w:kern w:val="0"/>
                <w:sz w:val="24"/>
                <w:szCs w:val="24"/>
                <w:highlight w:val="none"/>
              </w:rPr>
            </w:pPr>
          </w:p>
        </w:tc>
        <w:tc>
          <w:tcPr>
            <w:tcW w:w="1367"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bCs/>
                <w:color w:val="auto"/>
                <w:sz w:val="24"/>
                <w:szCs w:val="24"/>
                <w:highlight w:val="none"/>
              </w:rPr>
              <w:t>1L水样中加浓HNO</w:t>
            </w:r>
            <w:r>
              <w:rPr>
                <w:rFonts w:hint="eastAsia" w:ascii="宋体" w:hAnsi="宋体" w:eastAsia="宋体" w:cs="宋体"/>
                <w:bCs/>
                <w:color w:val="auto"/>
                <w:sz w:val="24"/>
                <w:szCs w:val="24"/>
                <w:highlight w:val="none"/>
                <w:vertAlign w:val="subscript"/>
              </w:rPr>
              <w:t xml:space="preserve">3 </w:t>
            </w:r>
            <w:r>
              <w:rPr>
                <w:rFonts w:hint="eastAsia" w:ascii="宋体" w:hAnsi="宋体" w:eastAsia="宋体" w:cs="宋体"/>
                <w:bCs/>
                <w:color w:val="auto"/>
                <w:sz w:val="24"/>
                <w:szCs w:val="24"/>
                <w:highlight w:val="none"/>
              </w:rPr>
              <w:t>10ml</w:t>
            </w:r>
          </w:p>
        </w:tc>
        <w:tc>
          <w:tcPr>
            <w:tcW w:w="1293"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委托检测</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1902" w:hRule="atLeast"/>
        </w:trPr>
        <w:tc>
          <w:tcPr>
            <w:tcW w:w="506"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rPr>
            </w:pPr>
            <w:r>
              <w:rPr>
                <w:rFonts w:ascii="宋体" w:hAnsi="宋体" w:eastAsia="宋体" w:cs="宋体"/>
                <w:color w:val="auto"/>
                <w:kern w:val="0"/>
                <w:sz w:val="24"/>
                <w:szCs w:val="24"/>
              </w:rPr>
              <w:t>20</w:t>
            </w:r>
          </w:p>
        </w:tc>
        <w:tc>
          <w:tcPr>
            <w:tcW w:w="813"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废水</w:t>
            </w:r>
          </w:p>
        </w:tc>
        <w:tc>
          <w:tcPr>
            <w:tcW w:w="867"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DW001</w:t>
            </w:r>
          </w:p>
        </w:tc>
        <w:tc>
          <w:tcPr>
            <w:tcW w:w="1084"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污水排放口</w:t>
            </w:r>
          </w:p>
        </w:tc>
        <w:tc>
          <w:tcPr>
            <w:tcW w:w="957"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总铅</w:t>
            </w:r>
          </w:p>
        </w:tc>
        <w:tc>
          <w:tcPr>
            <w:tcW w:w="613"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手工</w:t>
            </w:r>
          </w:p>
        </w:tc>
        <w:tc>
          <w:tcPr>
            <w:tcW w:w="1792" w:type="dxa"/>
            <w:tcBorders>
              <w:tl2br w:val="nil"/>
              <w:tr2bl w:val="nil"/>
            </w:tcBorders>
            <w:shd w:val="clear" w:color="auto" w:fill="auto"/>
            <w:vAlign w:val="center"/>
          </w:tcPr>
          <w:p>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《城镇污水处理厂污染物排放标准》（GB18918-2002）一级A标准排放</w:t>
            </w:r>
          </w:p>
        </w:tc>
        <w:tc>
          <w:tcPr>
            <w:tcW w:w="1063" w:type="dxa"/>
            <w:tcBorders>
              <w:tl2br w:val="nil"/>
              <w:tr2bl w:val="nil"/>
            </w:tcBorders>
            <w:shd w:val="clear" w:color="auto" w:fill="auto"/>
            <w:vAlign w:val="center"/>
          </w:tcPr>
          <w:p>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0.1mg/L</w:t>
            </w:r>
          </w:p>
        </w:tc>
        <w:tc>
          <w:tcPr>
            <w:tcW w:w="1130" w:type="dxa"/>
            <w:tcBorders>
              <w:tl2br w:val="nil"/>
              <w:tr2bl w:val="nil"/>
            </w:tcBorders>
            <w:shd w:val="clear" w:color="auto" w:fill="auto"/>
            <w:vAlign w:val="center"/>
          </w:tcPr>
          <w:p>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0.09</w:t>
            </w:r>
            <w:r>
              <w:rPr>
                <w:rFonts w:hint="eastAsia"/>
                <w:color w:val="auto"/>
                <w:highlight w:val="none"/>
              </w:rPr>
              <w:t>μg/L</w:t>
            </w:r>
          </w:p>
        </w:tc>
        <w:tc>
          <w:tcPr>
            <w:tcW w:w="538" w:type="dxa"/>
            <w:tcBorders>
              <w:tl2br w:val="nil"/>
              <w:tr2bl w:val="nil"/>
            </w:tcBorders>
            <w:shd w:val="clear" w:color="auto" w:fill="auto"/>
            <w:vAlign w:val="center"/>
          </w:tcPr>
          <w:p>
            <w:pPr>
              <w:jc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c>
          <w:tcPr>
            <w:tcW w:w="1068" w:type="dxa"/>
            <w:tcBorders>
              <w:tl2br w:val="nil"/>
              <w:tr2bl w:val="nil"/>
            </w:tcBorders>
            <w:shd w:val="clear" w:color="auto" w:fill="auto"/>
            <w:vAlign w:val="center"/>
          </w:tcPr>
          <w:p>
            <w:pPr>
              <w:jc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c>
          <w:tcPr>
            <w:tcW w:w="954" w:type="dxa"/>
            <w:tcBorders>
              <w:tl2br w:val="nil"/>
              <w:tr2bl w:val="nil"/>
            </w:tcBorders>
            <w:shd w:val="clear" w:color="auto" w:fill="auto"/>
            <w:vAlign w:val="center"/>
          </w:tcPr>
          <w:p>
            <w:pPr>
              <w:jc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c>
          <w:tcPr>
            <w:tcW w:w="1113" w:type="dxa"/>
            <w:tcBorders>
              <w:tl2br w:val="nil"/>
              <w:tr2bl w:val="nil"/>
            </w:tcBorders>
            <w:shd w:val="clear" w:color="auto" w:fill="auto"/>
            <w:vAlign w:val="center"/>
          </w:tcPr>
          <w:p>
            <w:pPr>
              <w:jc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c>
          <w:tcPr>
            <w:tcW w:w="1399"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xml:space="preserve">瞬时采样 </w:t>
            </w:r>
          </w:p>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 xml:space="preserve">3个瞬时样 </w:t>
            </w:r>
          </w:p>
        </w:tc>
        <w:tc>
          <w:tcPr>
            <w:tcW w:w="711"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1次/</w:t>
            </w:r>
            <w:r>
              <w:rPr>
                <w:rStyle w:val="33"/>
                <w:rFonts w:hint="default"/>
                <w:color w:val="auto"/>
                <w:sz w:val="24"/>
                <w:szCs w:val="24"/>
                <w:highlight w:val="none"/>
              </w:rPr>
              <w:t>季</w:t>
            </w:r>
          </w:p>
        </w:tc>
        <w:tc>
          <w:tcPr>
            <w:tcW w:w="1865" w:type="dxa"/>
            <w:tcBorders>
              <w:tl2br w:val="nil"/>
              <w:tr2bl w:val="nil"/>
            </w:tcBorders>
            <w:shd w:val="clear" w:color="auto" w:fill="auto"/>
            <w:vAlign w:val="center"/>
          </w:tcPr>
          <w:p>
            <w:pPr>
              <w:widowControl/>
              <w:jc w:val="center"/>
              <w:textAlignment w:val="center"/>
              <w:rPr>
                <w:rStyle w:val="33"/>
                <w:rFonts w:hint="default"/>
                <w:color w:val="auto"/>
                <w:sz w:val="24"/>
                <w:szCs w:val="24"/>
                <w:highlight w:val="none"/>
              </w:rPr>
            </w:pPr>
            <w:r>
              <w:rPr>
                <w:rStyle w:val="33"/>
                <w:rFonts w:hint="default"/>
                <w:color w:val="auto"/>
                <w:sz w:val="24"/>
                <w:szCs w:val="24"/>
                <w:highlight w:val="none"/>
              </w:rPr>
              <w:t xml:space="preserve">《水质 65种元素的测定 电感耦合等离子体质谱法》 </w:t>
            </w:r>
          </w:p>
          <w:p>
            <w:pPr>
              <w:widowControl/>
              <w:jc w:val="center"/>
              <w:textAlignment w:val="center"/>
              <w:rPr>
                <w:rFonts w:ascii="宋体" w:hAnsi="宋体" w:eastAsia="宋体" w:cs="宋体"/>
                <w:color w:val="auto"/>
                <w:kern w:val="0"/>
                <w:sz w:val="24"/>
                <w:szCs w:val="24"/>
                <w:highlight w:val="none"/>
              </w:rPr>
            </w:pPr>
            <w:r>
              <w:rPr>
                <w:rStyle w:val="33"/>
                <w:rFonts w:hint="default"/>
                <w:color w:val="auto"/>
                <w:sz w:val="24"/>
                <w:szCs w:val="24"/>
                <w:highlight w:val="none"/>
              </w:rPr>
              <w:t>HJ 700-2014</w:t>
            </w:r>
          </w:p>
        </w:tc>
        <w:tc>
          <w:tcPr>
            <w:tcW w:w="956"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电感耦合等离子体质谱仪</w:t>
            </w:r>
          </w:p>
        </w:tc>
        <w:tc>
          <w:tcPr>
            <w:tcW w:w="1367"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HNO3，1%，如水样为中性，1L水样中加浓 HNO</w:t>
            </w:r>
            <w:r>
              <w:rPr>
                <w:rFonts w:hint="eastAsia" w:ascii="宋体" w:hAnsi="宋体" w:eastAsia="宋体" w:cs="宋体"/>
                <w:color w:val="auto"/>
                <w:kern w:val="0"/>
                <w:sz w:val="24"/>
                <w:szCs w:val="24"/>
                <w:highlight w:val="none"/>
                <w:vertAlign w:val="subscript"/>
              </w:rPr>
              <w:t>3</w:t>
            </w:r>
            <w:r>
              <w:rPr>
                <w:rFonts w:hint="eastAsia" w:ascii="宋体" w:hAnsi="宋体" w:eastAsia="宋体" w:cs="宋体"/>
                <w:color w:val="auto"/>
                <w:kern w:val="0"/>
                <w:sz w:val="24"/>
                <w:szCs w:val="24"/>
                <w:highlight w:val="none"/>
              </w:rPr>
              <w:t>10ml</w:t>
            </w:r>
          </w:p>
        </w:tc>
        <w:tc>
          <w:tcPr>
            <w:tcW w:w="1293"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委托检测</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2761" w:hRule="atLeast"/>
        </w:trPr>
        <w:tc>
          <w:tcPr>
            <w:tcW w:w="506"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rPr>
            </w:pPr>
            <w:r>
              <w:rPr>
                <w:rFonts w:ascii="宋体" w:hAnsi="宋体" w:eastAsia="宋体" w:cs="宋体"/>
                <w:color w:val="auto"/>
                <w:kern w:val="0"/>
                <w:sz w:val="24"/>
                <w:szCs w:val="24"/>
              </w:rPr>
              <w:t>21</w:t>
            </w:r>
          </w:p>
        </w:tc>
        <w:tc>
          <w:tcPr>
            <w:tcW w:w="813"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废水</w:t>
            </w:r>
          </w:p>
        </w:tc>
        <w:tc>
          <w:tcPr>
            <w:tcW w:w="867"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DW001</w:t>
            </w:r>
          </w:p>
        </w:tc>
        <w:tc>
          <w:tcPr>
            <w:tcW w:w="1084"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污水排放口</w:t>
            </w:r>
          </w:p>
        </w:tc>
        <w:tc>
          <w:tcPr>
            <w:tcW w:w="957"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烷基汞</w:t>
            </w:r>
          </w:p>
        </w:tc>
        <w:tc>
          <w:tcPr>
            <w:tcW w:w="613"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手工</w:t>
            </w:r>
          </w:p>
        </w:tc>
        <w:tc>
          <w:tcPr>
            <w:tcW w:w="1792" w:type="dxa"/>
            <w:tcBorders>
              <w:tl2br w:val="nil"/>
              <w:tr2bl w:val="nil"/>
            </w:tcBorders>
            <w:shd w:val="clear" w:color="auto" w:fill="auto"/>
            <w:vAlign w:val="center"/>
          </w:tcPr>
          <w:p>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《城镇污水处理厂污染物排放标准》（GB18918-2002）一级A标准排放</w:t>
            </w:r>
          </w:p>
        </w:tc>
        <w:tc>
          <w:tcPr>
            <w:tcW w:w="1063" w:type="dxa"/>
            <w:tcBorders>
              <w:tl2br w:val="nil"/>
              <w:tr2bl w:val="nil"/>
            </w:tcBorders>
            <w:shd w:val="clear" w:color="auto" w:fill="auto"/>
            <w:vAlign w:val="center"/>
          </w:tcPr>
          <w:p>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不得检出</w:t>
            </w:r>
          </w:p>
        </w:tc>
        <w:tc>
          <w:tcPr>
            <w:tcW w:w="1130" w:type="dxa"/>
            <w:tcBorders>
              <w:tl2br w:val="nil"/>
              <w:tr2bl w:val="nil"/>
            </w:tcBorders>
            <w:shd w:val="clear" w:color="auto" w:fill="auto"/>
            <w:vAlign w:val="center"/>
          </w:tcPr>
          <w:p>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0.02ng/L</w:t>
            </w:r>
          </w:p>
        </w:tc>
        <w:tc>
          <w:tcPr>
            <w:tcW w:w="538" w:type="dxa"/>
            <w:tcBorders>
              <w:tl2br w:val="nil"/>
              <w:tr2bl w:val="nil"/>
            </w:tcBorders>
            <w:shd w:val="clear" w:color="auto" w:fill="auto"/>
            <w:vAlign w:val="center"/>
          </w:tcPr>
          <w:p>
            <w:pPr>
              <w:jc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c>
          <w:tcPr>
            <w:tcW w:w="1068" w:type="dxa"/>
            <w:tcBorders>
              <w:tl2br w:val="nil"/>
              <w:tr2bl w:val="nil"/>
            </w:tcBorders>
            <w:shd w:val="clear" w:color="auto" w:fill="auto"/>
            <w:vAlign w:val="center"/>
          </w:tcPr>
          <w:p>
            <w:pPr>
              <w:jc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c>
          <w:tcPr>
            <w:tcW w:w="954" w:type="dxa"/>
            <w:tcBorders>
              <w:tl2br w:val="nil"/>
              <w:tr2bl w:val="nil"/>
            </w:tcBorders>
            <w:shd w:val="clear" w:color="auto" w:fill="auto"/>
            <w:vAlign w:val="center"/>
          </w:tcPr>
          <w:p>
            <w:pPr>
              <w:jc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c>
          <w:tcPr>
            <w:tcW w:w="1113" w:type="dxa"/>
            <w:tcBorders>
              <w:tl2br w:val="nil"/>
              <w:tr2bl w:val="nil"/>
            </w:tcBorders>
            <w:shd w:val="clear" w:color="auto" w:fill="auto"/>
            <w:vAlign w:val="center"/>
          </w:tcPr>
          <w:p>
            <w:pPr>
              <w:jc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c>
          <w:tcPr>
            <w:tcW w:w="1399"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xml:space="preserve">瞬时采样 </w:t>
            </w:r>
          </w:p>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3个瞬时样</w:t>
            </w:r>
          </w:p>
        </w:tc>
        <w:tc>
          <w:tcPr>
            <w:tcW w:w="711"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1次/半年</w:t>
            </w:r>
          </w:p>
        </w:tc>
        <w:tc>
          <w:tcPr>
            <w:tcW w:w="1865"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水质 烷基汞的测定 吹扫捕集气相色谱冷原子荧光光谱法 HJ 977-2018</w:t>
            </w:r>
          </w:p>
        </w:tc>
        <w:tc>
          <w:tcPr>
            <w:tcW w:w="956"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全自动烷基汞分析系统</w:t>
            </w:r>
          </w:p>
        </w:tc>
        <w:tc>
          <w:tcPr>
            <w:tcW w:w="1367"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Cs w:val="21"/>
                <w:highlight w:val="none"/>
              </w:rPr>
              <w:t>如</w:t>
            </w:r>
            <w:r>
              <w:rPr>
                <w:rFonts w:hint="eastAsia" w:ascii="宋体" w:hAnsi="宋体" w:eastAsia="宋体" w:cs="宋体"/>
                <w:color w:val="auto"/>
                <w:kern w:val="0"/>
                <w:sz w:val="24"/>
                <w:szCs w:val="24"/>
                <w:highlight w:val="none"/>
              </w:rPr>
              <w:t xml:space="preserve">在数小时内样品不能分析，应在样品瓶中预 </w:t>
            </w:r>
          </w:p>
          <w:p>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先加入 CuSO</w:t>
            </w:r>
            <w:r>
              <w:rPr>
                <w:rFonts w:hint="eastAsia" w:ascii="宋体" w:hAnsi="宋体" w:eastAsia="宋体" w:cs="宋体"/>
                <w:color w:val="auto"/>
                <w:kern w:val="0"/>
                <w:sz w:val="24"/>
                <w:szCs w:val="24"/>
                <w:highlight w:val="none"/>
                <w:vertAlign w:val="subscript"/>
              </w:rPr>
              <w:t>4</w:t>
            </w:r>
            <w:r>
              <w:rPr>
                <w:rFonts w:hint="eastAsia" w:ascii="宋体" w:hAnsi="宋体" w:eastAsia="宋体" w:cs="宋体"/>
                <w:color w:val="auto"/>
                <w:kern w:val="0"/>
                <w:sz w:val="24"/>
                <w:szCs w:val="24"/>
                <w:highlight w:val="none"/>
              </w:rPr>
              <w:t>，加入量为每升 1g，冷藏</w:t>
            </w:r>
          </w:p>
        </w:tc>
        <w:tc>
          <w:tcPr>
            <w:tcW w:w="1293"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委托检测</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2214" w:hRule="atLeast"/>
        </w:trPr>
        <w:tc>
          <w:tcPr>
            <w:tcW w:w="506"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rPr>
            </w:pPr>
            <w:r>
              <w:rPr>
                <w:rFonts w:hint="eastAsia" w:ascii="宋体" w:hAnsi="宋体" w:eastAsia="宋体" w:cs="宋体"/>
                <w:color w:val="auto"/>
                <w:kern w:val="0"/>
                <w:sz w:val="24"/>
                <w:szCs w:val="24"/>
              </w:rPr>
              <w:t>2</w:t>
            </w:r>
            <w:r>
              <w:rPr>
                <w:rFonts w:ascii="宋体" w:hAnsi="宋体" w:eastAsia="宋体" w:cs="宋体"/>
                <w:color w:val="auto"/>
                <w:kern w:val="0"/>
                <w:sz w:val="24"/>
                <w:szCs w:val="24"/>
              </w:rPr>
              <w:t>2</w:t>
            </w:r>
          </w:p>
        </w:tc>
        <w:tc>
          <w:tcPr>
            <w:tcW w:w="813"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废水</w:t>
            </w:r>
          </w:p>
        </w:tc>
        <w:tc>
          <w:tcPr>
            <w:tcW w:w="867"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MW00</w:t>
            </w:r>
            <w:r>
              <w:rPr>
                <w:rStyle w:val="35"/>
                <w:rFonts w:hint="default"/>
                <w:color w:val="auto"/>
                <w:sz w:val="24"/>
                <w:szCs w:val="24"/>
                <w:highlight w:val="none"/>
              </w:rPr>
              <w:t>1</w:t>
            </w:r>
          </w:p>
        </w:tc>
        <w:tc>
          <w:tcPr>
            <w:tcW w:w="1084"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进水口</w:t>
            </w:r>
          </w:p>
        </w:tc>
        <w:tc>
          <w:tcPr>
            <w:tcW w:w="957"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pH值</w:t>
            </w:r>
          </w:p>
        </w:tc>
        <w:tc>
          <w:tcPr>
            <w:tcW w:w="613"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自动</w:t>
            </w:r>
          </w:p>
        </w:tc>
        <w:tc>
          <w:tcPr>
            <w:tcW w:w="1792" w:type="dxa"/>
            <w:tcBorders>
              <w:tl2br w:val="nil"/>
              <w:tr2bl w:val="nil"/>
            </w:tcBorders>
            <w:shd w:val="clear" w:color="auto" w:fill="auto"/>
            <w:vAlign w:val="center"/>
          </w:tcPr>
          <w:p>
            <w:pPr>
              <w:jc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 xml:space="preserve">设计进水水质                                                                                                                                                                                                                                                                                                                                                                                                                           </w:t>
            </w:r>
          </w:p>
        </w:tc>
        <w:tc>
          <w:tcPr>
            <w:tcW w:w="1063" w:type="dxa"/>
            <w:tcBorders>
              <w:tl2br w:val="nil"/>
              <w:tr2bl w:val="nil"/>
            </w:tcBorders>
            <w:shd w:val="clear" w:color="auto" w:fill="auto"/>
            <w:vAlign w:val="center"/>
          </w:tcPr>
          <w:p>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6-9（无量纲）</w:t>
            </w:r>
          </w:p>
        </w:tc>
        <w:tc>
          <w:tcPr>
            <w:tcW w:w="1130" w:type="dxa"/>
            <w:tcBorders>
              <w:tl2br w:val="nil"/>
              <w:tr2bl w:val="nil"/>
            </w:tcBorders>
            <w:shd w:val="clear" w:color="auto" w:fill="auto"/>
            <w:vAlign w:val="center"/>
          </w:tcPr>
          <w:p>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w:t>
            </w:r>
          </w:p>
        </w:tc>
        <w:tc>
          <w:tcPr>
            <w:tcW w:w="538" w:type="dxa"/>
            <w:tcBorders>
              <w:tl2br w:val="nil"/>
              <w:tr2bl w:val="nil"/>
            </w:tcBorders>
            <w:shd w:val="clear" w:color="auto" w:fill="auto"/>
            <w:vAlign w:val="center"/>
          </w:tcPr>
          <w:p>
            <w:pPr>
              <w:jc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是</w:t>
            </w:r>
          </w:p>
        </w:tc>
        <w:tc>
          <w:tcPr>
            <w:tcW w:w="1068" w:type="dxa"/>
            <w:tcBorders>
              <w:tl2br w:val="nil"/>
              <w:tr2bl w:val="nil"/>
            </w:tcBorders>
            <w:shd w:val="clear" w:color="auto" w:fill="auto"/>
            <w:vAlign w:val="center"/>
          </w:tcPr>
          <w:p>
            <w:pPr>
              <w:jc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PH在线监测设备</w:t>
            </w:r>
          </w:p>
        </w:tc>
        <w:tc>
          <w:tcPr>
            <w:tcW w:w="954" w:type="dxa"/>
            <w:tcBorders>
              <w:tl2br w:val="nil"/>
              <w:tr2bl w:val="nil"/>
            </w:tcBorders>
            <w:shd w:val="clear" w:color="auto" w:fill="auto"/>
            <w:vAlign w:val="center"/>
          </w:tcPr>
          <w:p>
            <w:pPr>
              <w:jc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出水在线监测房</w:t>
            </w:r>
          </w:p>
        </w:tc>
        <w:tc>
          <w:tcPr>
            <w:tcW w:w="1113" w:type="dxa"/>
            <w:tcBorders>
              <w:tl2br w:val="nil"/>
              <w:tr2bl w:val="nil"/>
            </w:tcBorders>
            <w:shd w:val="clear" w:color="auto" w:fill="auto"/>
            <w:vAlign w:val="center"/>
          </w:tcPr>
          <w:p>
            <w:pPr>
              <w:jc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是</w:t>
            </w:r>
          </w:p>
        </w:tc>
        <w:tc>
          <w:tcPr>
            <w:tcW w:w="1399"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p>
        </w:tc>
        <w:tc>
          <w:tcPr>
            <w:tcW w:w="711"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p>
        </w:tc>
        <w:tc>
          <w:tcPr>
            <w:tcW w:w="1865"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p>
        </w:tc>
        <w:tc>
          <w:tcPr>
            <w:tcW w:w="956"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c>
          <w:tcPr>
            <w:tcW w:w="1367"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Cs w:val="21"/>
                <w:highlight w:val="none"/>
              </w:rPr>
            </w:pPr>
            <w:r>
              <w:rPr>
                <w:rFonts w:hint="eastAsia" w:ascii="宋体" w:hAnsi="宋体" w:eastAsia="宋体" w:cs="宋体"/>
                <w:color w:val="auto"/>
                <w:kern w:val="0"/>
                <w:sz w:val="24"/>
                <w:szCs w:val="24"/>
                <w:highlight w:val="none"/>
              </w:rPr>
              <w:t>/</w:t>
            </w:r>
          </w:p>
        </w:tc>
        <w:tc>
          <w:tcPr>
            <w:tcW w:w="1293"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自动监测设备出现故障时开展手工监测，每4小时监测一次</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2214" w:hRule="atLeast"/>
        </w:trPr>
        <w:tc>
          <w:tcPr>
            <w:tcW w:w="506"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rPr>
            </w:pPr>
            <w:r>
              <w:rPr>
                <w:rFonts w:hint="eastAsia" w:ascii="宋体" w:hAnsi="宋体" w:eastAsia="宋体" w:cs="宋体"/>
                <w:color w:val="auto"/>
                <w:kern w:val="0"/>
                <w:sz w:val="24"/>
                <w:szCs w:val="24"/>
              </w:rPr>
              <w:t>2</w:t>
            </w:r>
            <w:r>
              <w:rPr>
                <w:rFonts w:ascii="宋体" w:hAnsi="宋体" w:eastAsia="宋体" w:cs="宋体"/>
                <w:color w:val="auto"/>
                <w:kern w:val="0"/>
                <w:sz w:val="24"/>
                <w:szCs w:val="24"/>
              </w:rPr>
              <w:t>3</w:t>
            </w:r>
          </w:p>
        </w:tc>
        <w:tc>
          <w:tcPr>
            <w:tcW w:w="813"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废水</w:t>
            </w:r>
          </w:p>
        </w:tc>
        <w:tc>
          <w:tcPr>
            <w:tcW w:w="867"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MW00</w:t>
            </w:r>
            <w:r>
              <w:rPr>
                <w:rStyle w:val="35"/>
                <w:rFonts w:hint="default"/>
                <w:color w:val="auto"/>
                <w:sz w:val="24"/>
                <w:szCs w:val="24"/>
                <w:highlight w:val="none"/>
              </w:rPr>
              <w:t>1</w:t>
            </w:r>
          </w:p>
        </w:tc>
        <w:tc>
          <w:tcPr>
            <w:tcW w:w="1084"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进水口</w:t>
            </w:r>
          </w:p>
        </w:tc>
        <w:tc>
          <w:tcPr>
            <w:tcW w:w="957"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化学需氧量</w:t>
            </w:r>
          </w:p>
        </w:tc>
        <w:tc>
          <w:tcPr>
            <w:tcW w:w="613"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自动</w:t>
            </w:r>
          </w:p>
        </w:tc>
        <w:tc>
          <w:tcPr>
            <w:tcW w:w="1792" w:type="dxa"/>
            <w:tcBorders>
              <w:tl2br w:val="nil"/>
              <w:tr2bl w:val="nil"/>
            </w:tcBorders>
            <w:shd w:val="clear" w:color="auto" w:fill="auto"/>
            <w:vAlign w:val="center"/>
          </w:tcPr>
          <w:p>
            <w:pPr>
              <w:jc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设计进水水质</w:t>
            </w:r>
          </w:p>
        </w:tc>
        <w:tc>
          <w:tcPr>
            <w:tcW w:w="1063" w:type="dxa"/>
            <w:tcBorders>
              <w:tl2br w:val="nil"/>
              <w:tr2bl w:val="nil"/>
            </w:tcBorders>
            <w:shd w:val="clear" w:color="auto" w:fill="auto"/>
            <w:vAlign w:val="center"/>
          </w:tcPr>
          <w:p>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220mg/L</w:t>
            </w:r>
          </w:p>
        </w:tc>
        <w:tc>
          <w:tcPr>
            <w:tcW w:w="1130" w:type="dxa"/>
            <w:tcBorders>
              <w:tl2br w:val="nil"/>
              <w:tr2bl w:val="nil"/>
            </w:tcBorders>
            <w:shd w:val="clear" w:color="auto" w:fill="auto"/>
            <w:vAlign w:val="center"/>
          </w:tcPr>
          <w:p>
            <w:pPr>
              <w:jc w:val="center"/>
              <w:rPr>
                <w:rFonts w:hint="default"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eastAsia="zh-CN"/>
              </w:rPr>
              <w:t>0-660</w:t>
            </w:r>
          </w:p>
        </w:tc>
        <w:tc>
          <w:tcPr>
            <w:tcW w:w="538"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是</w:t>
            </w:r>
          </w:p>
        </w:tc>
        <w:tc>
          <w:tcPr>
            <w:tcW w:w="1068"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COD在线监测设备</w:t>
            </w:r>
          </w:p>
        </w:tc>
        <w:tc>
          <w:tcPr>
            <w:tcW w:w="954"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进水仪表小屋</w:t>
            </w:r>
          </w:p>
        </w:tc>
        <w:tc>
          <w:tcPr>
            <w:tcW w:w="1113"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是</w:t>
            </w:r>
          </w:p>
        </w:tc>
        <w:tc>
          <w:tcPr>
            <w:tcW w:w="1399"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c>
          <w:tcPr>
            <w:tcW w:w="711"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c>
          <w:tcPr>
            <w:tcW w:w="1865"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c>
          <w:tcPr>
            <w:tcW w:w="956"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c>
          <w:tcPr>
            <w:tcW w:w="1367"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c>
          <w:tcPr>
            <w:tcW w:w="1293" w:type="dxa"/>
            <w:tcBorders>
              <w:tl2br w:val="nil"/>
              <w:tr2bl w:val="nil"/>
            </w:tcBorders>
            <w:shd w:val="clear" w:color="auto" w:fill="auto"/>
            <w:vAlign w:val="center"/>
          </w:tcPr>
          <w:p>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自动监测设备出现故障时开展手工监测，每4小时监测一次</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2214" w:hRule="atLeast"/>
        </w:trPr>
        <w:tc>
          <w:tcPr>
            <w:tcW w:w="506"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rPr>
            </w:pPr>
            <w:r>
              <w:rPr>
                <w:rFonts w:hint="eastAsia" w:ascii="宋体" w:hAnsi="宋体" w:eastAsia="宋体" w:cs="宋体"/>
                <w:color w:val="auto"/>
                <w:kern w:val="0"/>
                <w:sz w:val="24"/>
                <w:szCs w:val="24"/>
              </w:rPr>
              <w:t>24</w:t>
            </w:r>
          </w:p>
        </w:tc>
        <w:tc>
          <w:tcPr>
            <w:tcW w:w="813"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废水</w:t>
            </w:r>
          </w:p>
        </w:tc>
        <w:tc>
          <w:tcPr>
            <w:tcW w:w="867"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MW00</w:t>
            </w:r>
            <w:r>
              <w:rPr>
                <w:rStyle w:val="35"/>
                <w:rFonts w:hint="default"/>
                <w:color w:val="auto"/>
                <w:sz w:val="24"/>
                <w:szCs w:val="24"/>
                <w:highlight w:val="none"/>
              </w:rPr>
              <w:t>1</w:t>
            </w:r>
          </w:p>
        </w:tc>
        <w:tc>
          <w:tcPr>
            <w:tcW w:w="1084"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进水口</w:t>
            </w:r>
          </w:p>
        </w:tc>
        <w:tc>
          <w:tcPr>
            <w:tcW w:w="957"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氨氮（NH</w:t>
            </w:r>
            <w:r>
              <w:rPr>
                <w:rFonts w:hint="eastAsia" w:ascii="宋体" w:hAnsi="宋体" w:eastAsia="宋体" w:cs="宋体"/>
                <w:color w:val="auto"/>
                <w:kern w:val="0"/>
                <w:sz w:val="24"/>
                <w:szCs w:val="24"/>
                <w:highlight w:val="none"/>
                <w:vertAlign w:val="subscript"/>
              </w:rPr>
              <w:t>3</w:t>
            </w:r>
            <w:r>
              <w:rPr>
                <w:rFonts w:hint="eastAsia" w:ascii="宋体" w:hAnsi="宋体" w:eastAsia="宋体" w:cs="宋体"/>
                <w:color w:val="auto"/>
                <w:kern w:val="0"/>
                <w:sz w:val="24"/>
                <w:szCs w:val="24"/>
                <w:highlight w:val="none"/>
              </w:rPr>
              <w:t>-N）</w:t>
            </w:r>
          </w:p>
        </w:tc>
        <w:tc>
          <w:tcPr>
            <w:tcW w:w="613"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自动</w:t>
            </w:r>
          </w:p>
        </w:tc>
        <w:tc>
          <w:tcPr>
            <w:tcW w:w="1792" w:type="dxa"/>
            <w:tcBorders>
              <w:tl2br w:val="nil"/>
              <w:tr2bl w:val="nil"/>
            </w:tcBorders>
            <w:shd w:val="clear" w:color="auto" w:fill="auto"/>
            <w:vAlign w:val="center"/>
          </w:tcPr>
          <w:p>
            <w:pPr>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设计进水水质</w:t>
            </w:r>
          </w:p>
        </w:tc>
        <w:tc>
          <w:tcPr>
            <w:tcW w:w="1063" w:type="dxa"/>
            <w:tcBorders>
              <w:tl2br w:val="nil"/>
              <w:tr2bl w:val="nil"/>
            </w:tcBorders>
            <w:shd w:val="clear" w:color="auto" w:fill="auto"/>
            <w:vAlign w:val="center"/>
          </w:tcPr>
          <w:p>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25mg/L</w:t>
            </w:r>
          </w:p>
        </w:tc>
        <w:tc>
          <w:tcPr>
            <w:tcW w:w="1130" w:type="dxa"/>
            <w:tcBorders>
              <w:tl2br w:val="nil"/>
              <w:tr2bl w:val="nil"/>
            </w:tcBorders>
            <w:shd w:val="clear" w:color="auto" w:fill="auto"/>
            <w:vAlign w:val="center"/>
          </w:tcPr>
          <w:p>
            <w:pPr>
              <w:jc w:val="center"/>
              <w:rPr>
                <w:rFonts w:hint="default"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eastAsia="zh-CN"/>
              </w:rPr>
              <w:t>0-75</w:t>
            </w:r>
          </w:p>
        </w:tc>
        <w:tc>
          <w:tcPr>
            <w:tcW w:w="538"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是</w:t>
            </w:r>
          </w:p>
        </w:tc>
        <w:tc>
          <w:tcPr>
            <w:tcW w:w="1068"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氨氮在线监测设备</w:t>
            </w:r>
          </w:p>
        </w:tc>
        <w:tc>
          <w:tcPr>
            <w:tcW w:w="954"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进水仪表小屋</w:t>
            </w:r>
          </w:p>
        </w:tc>
        <w:tc>
          <w:tcPr>
            <w:tcW w:w="1113"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是</w:t>
            </w:r>
          </w:p>
        </w:tc>
        <w:tc>
          <w:tcPr>
            <w:tcW w:w="1399"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p>
        </w:tc>
        <w:tc>
          <w:tcPr>
            <w:tcW w:w="711"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p>
        </w:tc>
        <w:tc>
          <w:tcPr>
            <w:tcW w:w="1865"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p>
        </w:tc>
        <w:tc>
          <w:tcPr>
            <w:tcW w:w="956"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p>
        </w:tc>
        <w:tc>
          <w:tcPr>
            <w:tcW w:w="1367"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p>
        </w:tc>
        <w:tc>
          <w:tcPr>
            <w:tcW w:w="1293" w:type="dxa"/>
            <w:tcBorders>
              <w:tl2br w:val="nil"/>
              <w:tr2bl w:val="nil"/>
            </w:tcBorders>
            <w:shd w:val="clear" w:color="auto" w:fill="auto"/>
            <w:vAlign w:val="center"/>
          </w:tcPr>
          <w:p>
            <w:pPr>
              <w:widowControl/>
              <w:jc w:val="left"/>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自动监测设备出现故障时开展手工监测，每4小时监测一次</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1570" w:hRule="atLeast"/>
        </w:trPr>
        <w:tc>
          <w:tcPr>
            <w:tcW w:w="506"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w:t>
            </w:r>
            <w:r>
              <w:rPr>
                <w:rFonts w:ascii="宋体" w:hAnsi="宋体" w:eastAsia="宋体" w:cs="宋体"/>
                <w:color w:val="auto"/>
                <w:kern w:val="0"/>
                <w:sz w:val="24"/>
                <w:szCs w:val="24"/>
                <w:highlight w:val="none"/>
              </w:rPr>
              <w:t>5</w:t>
            </w:r>
          </w:p>
        </w:tc>
        <w:tc>
          <w:tcPr>
            <w:tcW w:w="813"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废水</w:t>
            </w:r>
          </w:p>
        </w:tc>
        <w:tc>
          <w:tcPr>
            <w:tcW w:w="867"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MW00</w:t>
            </w:r>
            <w:r>
              <w:rPr>
                <w:rStyle w:val="35"/>
                <w:rFonts w:hint="default"/>
                <w:color w:val="auto"/>
                <w:sz w:val="24"/>
                <w:szCs w:val="24"/>
                <w:highlight w:val="none"/>
              </w:rPr>
              <w:t>1</w:t>
            </w:r>
          </w:p>
        </w:tc>
        <w:tc>
          <w:tcPr>
            <w:tcW w:w="1084"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进水口</w:t>
            </w:r>
          </w:p>
        </w:tc>
        <w:tc>
          <w:tcPr>
            <w:tcW w:w="957"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流量</w:t>
            </w:r>
          </w:p>
        </w:tc>
        <w:tc>
          <w:tcPr>
            <w:tcW w:w="613"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自动</w:t>
            </w:r>
          </w:p>
        </w:tc>
        <w:tc>
          <w:tcPr>
            <w:tcW w:w="1792" w:type="dxa"/>
            <w:tcBorders>
              <w:tl2br w:val="nil"/>
              <w:tr2bl w:val="nil"/>
            </w:tcBorders>
            <w:shd w:val="clear" w:color="auto" w:fill="auto"/>
            <w:vAlign w:val="center"/>
          </w:tcPr>
          <w:p>
            <w:pPr>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p>
        </w:tc>
        <w:tc>
          <w:tcPr>
            <w:tcW w:w="1063" w:type="dxa"/>
            <w:tcBorders>
              <w:tl2br w:val="nil"/>
              <w:tr2bl w:val="nil"/>
            </w:tcBorders>
            <w:shd w:val="clear" w:color="auto" w:fill="auto"/>
            <w:vAlign w:val="center"/>
          </w:tcPr>
          <w:p>
            <w:pPr>
              <w:jc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c>
          <w:tcPr>
            <w:tcW w:w="1130" w:type="dxa"/>
            <w:tcBorders>
              <w:tl2br w:val="nil"/>
              <w:tr2bl w:val="nil"/>
            </w:tcBorders>
            <w:shd w:val="clear" w:color="auto" w:fill="auto"/>
            <w:vAlign w:val="center"/>
          </w:tcPr>
          <w:p>
            <w:pPr>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w:t>
            </w:r>
          </w:p>
        </w:tc>
        <w:tc>
          <w:tcPr>
            <w:tcW w:w="538"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是</w:t>
            </w:r>
          </w:p>
        </w:tc>
        <w:tc>
          <w:tcPr>
            <w:tcW w:w="1068"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流量计</w:t>
            </w:r>
          </w:p>
        </w:tc>
        <w:tc>
          <w:tcPr>
            <w:tcW w:w="954"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进水仪表小屋</w:t>
            </w:r>
          </w:p>
        </w:tc>
        <w:tc>
          <w:tcPr>
            <w:tcW w:w="1113"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是</w:t>
            </w:r>
          </w:p>
        </w:tc>
        <w:tc>
          <w:tcPr>
            <w:tcW w:w="1399"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p>
        </w:tc>
        <w:tc>
          <w:tcPr>
            <w:tcW w:w="711"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p>
        </w:tc>
        <w:tc>
          <w:tcPr>
            <w:tcW w:w="1865"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p>
        </w:tc>
        <w:tc>
          <w:tcPr>
            <w:tcW w:w="956"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p>
        </w:tc>
        <w:tc>
          <w:tcPr>
            <w:tcW w:w="1367"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p>
        </w:tc>
        <w:tc>
          <w:tcPr>
            <w:tcW w:w="1293" w:type="dxa"/>
            <w:tcBorders>
              <w:tl2br w:val="nil"/>
              <w:tr2bl w:val="nil"/>
            </w:tcBorders>
            <w:shd w:val="clear" w:color="auto" w:fill="auto"/>
            <w:vAlign w:val="center"/>
          </w:tcPr>
          <w:p>
            <w:pPr>
              <w:widowControl/>
              <w:jc w:val="left"/>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3150" w:hRule="atLeast"/>
        </w:trPr>
        <w:tc>
          <w:tcPr>
            <w:tcW w:w="506"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w:t>
            </w:r>
            <w:r>
              <w:rPr>
                <w:rFonts w:ascii="宋体" w:hAnsi="宋体" w:eastAsia="宋体" w:cs="宋体"/>
                <w:color w:val="auto"/>
                <w:kern w:val="0"/>
                <w:sz w:val="24"/>
                <w:szCs w:val="24"/>
                <w:highlight w:val="none"/>
              </w:rPr>
              <w:t>6</w:t>
            </w:r>
          </w:p>
        </w:tc>
        <w:tc>
          <w:tcPr>
            <w:tcW w:w="813"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废水</w:t>
            </w:r>
          </w:p>
        </w:tc>
        <w:tc>
          <w:tcPr>
            <w:tcW w:w="867"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MW00</w:t>
            </w:r>
            <w:r>
              <w:rPr>
                <w:rStyle w:val="35"/>
                <w:rFonts w:hint="default"/>
                <w:color w:val="auto"/>
                <w:sz w:val="24"/>
                <w:szCs w:val="24"/>
                <w:highlight w:val="none"/>
              </w:rPr>
              <w:t>1</w:t>
            </w:r>
          </w:p>
        </w:tc>
        <w:tc>
          <w:tcPr>
            <w:tcW w:w="1084"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进水口</w:t>
            </w:r>
          </w:p>
        </w:tc>
        <w:tc>
          <w:tcPr>
            <w:tcW w:w="957"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水温</w:t>
            </w:r>
          </w:p>
        </w:tc>
        <w:tc>
          <w:tcPr>
            <w:tcW w:w="613"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自动</w:t>
            </w:r>
          </w:p>
        </w:tc>
        <w:tc>
          <w:tcPr>
            <w:tcW w:w="1792" w:type="dxa"/>
            <w:tcBorders>
              <w:tl2br w:val="nil"/>
              <w:tr2bl w:val="nil"/>
            </w:tcBorders>
            <w:shd w:val="clear" w:color="auto" w:fill="auto"/>
            <w:vAlign w:val="center"/>
          </w:tcPr>
          <w:p>
            <w:pPr>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p>
        </w:tc>
        <w:tc>
          <w:tcPr>
            <w:tcW w:w="1063" w:type="dxa"/>
            <w:tcBorders>
              <w:tl2br w:val="nil"/>
              <w:tr2bl w:val="nil"/>
            </w:tcBorders>
            <w:shd w:val="clear" w:color="auto" w:fill="auto"/>
            <w:vAlign w:val="center"/>
          </w:tcPr>
          <w:p>
            <w:pPr>
              <w:jc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c>
          <w:tcPr>
            <w:tcW w:w="1130" w:type="dxa"/>
            <w:tcBorders>
              <w:tl2br w:val="nil"/>
              <w:tr2bl w:val="nil"/>
            </w:tcBorders>
            <w:shd w:val="clear" w:color="auto" w:fill="auto"/>
            <w:vAlign w:val="center"/>
          </w:tcPr>
          <w:p>
            <w:pPr>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w:t>
            </w:r>
          </w:p>
        </w:tc>
        <w:tc>
          <w:tcPr>
            <w:tcW w:w="538"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是</w:t>
            </w:r>
          </w:p>
        </w:tc>
        <w:tc>
          <w:tcPr>
            <w:tcW w:w="1068"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pH/T在线监测设备</w:t>
            </w:r>
          </w:p>
          <w:p>
            <w:pPr>
              <w:widowControl/>
              <w:jc w:val="center"/>
              <w:textAlignment w:val="center"/>
              <w:rPr>
                <w:rFonts w:ascii="宋体" w:hAnsi="宋体" w:eastAsia="宋体" w:cs="宋体"/>
                <w:color w:val="auto"/>
                <w:kern w:val="0"/>
                <w:sz w:val="24"/>
                <w:szCs w:val="24"/>
                <w:highlight w:val="none"/>
              </w:rPr>
            </w:pPr>
          </w:p>
        </w:tc>
        <w:tc>
          <w:tcPr>
            <w:tcW w:w="954"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出</w:t>
            </w:r>
            <w:r>
              <w:rPr>
                <w:rStyle w:val="33"/>
                <w:rFonts w:hint="default"/>
                <w:color w:val="auto"/>
                <w:sz w:val="24"/>
                <w:szCs w:val="24"/>
                <w:highlight w:val="none"/>
              </w:rPr>
              <w:t>水仪表小屋</w:t>
            </w:r>
          </w:p>
        </w:tc>
        <w:tc>
          <w:tcPr>
            <w:tcW w:w="1113"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是</w:t>
            </w:r>
          </w:p>
        </w:tc>
        <w:tc>
          <w:tcPr>
            <w:tcW w:w="1399"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p>
        </w:tc>
        <w:tc>
          <w:tcPr>
            <w:tcW w:w="711"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p>
        </w:tc>
        <w:tc>
          <w:tcPr>
            <w:tcW w:w="1865"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p>
        </w:tc>
        <w:tc>
          <w:tcPr>
            <w:tcW w:w="956"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p>
        </w:tc>
        <w:tc>
          <w:tcPr>
            <w:tcW w:w="1367"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p>
        </w:tc>
        <w:tc>
          <w:tcPr>
            <w:tcW w:w="1293" w:type="dxa"/>
            <w:tcBorders>
              <w:tl2br w:val="nil"/>
              <w:tr2bl w:val="nil"/>
            </w:tcBorders>
            <w:shd w:val="clear" w:color="auto" w:fill="auto"/>
            <w:vAlign w:val="center"/>
          </w:tcPr>
          <w:p>
            <w:pPr>
              <w:widowControl/>
              <w:jc w:val="left"/>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自动监测设备出现故障时开展手工监测，每4小时监测一次</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1902" w:hRule="atLeast"/>
        </w:trPr>
        <w:tc>
          <w:tcPr>
            <w:tcW w:w="506"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2</w:t>
            </w:r>
            <w:r>
              <w:rPr>
                <w:rFonts w:ascii="宋体" w:hAnsi="宋体" w:eastAsia="宋体" w:cs="宋体"/>
                <w:color w:val="auto"/>
                <w:kern w:val="0"/>
                <w:sz w:val="24"/>
                <w:szCs w:val="24"/>
                <w:highlight w:val="none"/>
              </w:rPr>
              <w:t>7</w:t>
            </w:r>
          </w:p>
        </w:tc>
        <w:tc>
          <w:tcPr>
            <w:tcW w:w="813"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废水</w:t>
            </w:r>
          </w:p>
        </w:tc>
        <w:tc>
          <w:tcPr>
            <w:tcW w:w="867"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MW00</w:t>
            </w:r>
            <w:r>
              <w:rPr>
                <w:rStyle w:val="35"/>
                <w:rFonts w:hint="default"/>
                <w:color w:val="auto"/>
                <w:sz w:val="24"/>
                <w:szCs w:val="24"/>
                <w:highlight w:val="none"/>
              </w:rPr>
              <w:t>1</w:t>
            </w:r>
          </w:p>
        </w:tc>
        <w:tc>
          <w:tcPr>
            <w:tcW w:w="1084"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进水口</w:t>
            </w:r>
          </w:p>
        </w:tc>
        <w:tc>
          <w:tcPr>
            <w:tcW w:w="957"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总氮（以N计）</w:t>
            </w:r>
          </w:p>
        </w:tc>
        <w:tc>
          <w:tcPr>
            <w:tcW w:w="613"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手工</w:t>
            </w:r>
          </w:p>
        </w:tc>
        <w:tc>
          <w:tcPr>
            <w:tcW w:w="1792" w:type="dxa"/>
            <w:tcBorders>
              <w:tl2br w:val="nil"/>
              <w:tr2bl w:val="nil"/>
            </w:tcBorders>
            <w:shd w:val="clear" w:color="auto" w:fill="auto"/>
            <w:vAlign w:val="center"/>
          </w:tcPr>
          <w:p>
            <w:pPr>
              <w:jc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设计进水水质</w:t>
            </w:r>
          </w:p>
        </w:tc>
        <w:tc>
          <w:tcPr>
            <w:tcW w:w="1063" w:type="dxa"/>
            <w:tcBorders>
              <w:tl2br w:val="nil"/>
              <w:tr2bl w:val="nil"/>
            </w:tcBorders>
            <w:shd w:val="clear" w:color="auto" w:fill="auto"/>
            <w:vAlign w:val="center"/>
          </w:tcPr>
          <w:p>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35mg/L</w:t>
            </w:r>
          </w:p>
        </w:tc>
        <w:tc>
          <w:tcPr>
            <w:tcW w:w="1130" w:type="dxa"/>
            <w:tcBorders>
              <w:tl2br w:val="nil"/>
              <w:tr2bl w:val="nil"/>
            </w:tcBorders>
            <w:shd w:val="clear" w:color="auto" w:fill="auto"/>
            <w:vAlign w:val="center"/>
          </w:tcPr>
          <w:p>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0.05mg/L</w:t>
            </w:r>
          </w:p>
        </w:tc>
        <w:tc>
          <w:tcPr>
            <w:tcW w:w="538" w:type="dxa"/>
            <w:tcBorders>
              <w:tl2br w:val="nil"/>
              <w:tr2bl w:val="nil"/>
            </w:tcBorders>
            <w:shd w:val="clear" w:color="auto" w:fill="auto"/>
            <w:vAlign w:val="center"/>
          </w:tcPr>
          <w:p>
            <w:pPr>
              <w:jc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c>
          <w:tcPr>
            <w:tcW w:w="1068" w:type="dxa"/>
            <w:tcBorders>
              <w:tl2br w:val="nil"/>
              <w:tr2bl w:val="nil"/>
            </w:tcBorders>
            <w:shd w:val="clear" w:color="auto" w:fill="auto"/>
            <w:vAlign w:val="center"/>
          </w:tcPr>
          <w:p>
            <w:pPr>
              <w:jc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c>
          <w:tcPr>
            <w:tcW w:w="954" w:type="dxa"/>
            <w:tcBorders>
              <w:tl2br w:val="nil"/>
              <w:tr2bl w:val="nil"/>
            </w:tcBorders>
            <w:shd w:val="clear" w:color="auto" w:fill="auto"/>
            <w:vAlign w:val="center"/>
          </w:tcPr>
          <w:p>
            <w:pPr>
              <w:jc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c>
          <w:tcPr>
            <w:tcW w:w="1113" w:type="dxa"/>
            <w:tcBorders>
              <w:tl2br w:val="nil"/>
              <w:tr2bl w:val="nil"/>
            </w:tcBorders>
            <w:shd w:val="clear" w:color="auto" w:fill="auto"/>
            <w:vAlign w:val="center"/>
          </w:tcPr>
          <w:p>
            <w:pPr>
              <w:jc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c>
          <w:tcPr>
            <w:tcW w:w="1399"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b w:val="0"/>
                <w:bCs w:val="0"/>
                <w:i w:val="0"/>
                <w:iCs w:val="0"/>
                <w:color w:val="auto"/>
                <w:kern w:val="0"/>
                <w:sz w:val="24"/>
                <w:szCs w:val="24"/>
                <w:highlight w:val="none"/>
                <w:u w:val="none"/>
                <w:lang w:val="en-US" w:eastAsia="zh-CN" w:bidi="ar"/>
              </w:rPr>
              <w:t>混合采样多个混合样</w:t>
            </w:r>
          </w:p>
        </w:tc>
        <w:tc>
          <w:tcPr>
            <w:tcW w:w="711"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1次/日</w:t>
            </w:r>
          </w:p>
        </w:tc>
        <w:tc>
          <w:tcPr>
            <w:tcW w:w="1865"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《水质 总氮的测定 碱性过硫酸钾消解紫外分光光度法》</w:t>
            </w:r>
          </w:p>
          <w:p>
            <w:pPr>
              <w:widowControl/>
              <w:jc w:val="center"/>
              <w:textAlignment w:val="center"/>
              <w:rPr>
                <w:rFonts w:ascii="宋体" w:hAnsi="宋体" w:eastAsia="宋体" w:cs="宋体"/>
                <w:color w:val="auto"/>
                <w:sz w:val="24"/>
                <w:szCs w:val="24"/>
                <w:highlight w:val="none"/>
              </w:rPr>
            </w:pPr>
            <w:r>
              <w:rPr>
                <w:rStyle w:val="34"/>
                <w:rFonts w:hint="eastAsia" w:ascii="宋体" w:hAnsi="宋体" w:eastAsia="宋体" w:cs="宋体"/>
                <w:color w:val="auto"/>
                <w:sz w:val="24"/>
                <w:szCs w:val="24"/>
                <w:highlight w:val="none"/>
              </w:rPr>
              <w:t>HJ636-2012</w:t>
            </w:r>
          </w:p>
        </w:tc>
        <w:tc>
          <w:tcPr>
            <w:tcW w:w="956" w:type="dxa"/>
            <w:tcBorders>
              <w:tl2br w:val="nil"/>
              <w:tr2bl w:val="nil"/>
            </w:tcBorders>
            <w:shd w:val="clear" w:color="auto" w:fill="auto"/>
            <w:vAlign w:val="center"/>
          </w:tcPr>
          <w:p>
            <w:pPr>
              <w:widowControl/>
              <w:jc w:val="center"/>
              <w:textAlignment w:val="center"/>
              <w:rPr>
                <w:rStyle w:val="34"/>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紫外可见分光光度计</w:t>
            </w:r>
          </w:p>
        </w:tc>
        <w:tc>
          <w:tcPr>
            <w:tcW w:w="1367"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自动采样器有冷藏功能的填“冷藏”，其它根据化验实际操作填写</w:t>
            </w:r>
          </w:p>
        </w:tc>
        <w:tc>
          <w:tcPr>
            <w:tcW w:w="1293"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1902" w:hRule="atLeast"/>
        </w:trPr>
        <w:tc>
          <w:tcPr>
            <w:tcW w:w="506"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2</w:t>
            </w:r>
            <w:r>
              <w:rPr>
                <w:rFonts w:ascii="宋体" w:hAnsi="宋体" w:eastAsia="宋体" w:cs="宋体"/>
                <w:color w:val="auto"/>
                <w:kern w:val="0"/>
                <w:sz w:val="24"/>
                <w:szCs w:val="24"/>
                <w:highlight w:val="none"/>
              </w:rPr>
              <w:t>8</w:t>
            </w:r>
          </w:p>
        </w:tc>
        <w:tc>
          <w:tcPr>
            <w:tcW w:w="813"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废水</w:t>
            </w:r>
          </w:p>
        </w:tc>
        <w:tc>
          <w:tcPr>
            <w:tcW w:w="867"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MW00</w:t>
            </w:r>
            <w:r>
              <w:rPr>
                <w:rStyle w:val="35"/>
                <w:rFonts w:hint="default"/>
                <w:color w:val="auto"/>
                <w:sz w:val="24"/>
                <w:szCs w:val="24"/>
                <w:highlight w:val="none"/>
              </w:rPr>
              <w:t>1</w:t>
            </w:r>
          </w:p>
        </w:tc>
        <w:tc>
          <w:tcPr>
            <w:tcW w:w="1084"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进水口</w:t>
            </w:r>
          </w:p>
        </w:tc>
        <w:tc>
          <w:tcPr>
            <w:tcW w:w="957"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总磷（以P计）</w:t>
            </w:r>
          </w:p>
        </w:tc>
        <w:tc>
          <w:tcPr>
            <w:tcW w:w="613"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手工</w:t>
            </w:r>
          </w:p>
        </w:tc>
        <w:tc>
          <w:tcPr>
            <w:tcW w:w="1792" w:type="dxa"/>
            <w:tcBorders>
              <w:tl2br w:val="nil"/>
              <w:tr2bl w:val="nil"/>
            </w:tcBorders>
            <w:shd w:val="clear" w:color="auto" w:fill="auto"/>
            <w:vAlign w:val="center"/>
          </w:tcPr>
          <w:p>
            <w:pPr>
              <w:jc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设计进水水质</w:t>
            </w:r>
          </w:p>
        </w:tc>
        <w:tc>
          <w:tcPr>
            <w:tcW w:w="1063" w:type="dxa"/>
            <w:tcBorders>
              <w:tl2br w:val="nil"/>
              <w:tr2bl w:val="nil"/>
            </w:tcBorders>
            <w:shd w:val="clear" w:color="auto" w:fill="auto"/>
            <w:vAlign w:val="center"/>
          </w:tcPr>
          <w:p>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3mg/L</w:t>
            </w:r>
          </w:p>
        </w:tc>
        <w:tc>
          <w:tcPr>
            <w:tcW w:w="1130" w:type="dxa"/>
            <w:tcBorders>
              <w:tl2br w:val="nil"/>
              <w:tr2bl w:val="nil"/>
            </w:tcBorders>
            <w:shd w:val="clear" w:color="auto" w:fill="auto"/>
            <w:vAlign w:val="center"/>
          </w:tcPr>
          <w:p>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0.01mg/L</w:t>
            </w:r>
          </w:p>
        </w:tc>
        <w:tc>
          <w:tcPr>
            <w:tcW w:w="538" w:type="dxa"/>
            <w:tcBorders>
              <w:tl2br w:val="nil"/>
              <w:tr2bl w:val="nil"/>
            </w:tcBorders>
            <w:shd w:val="clear" w:color="auto" w:fill="auto"/>
            <w:vAlign w:val="center"/>
          </w:tcPr>
          <w:p>
            <w:pPr>
              <w:jc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c>
          <w:tcPr>
            <w:tcW w:w="1068" w:type="dxa"/>
            <w:tcBorders>
              <w:tl2br w:val="nil"/>
              <w:tr2bl w:val="nil"/>
            </w:tcBorders>
            <w:shd w:val="clear" w:color="auto" w:fill="auto"/>
            <w:vAlign w:val="center"/>
          </w:tcPr>
          <w:p>
            <w:pPr>
              <w:jc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c>
          <w:tcPr>
            <w:tcW w:w="954" w:type="dxa"/>
            <w:tcBorders>
              <w:tl2br w:val="nil"/>
              <w:tr2bl w:val="nil"/>
            </w:tcBorders>
            <w:shd w:val="clear" w:color="auto" w:fill="auto"/>
            <w:vAlign w:val="center"/>
          </w:tcPr>
          <w:p>
            <w:pPr>
              <w:jc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c>
          <w:tcPr>
            <w:tcW w:w="1113" w:type="dxa"/>
            <w:tcBorders>
              <w:tl2br w:val="nil"/>
              <w:tr2bl w:val="nil"/>
            </w:tcBorders>
            <w:shd w:val="clear" w:color="auto" w:fill="auto"/>
            <w:vAlign w:val="center"/>
          </w:tcPr>
          <w:p>
            <w:pPr>
              <w:jc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c>
          <w:tcPr>
            <w:tcW w:w="1399"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b w:val="0"/>
                <w:bCs w:val="0"/>
                <w:i w:val="0"/>
                <w:iCs w:val="0"/>
                <w:color w:val="auto"/>
                <w:kern w:val="0"/>
                <w:sz w:val="24"/>
                <w:szCs w:val="24"/>
                <w:highlight w:val="none"/>
                <w:u w:val="none"/>
                <w:lang w:val="en-US" w:eastAsia="zh-CN" w:bidi="ar"/>
              </w:rPr>
              <w:t>混合采样多个混合样</w:t>
            </w:r>
          </w:p>
        </w:tc>
        <w:tc>
          <w:tcPr>
            <w:tcW w:w="711"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1次/日</w:t>
            </w:r>
          </w:p>
        </w:tc>
        <w:tc>
          <w:tcPr>
            <w:tcW w:w="1865"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《水质 总磷的测定 钼酸铵分光光度法》</w:t>
            </w:r>
          </w:p>
          <w:p>
            <w:pPr>
              <w:widowControl/>
              <w:jc w:val="center"/>
              <w:textAlignment w:val="center"/>
              <w:rPr>
                <w:rFonts w:ascii="宋体" w:hAnsi="宋体" w:eastAsia="宋体" w:cs="宋体"/>
                <w:color w:val="auto"/>
                <w:sz w:val="24"/>
                <w:szCs w:val="24"/>
                <w:highlight w:val="none"/>
              </w:rPr>
            </w:pPr>
            <w:r>
              <w:rPr>
                <w:rStyle w:val="34"/>
                <w:rFonts w:hint="eastAsia" w:ascii="宋体" w:hAnsi="宋体" w:eastAsia="宋体" w:cs="宋体"/>
                <w:color w:val="auto"/>
                <w:sz w:val="24"/>
                <w:szCs w:val="24"/>
                <w:highlight w:val="none"/>
              </w:rPr>
              <w:t>GB11893-89</w:t>
            </w:r>
          </w:p>
        </w:tc>
        <w:tc>
          <w:tcPr>
            <w:tcW w:w="956" w:type="dxa"/>
            <w:tcBorders>
              <w:tl2br w:val="nil"/>
              <w:tr2bl w:val="nil"/>
            </w:tcBorders>
            <w:shd w:val="clear" w:color="auto" w:fill="auto"/>
            <w:vAlign w:val="center"/>
          </w:tcPr>
          <w:p>
            <w:pPr>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紫外可见分光光度计</w:t>
            </w:r>
          </w:p>
        </w:tc>
        <w:tc>
          <w:tcPr>
            <w:tcW w:w="1367"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自动采样器有冷藏功能的填“冷藏”，其它根据化验实际操作填写</w:t>
            </w:r>
          </w:p>
        </w:tc>
        <w:tc>
          <w:tcPr>
            <w:tcW w:w="1293"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1902" w:hRule="atLeast"/>
        </w:trPr>
        <w:tc>
          <w:tcPr>
            <w:tcW w:w="506"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29</w:t>
            </w:r>
          </w:p>
        </w:tc>
        <w:tc>
          <w:tcPr>
            <w:tcW w:w="813"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雨水</w:t>
            </w:r>
          </w:p>
        </w:tc>
        <w:tc>
          <w:tcPr>
            <w:tcW w:w="867"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DW00</w:t>
            </w:r>
            <w:r>
              <w:rPr>
                <w:rStyle w:val="35"/>
                <w:rFonts w:hint="default"/>
                <w:color w:val="auto"/>
                <w:sz w:val="24"/>
                <w:szCs w:val="24"/>
                <w:highlight w:val="none"/>
              </w:rPr>
              <w:t>3</w:t>
            </w:r>
          </w:p>
        </w:tc>
        <w:tc>
          <w:tcPr>
            <w:tcW w:w="1084"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雨</w:t>
            </w:r>
            <w:r>
              <w:rPr>
                <w:rStyle w:val="35"/>
                <w:rFonts w:hint="default"/>
                <w:color w:val="auto"/>
                <w:sz w:val="24"/>
                <w:szCs w:val="24"/>
                <w:highlight w:val="none"/>
              </w:rPr>
              <w:t>水排放口</w:t>
            </w:r>
          </w:p>
        </w:tc>
        <w:tc>
          <w:tcPr>
            <w:tcW w:w="957"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pH值</w:t>
            </w:r>
          </w:p>
        </w:tc>
        <w:tc>
          <w:tcPr>
            <w:tcW w:w="613"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手工</w:t>
            </w:r>
          </w:p>
        </w:tc>
        <w:tc>
          <w:tcPr>
            <w:tcW w:w="1792" w:type="dxa"/>
            <w:tcBorders>
              <w:tl2br w:val="nil"/>
              <w:tr2bl w:val="nil"/>
            </w:tcBorders>
            <w:shd w:val="clear" w:color="auto" w:fill="auto"/>
            <w:vAlign w:val="center"/>
          </w:tcPr>
          <w:p>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《污水综合排放标准（GB 8978-1996 ）》中表4其他排污单位的一级标准</w:t>
            </w:r>
          </w:p>
        </w:tc>
        <w:tc>
          <w:tcPr>
            <w:tcW w:w="1063" w:type="dxa"/>
            <w:tcBorders>
              <w:tl2br w:val="nil"/>
              <w:tr2bl w:val="nil"/>
            </w:tcBorders>
            <w:shd w:val="clear" w:color="auto" w:fill="auto"/>
            <w:vAlign w:val="center"/>
          </w:tcPr>
          <w:p>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6-9（无量纲）</w:t>
            </w:r>
          </w:p>
        </w:tc>
        <w:tc>
          <w:tcPr>
            <w:tcW w:w="1130" w:type="dxa"/>
            <w:tcBorders>
              <w:tl2br w:val="nil"/>
              <w:tr2bl w:val="nil"/>
            </w:tcBorders>
            <w:shd w:val="clear" w:color="auto" w:fill="auto"/>
            <w:vAlign w:val="center"/>
          </w:tcPr>
          <w:p>
            <w:pPr>
              <w:jc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c>
          <w:tcPr>
            <w:tcW w:w="538" w:type="dxa"/>
            <w:tcBorders>
              <w:tl2br w:val="nil"/>
              <w:tr2bl w:val="nil"/>
            </w:tcBorders>
            <w:shd w:val="clear" w:color="auto" w:fill="auto"/>
            <w:vAlign w:val="center"/>
          </w:tcPr>
          <w:p>
            <w:pPr>
              <w:jc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c>
          <w:tcPr>
            <w:tcW w:w="1068" w:type="dxa"/>
            <w:tcBorders>
              <w:tl2br w:val="nil"/>
              <w:tr2bl w:val="nil"/>
            </w:tcBorders>
            <w:shd w:val="clear" w:color="auto" w:fill="auto"/>
            <w:vAlign w:val="center"/>
          </w:tcPr>
          <w:p>
            <w:pPr>
              <w:jc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c>
          <w:tcPr>
            <w:tcW w:w="954" w:type="dxa"/>
            <w:tcBorders>
              <w:tl2br w:val="nil"/>
              <w:tr2bl w:val="nil"/>
            </w:tcBorders>
            <w:shd w:val="clear" w:color="auto" w:fill="auto"/>
            <w:vAlign w:val="center"/>
          </w:tcPr>
          <w:p>
            <w:pPr>
              <w:jc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c>
          <w:tcPr>
            <w:tcW w:w="1113" w:type="dxa"/>
            <w:tcBorders>
              <w:tl2br w:val="nil"/>
              <w:tr2bl w:val="nil"/>
            </w:tcBorders>
            <w:shd w:val="clear" w:color="auto" w:fill="auto"/>
            <w:vAlign w:val="center"/>
          </w:tcPr>
          <w:p>
            <w:pPr>
              <w:jc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c>
          <w:tcPr>
            <w:tcW w:w="1399"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xml:space="preserve">瞬时采样 </w:t>
            </w:r>
          </w:p>
          <w:p>
            <w:pPr>
              <w:widowControl/>
              <w:jc w:val="center"/>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kern w:val="0"/>
                <w:sz w:val="24"/>
                <w:szCs w:val="24"/>
                <w:highlight w:val="none"/>
              </w:rPr>
              <w:t>3个瞬时样</w:t>
            </w:r>
          </w:p>
        </w:tc>
        <w:tc>
          <w:tcPr>
            <w:tcW w:w="711"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1次/月</w:t>
            </w:r>
          </w:p>
        </w:tc>
        <w:tc>
          <w:tcPr>
            <w:tcW w:w="1865"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《水质 pH值的测定 电极法》</w:t>
            </w:r>
          </w:p>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HJ 1147-2020</w:t>
            </w:r>
          </w:p>
        </w:tc>
        <w:tc>
          <w:tcPr>
            <w:tcW w:w="956"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highlight w:val="none"/>
              </w:rPr>
            </w:pPr>
            <w:r>
              <w:rPr>
                <w:rStyle w:val="31"/>
                <w:rFonts w:hint="eastAsia" w:ascii="宋体" w:hAnsi="宋体" w:eastAsia="宋体" w:cs="宋体"/>
                <w:color w:val="auto"/>
                <w:sz w:val="24"/>
                <w:szCs w:val="24"/>
                <w:highlight w:val="none"/>
              </w:rPr>
              <w:t>pH计</w:t>
            </w:r>
          </w:p>
        </w:tc>
        <w:tc>
          <w:tcPr>
            <w:tcW w:w="1367"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p>
        </w:tc>
        <w:tc>
          <w:tcPr>
            <w:tcW w:w="1293" w:type="dxa"/>
            <w:tcBorders>
              <w:tl2br w:val="nil"/>
              <w:tr2bl w:val="nil"/>
            </w:tcBorders>
            <w:shd w:val="clear" w:color="auto" w:fill="auto"/>
            <w:vAlign w:val="center"/>
          </w:tcPr>
          <w:p>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下雨时开展手工监测</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1902" w:hRule="atLeast"/>
        </w:trPr>
        <w:tc>
          <w:tcPr>
            <w:tcW w:w="506"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30</w:t>
            </w:r>
          </w:p>
        </w:tc>
        <w:tc>
          <w:tcPr>
            <w:tcW w:w="813"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雨水</w:t>
            </w:r>
          </w:p>
        </w:tc>
        <w:tc>
          <w:tcPr>
            <w:tcW w:w="867"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DW00</w:t>
            </w:r>
            <w:r>
              <w:rPr>
                <w:rFonts w:ascii="宋体" w:hAnsi="宋体" w:eastAsia="宋体" w:cs="宋体"/>
                <w:color w:val="auto"/>
                <w:kern w:val="0"/>
                <w:sz w:val="24"/>
                <w:szCs w:val="24"/>
                <w:highlight w:val="none"/>
              </w:rPr>
              <w:t>3</w:t>
            </w:r>
          </w:p>
        </w:tc>
        <w:tc>
          <w:tcPr>
            <w:tcW w:w="1084"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雨</w:t>
            </w:r>
            <w:r>
              <w:rPr>
                <w:rStyle w:val="35"/>
                <w:rFonts w:hint="default"/>
                <w:color w:val="auto"/>
                <w:sz w:val="24"/>
                <w:szCs w:val="24"/>
                <w:highlight w:val="none"/>
              </w:rPr>
              <w:t>水排放口</w:t>
            </w:r>
          </w:p>
        </w:tc>
        <w:tc>
          <w:tcPr>
            <w:tcW w:w="957"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氨氮</w:t>
            </w:r>
          </w:p>
        </w:tc>
        <w:tc>
          <w:tcPr>
            <w:tcW w:w="613"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手工</w:t>
            </w:r>
          </w:p>
        </w:tc>
        <w:tc>
          <w:tcPr>
            <w:tcW w:w="1792" w:type="dxa"/>
            <w:tcBorders>
              <w:tl2br w:val="nil"/>
              <w:tr2bl w:val="nil"/>
            </w:tcBorders>
            <w:shd w:val="clear" w:color="auto" w:fill="auto"/>
            <w:vAlign w:val="center"/>
          </w:tcPr>
          <w:p>
            <w:pPr>
              <w:rPr>
                <w:rFonts w:ascii="宋体" w:hAnsi="宋体" w:eastAsia="宋体" w:cs="宋体"/>
                <w:color w:val="auto"/>
                <w:highlight w:val="none"/>
              </w:rPr>
            </w:pPr>
            <w:r>
              <w:rPr>
                <w:rFonts w:hint="eastAsia" w:ascii="宋体" w:hAnsi="宋体" w:eastAsia="宋体" w:cs="宋体"/>
                <w:color w:val="auto"/>
                <w:sz w:val="24"/>
                <w:szCs w:val="24"/>
                <w:highlight w:val="none"/>
              </w:rPr>
              <w:t>《污水综合排放标准（GB 8978-1996 ）》中表4其他排污单位的一级标准</w:t>
            </w:r>
          </w:p>
        </w:tc>
        <w:tc>
          <w:tcPr>
            <w:tcW w:w="1063" w:type="dxa"/>
            <w:tcBorders>
              <w:tl2br w:val="nil"/>
              <w:tr2bl w:val="nil"/>
            </w:tcBorders>
            <w:shd w:val="clear" w:color="auto" w:fill="auto"/>
            <w:vAlign w:val="center"/>
          </w:tcPr>
          <w:p>
            <w:pP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15mg/L</w:t>
            </w:r>
          </w:p>
        </w:tc>
        <w:tc>
          <w:tcPr>
            <w:tcW w:w="1130" w:type="dxa"/>
            <w:tcBorders>
              <w:tl2br w:val="nil"/>
              <w:tr2bl w:val="nil"/>
            </w:tcBorders>
            <w:shd w:val="clear" w:color="auto" w:fill="auto"/>
            <w:vAlign w:val="center"/>
          </w:tcPr>
          <w:p>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0.025</w:t>
            </w:r>
          </w:p>
          <w:p>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mg/L</w:t>
            </w:r>
          </w:p>
        </w:tc>
        <w:tc>
          <w:tcPr>
            <w:tcW w:w="538" w:type="dxa"/>
            <w:tcBorders>
              <w:tl2br w:val="nil"/>
              <w:tr2bl w:val="nil"/>
            </w:tcBorders>
            <w:shd w:val="clear" w:color="auto" w:fill="auto"/>
            <w:vAlign w:val="center"/>
          </w:tcPr>
          <w:p>
            <w:pPr>
              <w:jc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c>
          <w:tcPr>
            <w:tcW w:w="1068" w:type="dxa"/>
            <w:tcBorders>
              <w:tl2br w:val="nil"/>
              <w:tr2bl w:val="nil"/>
            </w:tcBorders>
            <w:shd w:val="clear" w:color="auto" w:fill="auto"/>
            <w:vAlign w:val="center"/>
          </w:tcPr>
          <w:p>
            <w:pPr>
              <w:jc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c>
          <w:tcPr>
            <w:tcW w:w="954" w:type="dxa"/>
            <w:tcBorders>
              <w:tl2br w:val="nil"/>
              <w:tr2bl w:val="nil"/>
            </w:tcBorders>
            <w:shd w:val="clear" w:color="auto" w:fill="auto"/>
            <w:vAlign w:val="center"/>
          </w:tcPr>
          <w:p>
            <w:pPr>
              <w:jc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c>
          <w:tcPr>
            <w:tcW w:w="1113" w:type="dxa"/>
            <w:tcBorders>
              <w:tl2br w:val="nil"/>
              <w:tr2bl w:val="nil"/>
            </w:tcBorders>
            <w:shd w:val="clear" w:color="auto" w:fill="auto"/>
            <w:vAlign w:val="center"/>
          </w:tcPr>
          <w:p>
            <w:pPr>
              <w:jc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c>
          <w:tcPr>
            <w:tcW w:w="1399"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xml:space="preserve">瞬时采样 </w:t>
            </w:r>
          </w:p>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1个瞬时样</w:t>
            </w:r>
          </w:p>
        </w:tc>
        <w:tc>
          <w:tcPr>
            <w:tcW w:w="711"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1次/月</w:t>
            </w:r>
          </w:p>
        </w:tc>
        <w:tc>
          <w:tcPr>
            <w:tcW w:w="1865" w:type="dxa"/>
            <w:tcBorders>
              <w:tl2br w:val="nil"/>
              <w:tr2bl w:val="nil"/>
            </w:tcBorders>
            <w:shd w:val="clear" w:color="auto" w:fill="auto"/>
            <w:vAlign w:val="center"/>
          </w:tcPr>
          <w:p>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《水质 氨氮的测定 纳氏试剂分光光度法》</w:t>
            </w:r>
          </w:p>
          <w:p>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HJ535-2009</w:t>
            </w:r>
          </w:p>
        </w:tc>
        <w:tc>
          <w:tcPr>
            <w:tcW w:w="956" w:type="dxa"/>
            <w:tcBorders>
              <w:tl2br w:val="nil"/>
              <w:tr2bl w:val="nil"/>
            </w:tcBorders>
            <w:shd w:val="clear" w:color="auto" w:fill="auto"/>
            <w:vAlign w:val="center"/>
          </w:tcPr>
          <w:p>
            <w:pPr>
              <w:jc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紫外可见分光光度计</w:t>
            </w:r>
          </w:p>
        </w:tc>
        <w:tc>
          <w:tcPr>
            <w:tcW w:w="1367" w:type="dxa"/>
            <w:tcBorders>
              <w:tl2br w:val="nil"/>
              <w:tr2bl w:val="nil"/>
            </w:tcBorders>
            <w:shd w:val="clear" w:color="auto" w:fill="auto"/>
            <w:vAlign w:val="center"/>
          </w:tcPr>
          <w:p>
            <w:pPr>
              <w:jc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c>
          <w:tcPr>
            <w:tcW w:w="1293" w:type="dxa"/>
            <w:tcBorders>
              <w:tl2br w:val="nil"/>
              <w:tr2bl w:val="nil"/>
            </w:tcBorders>
            <w:shd w:val="clear" w:color="auto" w:fill="auto"/>
            <w:vAlign w:val="center"/>
          </w:tcPr>
          <w:p>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下雨时开展手工监测</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1902" w:hRule="atLeast"/>
        </w:trPr>
        <w:tc>
          <w:tcPr>
            <w:tcW w:w="506"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31</w:t>
            </w:r>
          </w:p>
        </w:tc>
        <w:tc>
          <w:tcPr>
            <w:tcW w:w="813"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雨水</w:t>
            </w:r>
          </w:p>
        </w:tc>
        <w:tc>
          <w:tcPr>
            <w:tcW w:w="867"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DW00</w:t>
            </w:r>
            <w:r>
              <w:rPr>
                <w:rFonts w:ascii="宋体" w:hAnsi="宋体" w:eastAsia="宋体" w:cs="宋体"/>
                <w:color w:val="auto"/>
                <w:kern w:val="0"/>
                <w:sz w:val="24"/>
                <w:szCs w:val="24"/>
                <w:highlight w:val="none"/>
              </w:rPr>
              <w:t>3</w:t>
            </w:r>
          </w:p>
        </w:tc>
        <w:tc>
          <w:tcPr>
            <w:tcW w:w="1084"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雨</w:t>
            </w:r>
            <w:r>
              <w:rPr>
                <w:rStyle w:val="35"/>
                <w:rFonts w:hint="default"/>
                <w:color w:val="auto"/>
                <w:sz w:val="24"/>
                <w:szCs w:val="24"/>
                <w:highlight w:val="none"/>
              </w:rPr>
              <w:t>水排放口</w:t>
            </w:r>
          </w:p>
        </w:tc>
        <w:tc>
          <w:tcPr>
            <w:tcW w:w="957"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悬浮物</w:t>
            </w:r>
          </w:p>
        </w:tc>
        <w:tc>
          <w:tcPr>
            <w:tcW w:w="613"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手工</w:t>
            </w:r>
          </w:p>
        </w:tc>
        <w:tc>
          <w:tcPr>
            <w:tcW w:w="1792" w:type="dxa"/>
            <w:tcBorders>
              <w:tl2br w:val="nil"/>
              <w:tr2bl w:val="nil"/>
            </w:tcBorders>
            <w:shd w:val="clear" w:color="auto" w:fill="auto"/>
            <w:vAlign w:val="center"/>
          </w:tcPr>
          <w:p>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《污水综合排放标准（GB 8978-1996 ）》中表4其他排污单位的一级标准</w:t>
            </w:r>
          </w:p>
        </w:tc>
        <w:tc>
          <w:tcPr>
            <w:tcW w:w="1063" w:type="dxa"/>
            <w:tcBorders>
              <w:tl2br w:val="nil"/>
              <w:tr2bl w:val="nil"/>
            </w:tcBorders>
            <w:shd w:val="clear" w:color="auto" w:fill="auto"/>
            <w:vAlign w:val="center"/>
          </w:tcPr>
          <w:p>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70</w:t>
            </w:r>
            <w:r>
              <w:rPr>
                <w:rFonts w:hint="eastAsia" w:ascii="宋体" w:hAnsi="宋体" w:eastAsia="宋体" w:cs="宋体"/>
                <w:color w:val="auto"/>
                <w:highlight w:val="none"/>
              </w:rPr>
              <w:t>mg/L</w:t>
            </w:r>
          </w:p>
        </w:tc>
        <w:tc>
          <w:tcPr>
            <w:tcW w:w="1130" w:type="dxa"/>
            <w:tcBorders>
              <w:tl2br w:val="nil"/>
              <w:tr2bl w:val="nil"/>
            </w:tcBorders>
            <w:shd w:val="clear" w:color="auto" w:fill="auto"/>
            <w:vAlign w:val="center"/>
          </w:tcPr>
          <w:p>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5mg/L</w:t>
            </w:r>
          </w:p>
        </w:tc>
        <w:tc>
          <w:tcPr>
            <w:tcW w:w="538" w:type="dxa"/>
            <w:tcBorders>
              <w:tl2br w:val="nil"/>
              <w:tr2bl w:val="nil"/>
            </w:tcBorders>
            <w:shd w:val="clear" w:color="auto" w:fill="auto"/>
            <w:vAlign w:val="center"/>
          </w:tcPr>
          <w:p>
            <w:pPr>
              <w:jc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c>
          <w:tcPr>
            <w:tcW w:w="1068" w:type="dxa"/>
            <w:tcBorders>
              <w:tl2br w:val="nil"/>
              <w:tr2bl w:val="nil"/>
            </w:tcBorders>
            <w:shd w:val="clear" w:color="auto" w:fill="auto"/>
            <w:vAlign w:val="center"/>
          </w:tcPr>
          <w:p>
            <w:pPr>
              <w:jc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c>
          <w:tcPr>
            <w:tcW w:w="954" w:type="dxa"/>
            <w:tcBorders>
              <w:tl2br w:val="nil"/>
              <w:tr2bl w:val="nil"/>
            </w:tcBorders>
            <w:shd w:val="clear" w:color="auto" w:fill="auto"/>
            <w:vAlign w:val="center"/>
          </w:tcPr>
          <w:p>
            <w:pPr>
              <w:jc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c>
          <w:tcPr>
            <w:tcW w:w="1113" w:type="dxa"/>
            <w:tcBorders>
              <w:tl2br w:val="nil"/>
              <w:tr2bl w:val="nil"/>
            </w:tcBorders>
            <w:shd w:val="clear" w:color="auto" w:fill="auto"/>
            <w:vAlign w:val="center"/>
          </w:tcPr>
          <w:p>
            <w:pPr>
              <w:jc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c>
          <w:tcPr>
            <w:tcW w:w="1399"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xml:space="preserve">瞬时采样 </w:t>
            </w:r>
          </w:p>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1个瞬时样</w:t>
            </w:r>
          </w:p>
        </w:tc>
        <w:tc>
          <w:tcPr>
            <w:tcW w:w="711"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1次/月</w:t>
            </w:r>
          </w:p>
        </w:tc>
        <w:tc>
          <w:tcPr>
            <w:tcW w:w="1865"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《水质 悬浮物的测定 重量法》</w:t>
            </w:r>
          </w:p>
          <w:p>
            <w:pPr>
              <w:widowControl/>
              <w:jc w:val="center"/>
              <w:textAlignment w:val="center"/>
              <w:rPr>
                <w:rFonts w:ascii="宋体" w:hAnsi="宋体" w:eastAsia="宋体" w:cs="宋体"/>
                <w:color w:val="auto"/>
                <w:sz w:val="24"/>
                <w:szCs w:val="24"/>
                <w:highlight w:val="none"/>
              </w:rPr>
            </w:pPr>
            <w:r>
              <w:rPr>
                <w:rStyle w:val="30"/>
                <w:rFonts w:hint="eastAsia" w:ascii="宋体" w:hAnsi="宋体" w:eastAsia="宋体" w:cs="宋体"/>
                <w:color w:val="auto"/>
                <w:sz w:val="24"/>
                <w:szCs w:val="24"/>
                <w:highlight w:val="none"/>
              </w:rPr>
              <w:t>GB/T 11901-1989</w:t>
            </w:r>
          </w:p>
        </w:tc>
        <w:tc>
          <w:tcPr>
            <w:tcW w:w="956"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highlight w:val="none"/>
              </w:rPr>
            </w:pPr>
            <w:r>
              <w:rPr>
                <w:rStyle w:val="31"/>
                <w:rFonts w:hint="eastAsia" w:ascii="宋体" w:hAnsi="宋体" w:eastAsia="宋体" w:cs="宋体"/>
                <w:color w:val="auto"/>
                <w:sz w:val="24"/>
                <w:szCs w:val="24"/>
                <w:highlight w:val="none"/>
                <w:lang w:eastAsia="zh-CN"/>
              </w:rPr>
              <w:t>万分之一天平</w:t>
            </w:r>
          </w:p>
        </w:tc>
        <w:tc>
          <w:tcPr>
            <w:tcW w:w="1367"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p>
        </w:tc>
        <w:tc>
          <w:tcPr>
            <w:tcW w:w="1293" w:type="dxa"/>
            <w:tcBorders>
              <w:tl2br w:val="nil"/>
              <w:tr2bl w:val="nil"/>
            </w:tcBorders>
            <w:shd w:val="clear" w:color="auto" w:fill="auto"/>
            <w:vAlign w:val="center"/>
          </w:tcPr>
          <w:p>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下雨时开展手工监测</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1902" w:hRule="atLeast"/>
        </w:trPr>
        <w:tc>
          <w:tcPr>
            <w:tcW w:w="506"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32</w:t>
            </w:r>
          </w:p>
        </w:tc>
        <w:tc>
          <w:tcPr>
            <w:tcW w:w="813"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雨水</w:t>
            </w:r>
          </w:p>
        </w:tc>
        <w:tc>
          <w:tcPr>
            <w:tcW w:w="867"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DW00</w:t>
            </w:r>
            <w:r>
              <w:rPr>
                <w:rFonts w:ascii="宋体" w:hAnsi="宋体" w:eastAsia="宋体" w:cs="宋体"/>
                <w:color w:val="auto"/>
                <w:kern w:val="0"/>
                <w:sz w:val="24"/>
                <w:szCs w:val="24"/>
                <w:highlight w:val="none"/>
              </w:rPr>
              <w:t>3</w:t>
            </w:r>
          </w:p>
        </w:tc>
        <w:tc>
          <w:tcPr>
            <w:tcW w:w="1084"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雨</w:t>
            </w:r>
            <w:r>
              <w:rPr>
                <w:rStyle w:val="35"/>
                <w:rFonts w:hint="default"/>
                <w:color w:val="auto"/>
                <w:sz w:val="24"/>
                <w:szCs w:val="24"/>
                <w:highlight w:val="none"/>
              </w:rPr>
              <w:t>水排放口</w:t>
            </w:r>
          </w:p>
        </w:tc>
        <w:tc>
          <w:tcPr>
            <w:tcW w:w="957"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化学需氧量</w:t>
            </w:r>
          </w:p>
        </w:tc>
        <w:tc>
          <w:tcPr>
            <w:tcW w:w="613"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手工</w:t>
            </w:r>
          </w:p>
        </w:tc>
        <w:tc>
          <w:tcPr>
            <w:tcW w:w="1792" w:type="dxa"/>
            <w:tcBorders>
              <w:tl2br w:val="nil"/>
              <w:tr2bl w:val="nil"/>
            </w:tcBorders>
            <w:shd w:val="clear" w:color="auto" w:fill="auto"/>
            <w:vAlign w:val="center"/>
          </w:tcPr>
          <w:p>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《污水综合排放标准（GB 8978-1996 ）》中表4其他排污单位的一级标准</w:t>
            </w:r>
          </w:p>
        </w:tc>
        <w:tc>
          <w:tcPr>
            <w:tcW w:w="1063" w:type="dxa"/>
            <w:tcBorders>
              <w:tl2br w:val="nil"/>
              <w:tr2bl w:val="nil"/>
            </w:tcBorders>
            <w:shd w:val="clear" w:color="auto" w:fill="auto"/>
            <w:vAlign w:val="center"/>
          </w:tcPr>
          <w:p>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100</w:t>
            </w:r>
            <w:r>
              <w:rPr>
                <w:rFonts w:hint="eastAsia" w:ascii="宋体" w:hAnsi="宋体" w:eastAsia="宋体" w:cs="宋体"/>
                <w:color w:val="auto"/>
                <w:highlight w:val="none"/>
              </w:rPr>
              <w:t>mg/L</w:t>
            </w:r>
          </w:p>
        </w:tc>
        <w:tc>
          <w:tcPr>
            <w:tcW w:w="1130" w:type="dxa"/>
            <w:tcBorders>
              <w:tl2br w:val="nil"/>
              <w:tr2bl w:val="nil"/>
            </w:tcBorders>
            <w:shd w:val="clear" w:color="auto" w:fill="auto"/>
            <w:vAlign w:val="center"/>
          </w:tcPr>
          <w:p>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4mg/L</w:t>
            </w:r>
          </w:p>
        </w:tc>
        <w:tc>
          <w:tcPr>
            <w:tcW w:w="538" w:type="dxa"/>
            <w:tcBorders>
              <w:tl2br w:val="nil"/>
              <w:tr2bl w:val="nil"/>
            </w:tcBorders>
            <w:shd w:val="clear" w:color="auto" w:fill="auto"/>
            <w:vAlign w:val="center"/>
          </w:tcPr>
          <w:p>
            <w:pPr>
              <w:jc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c>
          <w:tcPr>
            <w:tcW w:w="1068" w:type="dxa"/>
            <w:tcBorders>
              <w:tl2br w:val="nil"/>
              <w:tr2bl w:val="nil"/>
            </w:tcBorders>
            <w:shd w:val="clear" w:color="auto" w:fill="auto"/>
            <w:vAlign w:val="center"/>
          </w:tcPr>
          <w:p>
            <w:pPr>
              <w:jc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c>
          <w:tcPr>
            <w:tcW w:w="954" w:type="dxa"/>
            <w:tcBorders>
              <w:tl2br w:val="nil"/>
              <w:tr2bl w:val="nil"/>
            </w:tcBorders>
            <w:shd w:val="clear" w:color="auto" w:fill="auto"/>
            <w:vAlign w:val="center"/>
          </w:tcPr>
          <w:p>
            <w:pPr>
              <w:jc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c>
          <w:tcPr>
            <w:tcW w:w="1113" w:type="dxa"/>
            <w:tcBorders>
              <w:tl2br w:val="nil"/>
              <w:tr2bl w:val="nil"/>
            </w:tcBorders>
            <w:shd w:val="clear" w:color="auto" w:fill="auto"/>
            <w:vAlign w:val="center"/>
          </w:tcPr>
          <w:p>
            <w:pPr>
              <w:jc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c>
          <w:tcPr>
            <w:tcW w:w="1399"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xml:space="preserve">瞬时采样 </w:t>
            </w:r>
          </w:p>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1个瞬时样</w:t>
            </w:r>
          </w:p>
        </w:tc>
        <w:tc>
          <w:tcPr>
            <w:tcW w:w="711"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1次/月</w:t>
            </w:r>
          </w:p>
        </w:tc>
        <w:tc>
          <w:tcPr>
            <w:tcW w:w="1865"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《水质 化学需氧量的测定 重铬酸盐法》</w:t>
            </w:r>
          </w:p>
          <w:p>
            <w:pPr>
              <w:widowControl/>
              <w:jc w:val="center"/>
              <w:textAlignment w:val="center"/>
              <w:rPr>
                <w:rFonts w:ascii="宋体" w:hAnsi="宋体" w:eastAsia="宋体" w:cs="宋体"/>
                <w:color w:val="auto"/>
                <w:sz w:val="24"/>
                <w:szCs w:val="24"/>
                <w:highlight w:val="none"/>
              </w:rPr>
            </w:pPr>
            <w:r>
              <w:rPr>
                <w:rStyle w:val="34"/>
                <w:rFonts w:hint="eastAsia" w:ascii="宋体" w:hAnsi="宋体" w:eastAsia="宋体" w:cs="宋体"/>
                <w:color w:val="auto"/>
                <w:sz w:val="24"/>
                <w:szCs w:val="24"/>
                <w:highlight w:val="none"/>
              </w:rPr>
              <w:t>HJ 828-2017</w:t>
            </w:r>
          </w:p>
        </w:tc>
        <w:tc>
          <w:tcPr>
            <w:tcW w:w="956"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highlight w:val="none"/>
              </w:rPr>
            </w:pPr>
            <w:r>
              <w:rPr>
                <w:rStyle w:val="31"/>
                <w:rFonts w:hint="eastAsia" w:ascii="宋体" w:hAnsi="宋体" w:eastAsia="宋体" w:cs="宋体"/>
                <w:color w:val="auto"/>
                <w:sz w:val="24"/>
                <w:szCs w:val="24"/>
                <w:highlight w:val="none"/>
              </w:rPr>
              <w:t>标准 COD消解仪</w:t>
            </w:r>
          </w:p>
        </w:tc>
        <w:tc>
          <w:tcPr>
            <w:tcW w:w="1367"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p>
        </w:tc>
        <w:tc>
          <w:tcPr>
            <w:tcW w:w="1293" w:type="dxa"/>
            <w:tcBorders>
              <w:tl2br w:val="nil"/>
              <w:tr2bl w:val="nil"/>
            </w:tcBorders>
            <w:shd w:val="clear" w:color="auto" w:fill="auto"/>
            <w:vAlign w:val="center"/>
          </w:tcPr>
          <w:p>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下雨时开展手工监测</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529" w:hRule="atLeast"/>
        </w:trPr>
        <w:tc>
          <w:tcPr>
            <w:tcW w:w="20089" w:type="dxa"/>
            <w:gridSpan w:val="19"/>
            <w:tcBorders>
              <w:tl2br w:val="nil"/>
              <w:tr2bl w:val="nil"/>
            </w:tcBorders>
            <w:shd w:val="clear" w:color="auto" w:fill="auto"/>
            <w:vAlign w:val="center"/>
          </w:tcPr>
          <w:p>
            <w:pPr>
              <w:widowControl/>
              <w:jc w:val="left"/>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注：雨水排放口有流动水排放时按月监测，如监测一年无异常情况，可放宽至每季度开展一次监测</w:t>
            </w:r>
          </w:p>
        </w:tc>
      </w:tr>
    </w:tbl>
    <w:p>
      <w:pPr>
        <w:adjustRightInd w:val="0"/>
        <w:snapToGrid w:val="0"/>
        <w:spacing w:beforeLines="80"/>
        <w:jc w:val="left"/>
        <w:rPr>
          <w:rFonts w:hint="default" w:ascii="宋体" w:hAnsi="宋体" w:eastAsia="宋体" w:cs="宋体"/>
          <w:color w:val="FF0000"/>
          <w:sz w:val="28"/>
          <w:szCs w:val="28"/>
          <w:highlight w:val="none"/>
          <w:lang w:val="en-US"/>
        </w:rPr>
        <w:sectPr>
          <w:pgSz w:w="23811" w:h="16838" w:orient="landscape"/>
          <w:pgMar w:top="1803" w:right="1440" w:bottom="1803" w:left="1440" w:header="851" w:footer="992" w:gutter="0"/>
          <w:cols w:space="0" w:num="1"/>
          <w:docGrid w:type="lines" w:linePitch="319" w:charSpace="0"/>
        </w:sectPr>
      </w:pPr>
      <w:r>
        <w:rPr>
          <w:rFonts w:hint="eastAsia" w:ascii="宋体" w:hAnsi="宋体" w:eastAsia="宋体" w:cs="宋体"/>
          <w:color w:val="auto"/>
          <w:sz w:val="24"/>
          <w:szCs w:val="24"/>
          <w:highlight w:val="none"/>
          <w:lang w:val="en-US" w:eastAsia="zh-CN"/>
        </w:rPr>
        <w:t xml:space="preserve">                                                                                                                                                                                                                                                                                                                                                                                                                                                                                                                                                                                                                                                                                                                                                                                                                                                                                                                                                                                                                                                                                                                                                     </w:t>
      </w:r>
    </w:p>
    <w:p>
      <w:pPr>
        <w:pStyle w:val="9"/>
        <w:spacing w:before="0" w:after="0" w:line="240" w:lineRule="auto"/>
        <w:jc w:val="both"/>
        <w:rPr>
          <w:rFonts w:ascii="宋体" w:hAnsi="宋体" w:eastAsia="宋体" w:cs="宋体"/>
          <w:b w:val="0"/>
          <w:bCs w:val="0"/>
          <w:sz w:val="28"/>
          <w:szCs w:val="28"/>
          <w:highlight w:val="none"/>
        </w:rPr>
      </w:pPr>
      <w:bookmarkStart w:id="2" w:name="SCLZXJCINFO"/>
      <w:r>
        <w:rPr>
          <w:rFonts w:hint="eastAsia" w:ascii="宋体" w:hAnsi="宋体" w:eastAsia="宋体" w:cs="宋体"/>
          <w:b w:val="0"/>
          <w:bCs w:val="0"/>
          <w:sz w:val="28"/>
          <w:szCs w:val="28"/>
          <w:highlight w:val="none"/>
        </w:rPr>
        <w:t>4、污泥监测方案（化验室的危废不填）</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15"/>
        <w:gridCol w:w="1320"/>
        <w:gridCol w:w="1482"/>
        <w:gridCol w:w="1998"/>
        <w:gridCol w:w="19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5" w:type="dxa"/>
          </w:tcPr>
          <w:p>
            <w:pPr>
              <w:rPr>
                <w:rFonts w:ascii="宋体" w:hAnsi="宋体" w:eastAsia="宋体" w:cs="宋体"/>
                <w:sz w:val="24"/>
                <w:szCs w:val="24"/>
                <w:highlight w:val="none"/>
              </w:rPr>
            </w:pPr>
            <w:r>
              <w:rPr>
                <w:rFonts w:hint="eastAsia" w:ascii="宋体" w:hAnsi="宋体" w:eastAsia="宋体" w:cs="宋体"/>
                <w:sz w:val="24"/>
                <w:szCs w:val="24"/>
                <w:highlight w:val="none"/>
              </w:rPr>
              <w:t>监测指标</w:t>
            </w:r>
          </w:p>
        </w:tc>
        <w:tc>
          <w:tcPr>
            <w:tcW w:w="1320" w:type="dxa"/>
          </w:tcPr>
          <w:p>
            <w:pPr>
              <w:rPr>
                <w:rFonts w:ascii="宋体" w:hAnsi="宋体" w:eastAsia="宋体" w:cs="宋体"/>
                <w:sz w:val="24"/>
                <w:szCs w:val="24"/>
                <w:highlight w:val="none"/>
              </w:rPr>
            </w:pPr>
            <w:r>
              <w:rPr>
                <w:rFonts w:hint="eastAsia" w:ascii="宋体" w:hAnsi="宋体" w:eastAsia="宋体" w:cs="宋体"/>
                <w:sz w:val="24"/>
                <w:szCs w:val="24"/>
                <w:highlight w:val="none"/>
              </w:rPr>
              <w:t>监测频次</w:t>
            </w:r>
          </w:p>
        </w:tc>
        <w:tc>
          <w:tcPr>
            <w:tcW w:w="1482" w:type="dxa"/>
          </w:tcPr>
          <w:p>
            <w:pPr>
              <w:rPr>
                <w:rFonts w:ascii="宋体" w:hAnsi="宋体" w:eastAsia="宋体" w:cs="宋体"/>
                <w:sz w:val="24"/>
                <w:szCs w:val="24"/>
                <w:highlight w:val="none"/>
              </w:rPr>
            </w:pPr>
            <w:r>
              <w:rPr>
                <w:rFonts w:hint="eastAsia" w:ascii="宋体" w:hAnsi="宋体" w:eastAsia="宋体" w:cs="宋体"/>
                <w:sz w:val="24"/>
                <w:szCs w:val="24"/>
                <w:highlight w:val="none"/>
              </w:rPr>
              <w:t>监测方式</w:t>
            </w:r>
          </w:p>
        </w:tc>
        <w:tc>
          <w:tcPr>
            <w:tcW w:w="1998" w:type="dxa"/>
          </w:tcPr>
          <w:p>
            <w:pPr>
              <w:rPr>
                <w:rFonts w:ascii="宋体" w:hAnsi="宋体" w:eastAsia="宋体" w:cs="宋体"/>
                <w:sz w:val="24"/>
                <w:szCs w:val="24"/>
                <w:highlight w:val="none"/>
              </w:rPr>
            </w:pPr>
            <w:r>
              <w:rPr>
                <w:rFonts w:hint="eastAsia" w:ascii="宋体" w:hAnsi="宋体" w:eastAsia="宋体" w:cs="宋体"/>
                <w:sz w:val="24"/>
                <w:szCs w:val="24"/>
                <w:highlight w:val="none"/>
              </w:rPr>
              <w:t>监测方法</w:t>
            </w:r>
          </w:p>
        </w:tc>
        <w:tc>
          <w:tcPr>
            <w:tcW w:w="1998" w:type="dxa"/>
          </w:tcPr>
          <w:p>
            <w:pPr>
              <w:rPr>
                <w:rFonts w:ascii="宋体" w:hAnsi="宋体" w:eastAsia="宋体" w:cs="宋体"/>
                <w:sz w:val="24"/>
                <w:szCs w:val="24"/>
                <w:highlight w:val="none"/>
              </w:rPr>
            </w:pPr>
            <w:r>
              <w:rPr>
                <w:rFonts w:hint="eastAsia" w:ascii="宋体" w:hAnsi="宋体" w:eastAsia="宋体" w:cs="宋体"/>
                <w:sz w:val="24"/>
                <w:szCs w:val="24"/>
                <w:highlight w:val="none"/>
              </w:rPr>
              <w:t>检测设备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5" w:type="dxa"/>
            <w:vAlign w:val="top"/>
          </w:tcPr>
          <w:p>
            <w:pPr>
              <w:rPr>
                <w:rFonts w:ascii="宋体" w:hAnsi="宋体" w:eastAsia="宋体" w:cs="宋体"/>
                <w:color w:val="FF0000"/>
                <w:sz w:val="24"/>
                <w:szCs w:val="24"/>
                <w:highlight w:val="none"/>
              </w:rPr>
            </w:pPr>
            <w:r>
              <w:rPr>
                <w:rFonts w:hint="eastAsia" w:ascii="宋体" w:hAnsi="宋体" w:eastAsia="宋体" w:cs="宋体"/>
                <w:color w:val="auto"/>
                <w:sz w:val="24"/>
                <w:szCs w:val="24"/>
                <w:highlight w:val="none"/>
                <w:shd w:val="clear" w:color="auto" w:fill="auto"/>
              </w:rPr>
              <w:t>含水率（≤</w:t>
            </w:r>
            <w:r>
              <w:rPr>
                <w:rFonts w:hint="eastAsia" w:ascii="宋体" w:hAnsi="宋体" w:eastAsia="宋体" w:cs="宋体"/>
                <w:color w:val="auto"/>
                <w:sz w:val="24"/>
                <w:szCs w:val="24"/>
                <w:highlight w:val="none"/>
                <w:shd w:val="clear" w:color="auto" w:fill="auto"/>
                <w:lang w:val="en-US" w:eastAsia="zh-CN"/>
              </w:rPr>
              <w:t>60</w:t>
            </w:r>
            <w:r>
              <w:rPr>
                <w:rFonts w:hint="eastAsia" w:ascii="宋体" w:hAnsi="宋体" w:eastAsia="宋体" w:cs="宋体"/>
                <w:color w:val="auto"/>
                <w:sz w:val="24"/>
                <w:szCs w:val="24"/>
                <w:highlight w:val="none"/>
                <w:shd w:val="clear" w:color="auto" w:fill="auto"/>
              </w:rPr>
              <w:t>%）</w:t>
            </w:r>
          </w:p>
        </w:tc>
        <w:tc>
          <w:tcPr>
            <w:tcW w:w="1320" w:type="dxa"/>
            <w:vAlign w:val="center"/>
          </w:tcPr>
          <w:p>
            <w:pPr>
              <w:jc w:val="left"/>
              <w:rPr>
                <w:rFonts w:ascii="宋体" w:hAnsi="宋体" w:eastAsia="宋体" w:cs="宋体"/>
                <w:color w:val="FF0000"/>
                <w:sz w:val="24"/>
                <w:szCs w:val="24"/>
                <w:highlight w:val="none"/>
              </w:rPr>
            </w:pPr>
            <w:r>
              <w:rPr>
                <w:rFonts w:hint="eastAsia" w:ascii="宋体" w:hAnsi="宋体" w:eastAsia="宋体" w:cs="宋体"/>
                <w:color w:val="auto"/>
                <w:sz w:val="24"/>
                <w:szCs w:val="24"/>
              </w:rPr>
              <w:t>1次/日</w:t>
            </w:r>
            <w:r>
              <w:rPr>
                <w:rFonts w:hint="eastAsia" w:ascii="宋体" w:hAnsi="宋体" w:eastAsia="宋体" w:cs="宋体"/>
                <w:color w:val="auto"/>
                <w:sz w:val="24"/>
                <w:szCs w:val="24"/>
                <w:lang w:eastAsia="zh-CN"/>
              </w:rPr>
              <w:t>（正常排泥时开展检测）</w:t>
            </w:r>
          </w:p>
        </w:tc>
        <w:tc>
          <w:tcPr>
            <w:tcW w:w="1482" w:type="dxa"/>
            <w:vAlign w:val="top"/>
          </w:tcPr>
          <w:p>
            <w:pPr>
              <w:rPr>
                <w:rFonts w:ascii="宋体" w:hAnsi="宋体" w:eastAsia="宋体" w:cs="宋体"/>
                <w:color w:val="FF0000"/>
                <w:sz w:val="24"/>
                <w:szCs w:val="24"/>
                <w:highlight w:val="none"/>
              </w:rPr>
            </w:pPr>
            <w:r>
              <w:rPr>
                <w:rFonts w:hint="eastAsia" w:ascii="宋体" w:hAnsi="宋体" w:eastAsia="宋体" w:cs="宋体"/>
                <w:color w:val="auto"/>
                <w:sz w:val="24"/>
                <w:szCs w:val="24"/>
                <w:highlight w:val="none"/>
                <w:shd w:val="clear" w:color="auto" w:fill="auto"/>
              </w:rPr>
              <w:t>手工</w:t>
            </w:r>
          </w:p>
        </w:tc>
        <w:tc>
          <w:tcPr>
            <w:tcW w:w="1998" w:type="dxa"/>
            <w:vAlign w:val="top"/>
          </w:tcPr>
          <w:p>
            <w:pPr>
              <w:rPr>
                <w:rFonts w:ascii="宋体" w:hAnsi="宋体" w:eastAsia="宋体" w:cs="宋体"/>
                <w:color w:val="FF0000"/>
                <w:sz w:val="24"/>
                <w:szCs w:val="24"/>
                <w:highlight w:val="none"/>
              </w:rPr>
            </w:pPr>
            <w:r>
              <w:rPr>
                <w:rFonts w:hint="eastAsia" w:ascii="宋体" w:hAnsi="宋体" w:eastAsia="宋体" w:cs="宋体"/>
                <w:color w:val="auto"/>
                <w:sz w:val="24"/>
                <w:szCs w:val="24"/>
                <w:highlight w:val="none"/>
                <w:shd w:val="clear" w:color="auto" w:fill="auto"/>
              </w:rPr>
              <w:t>重量法CJ/T 221-2005\1项</w:t>
            </w:r>
          </w:p>
        </w:tc>
        <w:tc>
          <w:tcPr>
            <w:tcW w:w="1998" w:type="dxa"/>
            <w:vAlign w:val="top"/>
          </w:tcPr>
          <w:p>
            <w:pPr>
              <w:rPr>
                <w:rFonts w:ascii="宋体" w:hAnsi="宋体" w:eastAsia="宋体" w:cs="宋体"/>
                <w:color w:val="FF0000"/>
                <w:sz w:val="24"/>
                <w:szCs w:val="24"/>
                <w:highlight w:val="none"/>
              </w:rPr>
            </w:pPr>
            <w:r>
              <w:rPr>
                <w:rFonts w:hint="eastAsia" w:ascii="宋体" w:hAnsi="宋体" w:eastAsia="宋体" w:cs="宋体"/>
                <w:color w:val="auto"/>
                <w:sz w:val="24"/>
                <w:szCs w:val="24"/>
                <w:highlight w:val="none"/>
                <w:shd w:val="clear" w:color="auto" w:fill="auto"/>
              </w:rPr>
              <w:t>千分之一电子天平</w:t>
            </w:r>
          </w:p>
        </w:tc>
      </w:tr>
    </w:tbl>
    <w:p>
      <w:pPr>
        <w:rPr>
          <w:highlight w:val="none"/>
        </w:rPr>
      </w:pPr>
    </w:p>
    <w:p>
      <w:pPr>
        <w:pStyle w:val="9"/>
        <w:numPr>
          <w:ilvl w:val="0"/>
          <w:numId w:val="3"/>
        </w:numPr>
        <w:spacing w:before="0" w:after="0" w:line="240" w:lineRule="auto"/>
        <w:jc w:val="both"/>
        <w:rPr>
          <w:rFonts w:ascii="宋体" w:hAnsi="宋体" w:eastAsia="宋体" w:cs="宋体"/>
          <w:b w:val="0"/>
          <w:bCs w:val="0"/>
          <w:sz w:val="28"/>
          <w:szCs w:val="28"/>
          <w:highlight w:val="none"/>
        </w:rPr>
      </w:pPr>
      <w:r>
        <w:rPr>
          <w:rFonts w:hint="eastAsia" w:ascii="宋体" w:hAnsi="宋体" w:eastAsia="宋体" w:cs="宋体"/>
          <w:b w:val="0"/>
          <w:bCs w:val="0"/>
          <w:sz w:val="28"/>
          <w:szCs w:val="28"/>
          <w:highlight w:val="none"/>
        </w:rPr>
        <w:t>周边环境监测方案</w:t>
      </w:r>
    </w:p>
    <w:tbl>
      <w:tblPr>
        <w:tblStyle w:val="13"/>
        <w:tblpPr w:leftFromText="180" w:rightFromText="180" w:vertAnchor="text" w:horzAnchor="page" w:tblpX="676" w:tblpY="155"/>
        <w:tblOverlap w:val="never"/>
        <w:tblW w:w="111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02"/>
        <w:gridCol w:w="963"/>
        <w:gridCol w:w="1290"/>
        <w:gridCol w:w="1065"/>
        <w:gridCol w:w="1125"/>
        <w:gridCol w:w="1952"/>
        <w:gridCol w:w="25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blHeader/>
        </w:trPr>
        <w:tc>
          <w:tcPr>
            <w:tcW w:w="2202" w:type="dxa"/>
            <w:vAlign w:val="center"/>
          </w:tcPr>
          <w:p>
            <w:pPr>
              <w:jc w:val="center"/>
              <w:rPr>
                <w:rFonts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监测点位</w:t>
            </w:r>
          </w:p>
        </w:tc>
        <w:tc>
          <w:tcPr>
            <w:tcW w:w="963" w:type="dxa"/>
            <w:vAlign w:val="center"/>
          </w:tcPr>
          <w:p>
            <w:pPr>
              <w:jc w:val="center"/>
              <w:rPr>
                <w:rFonts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监测指标</w:t>
            </w:r>
          </w:p>
        </w:tc>
        <w:tc>
          <w:tcPr>
            <w:tcW w:w="1290" w:type="dxa"/>
            <w:vAlign w:val="center"/>
          </w:tcPr>
          <w:p>
            <w:pPr>
              <w:jc w:val="center"/>
              <w:rPr>
                <w:rFonts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排放限值</w:t>
            </w:r>
          </w:p>
        </w:tc>
        <w:tc>
          <w:tcPr>
            <w:tcW w:w="1065" w:type="dxa"/>
            <w:vAlign w:val="center"/>
          </w:tcPr>
          <w:p>
            <w:pPr>
              <w:jc w:val="center"/>
              <w:rPr>
                <w:rFonts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监测方式</w:t>
            </w:r>
          </w:p>
        </w:tc>
        <w:tc>
          <w:tcPr>
            <w:tcW w:w="1125" w:type="dxa"/>
            <w:vAlign w:val="center"/>
          </w:tcPr>
          <w:p>
            <w:pPr>
              <w:jc w:val="center"/>
              <w:rPr>
                <w:rFonts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监测频次</w:t>
            </w:r>
          </w:p>
        </w:tc>
        <w:tc>
          <w:tcPr>
            <w:tcW w:w="1952" w:type="dxa"/>
            <w:vAlign w:val="center"/>
          </w:tcPr>
          <w:p>
            <w:pPr>
              <w:jc w:val="center"/>
              <w:rPr>
                <w:rFonts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监测仪器</w:t>
            </w:r>
          </w:p>
        </w:tc>
        <w:tc>
          <w:tcPr>
            <w:tcW w:w="2518" w:type="dxa"/>
            <w:vAlign w:val="center"/>
          </w:tcPr>
          <w:p>
            <w:pPr>
              <w:jc w:val="center"/>
              <w:rPr>
                <w:rFonts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监测方法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trPr>
        <w:tc>
          <w:tcPr>
            <w:tcW w:w="2202" w:type="dxa"/>
            <w:vAlign w:val="center"/>
          </w:tcPr>
          <w:p>
            <w:pPr>
              <w:jc w:val="both"/>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auto"/>
                <w:kern w:val="0"/>
                <w:sz w:val="24"/>
                <w:szCs w:val="24"/>
                <w:highlight w:val="none"/>
                <w:shd w:val="clear" w:color="auto" w:fill="auto"/>
              </w:rPr>
              <w:t>地表水（</w:t>
            </w:r>
            <w:r>
              <w:rPr>
                <w:rFonts w:hint="eastAsia" w:ascii="宋体" w:hAnsi="宋体" w:eastAsia="宋体" w:cs="Times New Roman"/>
                <w:color w:val="auto"/>
                <w:kern w:val="0"/>
                <w:sz w:val="24"/>
                <w:szCs w:val="24"/>
                <w:highlight w:val="none"/>
                <w:shd w:val="clear" w:color="auto" w:fill="auto"/>
                <w:lang w:val="en-US" w:eastAsia="zh-CN"/>
              </w:rPr>
              <w:t>马蹄河</w:t>
            </w:r>
            <w:r>
              <w:rPr>
                <w:rFonts w:hint="eastAsia" w:ascii="宋体" w:hAnsi="宋体" w:eastAsia="宋体" w:cs="Times New Roman"/>
                <w:color w:val="auto"/>
                <w:kern w:val="0"/>
                <w:sz w:val="24"/>
                <w:szCs w:val="24"/>
                <w:highlight w:val="none"/>
                <w:shd w:val="clear" w:color="auto" w:fill="auto"/>
              </w:rPr>
              <w:t>）</w:t>
            </w:r>
            <w:r>
              <w:rPr>
                <w:rFonts w:ascii="宋体" w:hAnsi="宋体" w:eastAsia="宋体" w:cs="Times New Roman"/>
                <w:color w:val="auto"/>
                <w:kern w:val="0"/>
                <w:sz w:val="24"/>
                <w:szCs w:val="24"/>
                <w:highlight w:val="none"/>
                <w:shd w:val="clear" w:color="auto" w:fill="auto"/>
              </w:rPr>
              <w:t>上游0.5km</w:t>
            </w:r>
          </w:p>
        </w:tc>
        <w:tc>
          <w:tcPr>
            <w:tcW w:w="963" w:type="dxa"/>
            <w:vMerge w:val="restart"/>
            <w:vAlign w:val="center"/>
          </w:tcPr>
          <w:p>
            <w:pPr>
              <w:jc w:val="center"/>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pH值</w:t>
            </w:r>
          </w:p>
        </w:tc>
        <w:tc>
          <w:tcPr>
            <w:tcW w:w="1290" w:type="dxa"/>
            <w:vMerge w:val="restart"/>
            <w:vAlign w:val="center"/>
          </w:tcPr>
          <w:p>
            <w:pPr>
              <w:jc w:val="center"/>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6-9</w:t>
            </w:r>
          </w:p>
        </w:tc>
        <w:tc>
          <w:tcPr>
            <w:tcW w:w="1065" w:type="dxa"/>
            <w:vMerge w:val="restart"/>
            <w:vAlign w:val="center"/>
          </w:tcPr>
          <w:p>
            <w:pPr>
              <w:jc w:val="center"/>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手工</w:t>
            </w:r>
          </w:p>
        </w:tc>
        <w:tc>
          <w:tcPr>
            <w:tcW w:w="1125" w:type="dxa"/>
            <w:vMerge w:val="restart"/>
            <w:vAlign w:val="center"/>
          </w:tcPr>
          <w:p>
            <w:pPr>
              <w:jc w:val="center"/>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3次/年</w:t>
            </w:r>
          </w:p>
        </w:tc>
        <w:tc>
          <w:tcPr>
            <w:tcW w:w="1952" w:type="dxa"/>
            <w:vMerge w:val="restart"/>
            <w:vAlign w:val="center"/>
          </w:tcPr>
          <w:p>
            <w:pPr>
              <w:jc w:val="center"/>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便携式多参数分析仪</w:t>
            </w:r>
          </w:p>
        </w:tc>
        <w:tc>
          <w:tcPr>
            <w:tcW w:w="2518" w:type="dxa"/>
            <w:vMerge w:val="restart"/>
            <w:vAlign w:val="center"/>
          </w:tcPr>
          <w:p>
            <w:pPr>
              <w:jc w:val="center"/>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水质 pH值的测定 电极法</w:t>
            </w:r>
          </w:p>
          <w:p>
            <w:pPr>
              <w:jc w:val="center"/>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HJ 1147-2020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trPr>
        <w:tc>
          <w:tcPr>
            <w:tcW w:w="2202" w:type="dxa"/>
            <w:vAlign w:val="center"/>
          </w:tcPr>
          <w:p>
            <w:pPr>
              <w:jc w:val="center"/>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auto"/>
                <w:kern w:val="0"/>
                <w:sz w:val="24"/>
                <w:szCs w:val="24"/>
                <w:highlight w:val="none"/>
                <w:shd w:val="clear" w:color="auto" w:fill="auto"/>
              </w:rPr>
              <w:t>地表水（</w:t>
            </w:r>
            <w:r>
              <w:rPr>
                <w:rFonts w:hint="eastAsia" w:ascii="宋体" w:hAnsi="宋体" w:eastAsia="宋体" w:cs="Times New Roman"/>
                <w:color w:val="auto"/>
                <w:kern w:val="0"/>
                <w:sz w:val="24"/>
                <w:szCs w:val="24"/>
                <w:highlight w:val="none"/>
                <w:shd w:val="clear" w:color="auto" w:fill="auto"/>
                <w:lang w:val="en-US" w:eastAsia="zh-CN"/>
              </w:rPr>
              <w:t>马蹄河</w:t>
            </w:r>
            <w:r>
              <w:rPr>
                <w:rFonts w:hint="eastAsia" w:ascii="宋体" w:hAnsi="宋体" w:eastAsia="宋体" w:cs="Times New Roman"/>
                <w:color w:val="auto"/>
                <w:kern w:val="0"/>
                <w:sz w:val="24"/>
                <w:szCs w:val="24"/>
                <w:highlight w:val="none"/>
                <w:shd w:val="clear" w:color="auto" w:fill="auto"/>
              </w:rPr>
              <w:t>）下游1.5km）</w:t>
            </w:r>
          </w:p>
        </w:tc>
        <w:tc>
          <w:tcPr>
            <w:tcW w:w="963" w:type="dxa"/>
            <w:vMerge w:val="continue"/>
            <w:vAlign w:val="center"/>
          </w:tcPr>
          <w:p>
            <w:pPr>
              <w:jc w:val="center"/>
              <w:rPr>
                <w:rFonts w:hint="eastAsia" w:ascii="宋体" w:hAnsi="宋体" w:eastAsia="宋体" w:cs="宋体"/>
                <w:color w:val="000000" w:themeColor="text1"/>
                <w:kern w:val="0"/>
                <w:sz w:val="24"/>
                <w:szCs w:val="24"/>
                <w14:textFill>
                  <w14:solidFill>
                    <w14:schemeClr w14:val="tx1"/>
                  </w14:solidFill>
                </w14:textFill>
              </w:rPr>
            </w:pPr>
          </w:p>
        </w:tc>
        <w:tc>
          <w:tcPr>
            <w:tcW w:w="1290" w:type="dxa"/>
            <w:vMerge w:val="continue"/>
            <w:vAlign w:val="center"/>
          </w:tcPr>
          <w:p>
            <w:pPr>
              <w:jc w:val="center"/>
              <w:rPr>
                <w:rFonts w:hint="eastAsia" w:ascii="宋体" w:hAnsi="宋体" w:eastAsia="宋体" w:cs="宋体"/>
                <w:color w:val="000000" w:themeColor="text1"/>
                <w:kern w:val="0"/>
                <w:sz w:val="24"/>
                <w:szCs w:val="24"/>
                <w14:textFill>
                  <w14:solidFill>
                    <w14:schemeClr w14:val="tx1"/>
                  </w14:solidFill>
                </w14:textFill>
              </w:rPr>
            </w:pPr>
          </w:p>
        </w:tc>
        <w:tc>
          <w:tcPr>
            <w:tcW w:w="1065" w:type="dxa"/>
            <w:vMerge w:val="continue"/>
            <w:vAlign w:val="center"/>
          </w:tcPr>
          <w:p>
            <w:pPr>
              <w:jc w:val="center"/>
              <w:rPr>
                <w:rFonts w:hint="eastAsia" w:ascii="宋体" w:hAnsi="宋体" w:eastAsia="宋体" w:cs="宋体"/>
                <w:color w:val="000000" w:themeColor="text1"/>
                <w:kern w:val="0"/>
                <w:sz w:val="24"/>
                <w:szCs w:val="24"/>
                <w14:textFill>
                  <w14:solidFill>
                    <w14:schemeClr w14:val="tx1"/>
                  </w14:solidFill>
                </w14:textFill>
              </w:rPr>
            </w:pPr>
          </w:p>
        </w:tc>
        <w:tc>
          <w:tcPr>
            <w:tcW w:w="1125" w:type="dxa"/>
            <w:vMerge w:val="continue"/>
            <w:vAlign w:val="center"/>
          </w:tcPr>
          <w:p>
            <w:pPr>
              <w:jc w:val="center"/>
              <w:rPr>
                <w:rFonts w:hint="eastAsia" w:ascii="宋体" w:hAnsi="宋体" w:eastAsia="宋体" w:cs="宋体"/>
                <w:color w:val="000000" w:themeColor="text1"/>
                <w:kern w:val="0"/>
                <w:sz w:val="24"/>
                <w:szCs w:val="24"/>
                <w14:textFill>
                  <w14:solidFill>
                    <w14:schemeClr w14:val="tx1"/>
                  </w14:solidFill>
                </w14:textFill>
              </w:rPr>
            </w:pPr>
          </w:p>
        </w:tc>
        <w:tc>
          <w:tcPr>
            <w:tcW w:w="1952" w:type="dxa"/>
            <w:vMerge w:val="continue"/>
            <w:vAlign w:val="center"/>
          </w:tcPr>
          <w:p>
            <w:pPr>
              <w:jc w:val="center"/>
              <w:rPr>
                <w:rFonts w:hint="eastAsia" w:ascii="宋体" w:hAnsi="宋体" w:eastAsia="宋体" w:cs="宋体"/>
                <w:color w:val="000000" w:themeColor="text1"/>
                <w:kern w:val="0"/>
                <w:sz w:val="24"/>
                <w:szCs w:val="24"/>
                <w14:textFill>
                  <w14:solidFill>
                    <w14:schemeClr w14:val="tx1"/>
                  </w14:solidFill>
                </w14:textFill>
              </w:rPr>
            </w:pPr>
          </w:p>
        </w:tc>
        <w:tc>
          <w:tcPr>
            <w:tcW w:w="2518" w:type="dxa"/>
            <w:vMerge w:val="continue"/>
            <w:vAlign w:val="center"/>
          </w:tcPr>
          <w:p>
            <w:pPr>
              <w:jc w:val="center"/>
              <w:rPr>
                <w:rFonts w:hint="eastAsia" w:ascii="宋体" w:hAnsi="宋体" w:eastAsia="宋体" w:cs="宋体"/>
                <w:color w:val="000000" w:themeColor="text1"/>
                <w:kern w:val="0"/>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trPr>
        <w:tc>
          <w:tcPr>
            <w:tcW w:w="2202" w:type="dxa"/>
            <w:vAlign w:val="center"/>
          </w:tcPr>
          <w:p>
            <w:pPr>
              <w:jc w:val="both"/>
              <w:rPr>
                <w:rFonts w:ascii="宋体" w:hAnsi="宋体" w:eastAsia="宋体" w:cs="Times New Roman"/>
                <w:color w:val="000000" w:themeColor="text1"/>
                <w:kern w:val="0"/>
                <w:sz w:val="24"/>
                <w:szCs w:val="24"/>
                <w14:textFill>
                  <w14:solidFill>
                    <w14:schemeClr w14:val="tx1"/>
                  </w14:solidFill>
                </w14:textFill>
              </w:rPr>
            </w:pPr>
            <w:r>
              <w:rPr>
                <w:rFonts w:hint="eastAsia" w:ascii="宋体" w:hAnsi="宋体" w:eastAsia="宋体" w:cs="宋体"/>
                <w:color w:val="auto"/>
                <w:kern w:val="0"/>
                <w:sz w:val="24"/>
                <w:szCs w:val="24"/>
                <w:highlight w:val="none"/>
                <w:shd w:val="clear" w:color="auto" w:fill="auto"/>
              </w:rPr>
              <w:t>地表水（</w:t>
            </w:r>
            <w:r>
              <w:rPr>
                <w:rFonts w:hint="eastAsia" w:ascii="宋体" w:hAnsi="宋体" w:eastAsia="宋体" w:cs="Times New Roman"/>
                <w:color w:val="auto"/>
                <w:kern w:val="0"/>
                <w:sz w:val="24"/>
                <w:szCs w:val="24"/>
                <w:highlight w:val="none"/>
                <w:shd w:val="clear" w:color="auto" w:fill="auto"/>
                <w:lang w:val="en-US" w:eastAsia="zh-CN"/>
              </w:rPr>
              <w:t>马蹄河</w:t>
            </w:r>
            <w:r>
              <w:rPr>
                <w:rFonts w:hint="eastAsia" w:ascii="宋体" w:hAnsi="宋体" w:eastAsia="宋体" w:cs="Times New Roman"/>
                <w:color w:val="auto"/>
                <w:kern w:val="0"/>
                <w:sz w:val="24"/>
                <w:szCs w:val="24"/>
                <w:highlight w:val="none"/>
                <w:shd w:val="clear" w:color="auto" w:fill="auto"/>
              </w:rPr>
              <w:t>）</w:t>
            </w:r>
            <w:r>
              <w:rPr>
                <w:rFonts w:ascii="宋体" w:hAnsi="宋体" w:eastAsia="宋体" w:cs="Times New Roman"/>
                <w:color w:val="auto"/>
                <w:kern w:val="0"/>
                <w:sz w:val="24"/>
                <w:szCs w:val="24"/>
                <w:highlight w:val="none"/>
                <w:shd w:val="clear" w:color="auto" w:fill="auto"/>
              </w:rPr>
              <w:t>上游0.5km</w:t>
            </w:r>
          </w:p>
        </w:tc>
        <w:tc>
          <w:tcPr>
            <w:tcW w:w="963" w:type="dxa"/>
            <w:vMerge w:val="restart"/>
            <w:vAlign w:val="center"/>
          </w:tcPr>
          <w:p>
            <w:pPr>
              <w:jc w:val="center"/>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悬浮物</w:t>
            </w:r>
          </w:p>
        </w:tc>
        <w:tc>
          <w:tcPr>
            <w:tcW w:w="1290" w:type="dxa"/>
            <w:vMerge w:val="restart"/>
            <w:vAlign w:val="center"/>
          </w:tcPr>
          <w:p>
            <w:pPr>
              <w:jc w:val="center"/>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w:t>
            </w:r>
          </w:p>
        </w:tc>
        <w:tc>
          <w:tcPr>
            <w:tcW w:w="1065" w:type="dxa"/>
            <w:vMerge w:val="restart"/>
            <w:vAlign w:val="center"/>
          </w:tcPr>
          <w:p>
            <w:pPr>
              <w:jc w:val="center"/>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手工</w:t>
            </w:r>
          </w:p>
        </w:tc>
        <w:tc>
          <w:tcPr>
            <w:tcW w:w="1125" w:type="dxa"/>
            <w:vMerge w:val="restart"/>
            <w:vAlign w:val="center"/>
          </w:tcPr>
          <w:p>
            <w:pPr>
              <w:jc w:val="center"/>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3次/年</w:t>
            </w:r>
          </w:p>
        </w:tc>
        <w:tc>
          <w:tcPr>
            <w:tcW w:w="1952" w:type="dxa"/>
            <w:vMerge w:val="restart"/>
            <w:vAlign w:val="center"/>
          </w:tcPr>
          <w:p>
            <w:pPr>
              <w:jc w:val="center"/>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电子天平</w:t>
            </w:r>
          </w:p>
        </w:tc>
        <w:tc>
          <w:tcPr>
            <w:tcW w:w="2518" w:type="dxa"/>
            <w:vMerge w:val="restart"/>
            <w:vAlign w:val="center"/>
          </w:tcPr>
          <w:p>
            <w:pPr>
              <w:jc w:val="center"/>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水质 悬浮物的测定 重量法</w:t>
            </w:r>
          </w:p>
          <w:p>
            <w:pPr>
              <w:jc w:val="center"/>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GB 11901-89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trPr>
        <w:tc>
          <w:tcPr>
            <w:tcW w:w="2202" w:type="dxa"/>
            <w:vAlign w:val="center"/>
          </w:tcPr>
          <w:p>
            <w:pPr>
              <w:jc w:val="center"/>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auto"/>
                <w:kern w:val="0"/>
                <w:sz w:val="24"/>
                <w:szCs w:val="24"/>
                <w:highlight w:val="none"/>
                <w:shd w:val="clear" w:color="auto" w:fill="auto"/>
              </w:rPr>
              <w:t>地表水（</w:t>
            </w:r>
            <w:r>
              <w:rPr>
                <w:rFonts w:hint="eastAsia" w:ascii="宋体" w:hAnsi="宋体" w:eastAsia="宋体" w:cs="Times New Roman"/>
                <w:color w:val="auto"/>
                <w:kern w:val="0"/>
                <w:sz w:val="24"/>
                <w:szCs w:val="24"/>
                <w:highlight w:val="none"/>
                <w:shd w:val="clear" w:color="auto" w:fill="auto"/>
                <w:lang w:val="en-US" w:eastAsia="zh-CN"/>
              </w:rPr>
              <w:t>马蹄河</w:t>
            </w:r>
            <w:r>
              <w:rPr>
                <w:rFonts w:hint="eastAsia" w:ascii="宋体" w:hAnsi="宋体" w:eastAsia="宋体" w:cs="Times New Roman"/>
                <w:color w:val="auto"/>
                <w:kern w:val="0"/>
                <w:sz w:val="24"/>
                <w:szCs w:val="24"/>
                <w:highlight w:val="none"/>
                <w:shd w:val="clear" w:color="auto" w:fill="auto"/>
              </w:rPr>
              <w:t>）下游1.5km）</w:t>
            </w:r>
          </w:p>
        </w:tc>
        <w:tc>
          <w:tcPr>
            <w:tcW w:w="963" w:type="dxa"/>
            <w:vMerge w:val="continue"/>
            <w:vAlign w:val="center"/>
          </w:tcPr>
          <w:p>
            <w:pPr>
              <w:jc w:val="center"/>
              <w:rPr>
                <w:rFonts w:hint="eastAsia" w:ascii="宋体" w:hAnsi="宋体" w:eastAsia="宋体" w:cs="宋体"/>
                <w:color w:val="000000" w:themeColor="text1"/>
                <w:kern w:val="0"/>
                <w:sz w:val="24"/>
                <w:szCs w:val="24"/>
                <w14:textFill>
                  <w14:solidFill>
                    <w14:schemeClr w14:val="tx1"/>
                  </w14:solidFill>
                </w14:textFill>
              </w:rPr>
            </w:pPr>
          </w:p>
        </w:tc>
        <w:tc>
          <w:tcPr>
            <w:tcW w:w="1290" w:type="dxa"/>
            <w:vMerge w:val="continue"/>
            <w:vAlign w:val="center"/>
          </w:tcPr>
          <w:p>
            <w:pPr>
              <w:jc w:val="center"/>
              <w:rPr>
                <w:rFonts w:hint="eastAsia" w:ascii="宋体" w:hAnsi="宋体" w:eastAsia="宋体" w:cs="宋体"/>
                <w:color w:val="000000" w:themeColor="text1"/>
                <w:kern w:val="0"/>
                <w:sz w:val="24"/>
                <w:szCs w:val="24"/>
                <w14:textFill>
                  <w14:solidFill>
                    <w14:schemeClr w14:val="tx1"/>
                  </w14:solidFill>
                </w14:textFill>
              </w:rPr>
            </w:pPr>
          </w:p>
        </w:tc>
        <w:tc>
          <w:tcPr>
            <w:tcW w:w="1065" w:type="dxa"/>
            <w:vMerge w:val="continue"/>
            <w:vAlign w:val="center"/>
          </w:tcPr>
          <w:p>
            <w:pPr>
              <w:jc w:val="center"/>
              <w:rPr>
                <w:rFonts w:hint="eastAsia" w:ascii="宋体" w:hAnsi="宋体" w:eastAsia="宋体" w:cs="宋体"/>
                <w:color w:val="000000" w:themeColor="text1"/>
                <w:kern w:val="0"/>
                <w:sz w:val="24"/>
                <w:szCs w:val="24"/>
                <w14:textFill>
                  <w14:solidFill>
                    <w14:schemeClr w14:val="tx1"/>
                  </w14:solidFill>
                </w14:textFill>
              </w:rPr>
            </w:pPr>
          </w:p>
        </w:tc>
        <w:tc>
          <w:tcPr>
            <w:tcW w:w="1125" w:type="dxa"/>
            <w:vMerge w:val="continue"/>
            <w:vAlign w:val="center"/>
          </w:tcPr>
          <w:p>
            <w:pPr>
              <w:jc w:val="center"/>
              <w:rPr>
                <w:rFonts w:hint="eastAsia" w:ascii="宋体" w:hAnsi="宋体" w:eastAsia="宋体" w:cs="宋体"/>
                <w:color w:val="000000" w:themeColor="text1"/>
                <w:kern w:val="0"/>
                <w:sz w:val="24"/>
                <w:szCs w:val="24"/>
                <w14:textFill>
                  <w14:solidFill>
                    <w14:schemeClr w14:val="tx1"/>
                  </w14:solidFill>
                </w14:textFill>
              </w:rPr>
            </w:pPr>
          </w:p>
        </w:tc>
        <w:tc>
          <w:tcPr>
            <w:tcW w:w="1952" w:type="dxa"/>
            <w:vMerge w:val="continue"/>
            <w:vAlign w:val="center"/>
          </w:tcPr>
          <w:p>
            <w:pPr>
              <w:jc w:val="center"/>
              <w:rPr>
                <w:rFonts w:hint="eastAsia" w:ascii="宋体" w:hAnsi="宋体" w:eastAsia="宋体" w:cs="宋体"/>
                <w:color w:val="000000" w:themeColor="text1"/>
                <w:kern w:val="0"/>
                <w:sz w:val="24"/>
                <w:szCs w:val="24"/>
                <w14:textFill>
                  <w14:solidFill>
                    <w14:schemeClr w14:val="tx1"/>
                  </w14:solidFill>
                </w14:textFill>
              </w:rPr>
            </w:pPr>
          </w:p>
        </w:tc>
        <w:tc>
          <w:tcPr>
            <w:tcW w:w="2518" w:type="dxa"/>
            <w:vMerge w:val="continue"/>
            <w:vAlign w:val="center"/>
          </w:tcPr>
          <w:p>
            <w:pPr>
              <w:jc w:val="center"/>
              <w:rPr>
                <w:rFonts w:hint="eastAsia" w:ascii="宋体" w:hAnsi="宋体" w:eastAsia="宋体" w:cs="宋体"/>
                <w:color w:val="000000" w:themeColor="text1"/>
                <w:kern w:val="0"/>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trPr>
        <w:tc>
          <w:tcPr>
            <w:tcW w:w="2202" w:type="dxa"/>
            <w:vAlign w:val="center"/>
          </w:tcPr>
          <w:p>
            <w:pPr>
              <w:jc w:val="both"/>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auto"/>
                <w:kern w:val="0"/>
                <w:sz w:val="24"/>
                <w:szCs w:val="24"/>
                <w:highlight w:val="none"/>
                <w:shd w:val="clear" w:color="auto" w:fill="auto"/>
              </w:rPr>
              <w:t>地表水（</w:t>
            </w:r>
            <w:r>
              <w:rPr>
                <w:rFonts w:hint="eastAsia" w:ascii="宋体" w:hAnsi="宋体" w:eastAsia="宋体" w:cs="Times New Roman"/>
                <w:color w:val="auto"/>
                <w:kern w:val="0"/>
                <w:sz w:val="24"/>
                <w:szCs w:val="24"/>
                <w:highlight w:val="none"/>
                <w:shd w:val="clear" w:color="auto" w:fill="auto"/>
                <w:lang w:val="en-US" w:eastAsia="zh-CN"/>
              </w:rPr>
              <w:t>马蹄河</w:t>
            </w:r>
            <w:r>
              <w:rPr>
                <w:rFonts w:hint="eastAsia" w:ascii="宋体" w:hAnsi="宋体" w:eastAsia="宋体" w:cs="Times New Roman"/>
                <w:color w:val="auto"/>
                <w:kern w:val="0"/>
                <w:sz w:val="24"/>
                <w:szCs w:val="24"/>
                <w:highlight w:val="none"/>
                <w:shd w:val="clear" w:color="auto" w:fill="auto"/>
              </w:rPr>
              <w:t>）</w:t>
            </w:r>
            <w:r>
              <w:rPr>
                <w:rFonts w:ascii="宋体" w:hAnsi="宋体" w:eastAsia="宋体" w:cs="Times New Roman"/>
                <w:color w:val="auto"/>
                <w:kern w:val="0"/>
                <w:sz w:val="24"/>
                <w:szCs w:val="24"/>
                <w:highlight w:val="none"/>
                <w:shd w:val="clear" w:color="auto" w:fill="auto"/>
              </w:rPr>
              <w:t>上游0.5km</w:t>
            </w:r>
          </w:p>
        </w:tc>
        <w:tc>
          <w:tcPr>
            <w:tcW w:w="963" w:type="dxa"/>
            <w:vMerge w:val="restart"/>
            <w:vAlign w:val="center"/>
          </w:tcPr>
          <w:p>
            <w:pPr>
              <w:jc w:val="center"/>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化学需氧量</w:t>
            </w:r>
          </w:p>
        </w:tc>
        <w:tc>
          <w:tcPr>
            <w:tcW w:w="1290" w:type="dxa"/>
            <w:vMerge w:val="restart"/>
            <w:vAlign w:val="center"/>
          </w:tcPr>
          <w:p>
            <w:pPr>
              <w:jc w:val="center"/>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30mg/L</w:t>
            </w:r>
          </w:p>
        </w:tc>
        <w:tc>
          <w:tcPr>
            <w:tcW w:w="1065" w:type="dxa"/>
            <w:vMerge w:val="restart"/>
            <w:vAlign w:val="center"/>
          </w:tcPr>
          <w:p>
            <w:pPr>
              <w:jc w:val="center"/>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手工</w:t>
            </w:r>
          </w:p>
        </w:tc>
        <w:tc>
          <w:tcPr>
            <w:tcW w:w="1125" w:type="dxa"/>
            <w:vMerge w:val="restart"/>
            <w:vAlign w:val="center"/>
          </w:tcPr>
          <w:p>
            <w:pPr>
              <w:jc w:val="center"/>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3次/年</w:t>
            </w:r>
          </w:p>
        </w:tc>
        <w:tc>
          <w:tcPr>
            <w:tcW w:w="1952" w:type="dxa"/>
            <w:vMerge w:val="restart"/>
            <w:vAlign w:val="center"/>
          </w:tcPr>
          <w:p>
            <w:pPr>
              <w:jc w:val="center"/>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COD消解器</w:t>
            </w:r>
          </w:p>
        </w:tc>
        <w:tc>
          <w:tcPr>
            <w:tcW w:w="2518" w:type="dxa"/>
            <w:vMerge w:val="restart"/>
            <w:vAlign w:val="center"/>
          </w:tcPr>
          <w:p>
            <w:pPr>
              <w:jc w:val="center"/>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水质 化学需氧量的测定 重铬酸盐法</w:t>
            </w:r>
          </w:p>
          <w:p>
            <w:pPr>
              <w:jc w:val="center"/>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HJ 828-2017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trPr>
        <w:tc>
          <w:tcPr>
            <w:tcW w:w="2202" w:type="dxa"/>
            <w:vAlign w:val="center"/>
          </w:tcPr>
          <w:p>
            <w:pPr>
              <w:jc w:val="center"/>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auto"/>
                <w:kern w:val="0"/>
                <w:sz w:val="24"/>
                <w:szCs w:val="24"/>
                <w:highlight w:val="none"/>
                <w:shd w:val="clear" w:color="auto" w:fill="auto"/>
              </w:rPr>
              <w:t>地表水（</w:t>
            </w:r>
            <w:r>
              <w:rPr>
                <w:rFonts w:hint="eastAsia" w:ascii="宋体" w:hAnsi="宋体" w:eastAsia="宋体" w:cs="Times New Roman"/>
                <w:color w:val="auto"/>
                <w:kern w:val="0"/>
                <w:sz w:val="24"/>
                <w:szCs w:val="24"/>
                <w:highlight w:val="none"/>
                <w:shd w:val="clear" w:color="auto" w:fill="auto"/>
                <w:lang w:val="en-US" w:eastAsia="zh-CN"/>
              </w:rPr>
              <w:t>马蹄河</w:t>
            </w:r>
            <w:r>
              <w:rPr>
                <w:rFonts w:hint="eastAsia" w:ascii="宋体" w:hAnsi="宋体" w:eastAsia="宋体" w:cs="Times New Roman"/>
                <w:color w:val="auto"/>
                <w:kern w:val="0"/>
                <w:sz w:val="24"/>
                <w:szCs w:val="24"/>
                <w:highlight w:val="none"/>
                <w:shd w:val="clear" w:color="auto" w:fill="auto"/>
              </w:rPr>
              <w:t>）下游1.5km）</w:t>
            </w:r>
          </w:p>
        </w:tc>
        <w:tc>
          <w:tcPr>
            <w:tcW w:w="963" w:type="dxa"/>
            <w:vMerge w:val="continue"/>
            <w:vAlign w:val="center"/>
          </w:tcPr>
          <w:p>
            <w:pPr>
              <w:jc w:val="center"/>
              <w:rPr>
                <w:rFonts w:hint="eastAsia" w:ascii="宋体" w:hAnsi="宋体" w:eastAsia="宋体" w:cs="宋体"/>
                <w:color w:val="000000" w:themeColor="text1"/>
                <w:kern w:val="0"/>
                <w:sz w:val="24"/>
                <w:szCs w:val="24"/>
                <w14:textFill>
                  <w14:solidFill>
                    <w14:schemeClr w14:val="tx1"/>
                  </w14:solidFill>
                </w14:textFill>
              </w:rPr>
            </w:pPr>
          </w:p>
        </w:tc>
        <w:tc>
          <w:tcPr>
            <w:tcW w:w="1290" w:type="dxa"/>
            <w:vMerge w:val="continue"/>
            <w:vAlign w:val="center"/>
          </w:tcPr>
          <w:p>
            <w:pPr>
              <w:jc w:val="center"/>
              <w:rPr>
                <w:rFonts w:hint="eastAsia" w:ascii="宋体" w:hAnsi="宋体" w:eastAsia="宋体" w:cs="宋体"/>
                <w:color w:val="000000" w:themeColor="text1"/>
                <w:kern w:val="0"/>
                <w:sz w:val="24"/>
                <w:szCs w:val="24"/>
                <w14:textFill>
                  <w14:solidFill>
                    <w14:schemeClr w14:val="tx1"/>
                  </w14:solidFill>
                </w14:textFill>
              </w:rPr>
            </w:pPr>
          </w:p>
        </w:tc>
        <w:tc>
          <w:tcPr>
            <w:tcW w:w="1065" w:type="dxa"/>
            <w:vMerge w:val="continue"/>
            <w:vAlign w:val="center"/>
          </w:tcPr>
          <w:p>
            <w:pPr>
              <w:jc w:val="center"/>
              <w:rPr>
                <w:rFonts w:hint="eastAsia" w:ascii="宋体" w:hAnsi="宋体" w:eastAsia="宋体" w:cs="宋体"/>
                <w:color w:val="000000" w:themeColor="text1"/>
                <w:kern w:val="0"/>
                <w:sz w:val="24"/>
                <w:szCs w:val="24"/>
                <w14:textFill>
                  <w14:solidFill>
                    <w14:schemeClr w14:val="tx1"/>
                  </w14:solidFill>
                </w14:textFill>
              </w:rPr>
            </w:pPr>
          </w:p>
        </w:tc>
        <w:tc>
          <w:tcPr>
            <w:tcW w:w="1125" w:type="dxa"/>
            <w:vMerge w:val="continue"/>
            <w:vAlign w:val="center"/>
          </w:tcPr>
          <w:p>
            <w:pPr>
              <w:jc w:val="center"/>
              <w:rPr>
                <w:rFonts w:hint="eastAsia" w:ascii="宋体" w:hAnsi="宋体" w:eastAsia="宋体" w:cs="宋体"/>
                <w:color w:val="000000" w:themeColor="text1"/>
                <w:kern w:val="0"/>
                <w:sz w:val="24"/>
                <w:szCs w:val="24"/>
                <w14:textFill>
                  <w14:solidFill>
                    <w14:schemeClr w14:val="tx1"/>
                  </w14:solidFill>
                </w14:textFill>
              </w:rPr>
            </w:pPr>
          </w:p>
        </w:tc>
        <w:tc>
          <w:tcPr>
            <w:tcW w:w="1952" w:type="dxa"/>
            <w:vMerge w:val="continue"/>
            <w:vAlign w:val="center"/>
          </w:tcPr>
          <w:p>
            <w:pPr>
              <w:jc w:val="center"/>
              <w:rPr>
                <w:rFonts w:hint="eastAsia" w:ascii="宋体" w:hAnsi="宋体" w:eastAsia="宋体" w:cs="宋体"/>
                <w:color w:val="000000" w:themeColor="text1"/>
                <w:kern w:val="0"/>
                <w:sz w:val="24"/>
                <w:szCs w:val="24"/>
                <w14:textFill>
                  <w14:solidFill>
                    <w14:schemeClr w14:val="tx1"/>
                  </w14:solidFill>
                </w14:textFill>
              </w:rPr>
            </w:pPr>
          </w:p>
        </w:tc>
        <w:tc>
          <w:tcPr>
            <w:tcW w:w="2518" w:type="dxa"/>
            <w:vMerge w:val="continue"/>
            <w:vAlign w:val="center"/>
          </w:tcPr>
          <w:p>
            <w:pPr>
              <w:jc w:val="center"/>
              <w:rPr>
                <w:rFonts w:hint="eastAsia" w:ascii="宋体" w:hAnsi="宋体" w:eastAsia="宋体" w:cs="宋体"/>
                <w:color w:val="000000" w:themeColor="text1"/>
                <w:kern w:val="0"/>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trPr>
        <w:tc>
          <w:tcPr>
            <w:tcW w:w="2202" w:type="dxa"/>
            <w:vAlign w:val="center"/>
          </w:tcPr>
          <w:p>
            <w:pPr>
              <w:jc w:val="both"/>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auto"/>
                <w:kern w:val="0"/>
                <w:sz w:val="24"/>
                <w:szCs w:val="24"/>
                <w:highlight w:val="none"/>
                <w:shd w:val="clear" w:color="auto" w:fill="auto"/>
              </w:rPr>
              <w:t>地表水（</w:t>
            </w:r>
            <w:r>
              <w:rPr>
                <w:rFonts w:hint="eastAsia" w:ascii="宋体" w:hAnsi="宋体" w:eastAsia="宋体" w:cs="Times New Roman"/>
                <w:color w:val="auto"/>
                <w:kern w:val="0"/>
                <w:sz w:val="24"/>
                <w:szCs w:val="24"/>
                <w:highlight w:val="none"/>
                <w:shd w:val="clear" w:color="auto" w:fill="auto"/>
                <w:lang w:val="en-US" w:eastAsia="zh-CN"/>
              </w:rPr>
              <w:t>马蹄河</w:t>
            </w:r>
            <w:r>
              <w:rPr>
                <w:rFonts w:hint="eastAsia" w:ascii="宋体" w:hAnsi="宋体" w:eastAsia="宋体" w:cs="Times New Roman"/>
                <w:color w:val="auto"/>
                <w:kern w:val="0"/>
                <w:sz w:val="24"/>
                <w:szCs w:val="24"/>
                <w:highlight w:val="none"/>
                <w:shd w:val="clear" w:color="auto" w:fill="auto"/>
              </w:rPr>
              <w:t>）</w:t>
            </w:r>
            <w:r>
              <w:rPr>
                <w:rFonts w:ascii="宋体" w:hAnsi="宋体" w:eastAsia="宋体" w:cs="Times New Roman"/>
                <w:color w:val="auto"/>
                <w:kern w:val="0"/>
                <w:sz w:val="24"/>
                <w:szCs w:val="24"/>
                <w:highlight w:val="none"/>
                <w:shd w:val="clear" w:color="auto" w:fill="auto"/>
              </w:rPr>
              <w:t>上游0.5km</w:t>
            </w:r>
          </w:p>
        </w:tc>
        <w:tc>
          <w:tcPr>
            <w:tcW w:w="963" w:type="dxa"/>
            <w:vMerge w:val="restart"/>
            <w:vAlign w:val="center"/>
          </w:tcPr>
          <w:p>
            <w:pPr>
              <w:jc w:val="center"/>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五日生化需氧量</w:t>
            </w:r>
          </w:p>
        </w:tc>
        <w:tc>
          <w:tcPr>
            <w:tcW w:w="1290" w:type="dxa"/>
            <w:vMerge w:val="restart"/>
            <w:vAlign w:val="center"/>
          </w:tcPr>
          <w:p>
            <w:pPr>
              <w:jc w:val="center"/>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6mg/L</w:t>
            </w:r>
          </w:p>
        </w:tc>
        <w:tc>
          <w:tcPr>
            <w:tcW w:w="1065" w:type="dxa"/>
            <w:vMerge w:val="restart"/>
            <w:vAlign w:val="center"/>
          </w:tcPr>
          <w:p>
            <w:pPr>
              <w:jc w:val="center"/>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手工</w:t>
            </w:r>
          </w:p>
        </w:tc>
        <w:tc>
          <w:tcPr>
            <w:tcW w:w="1125" w:type="dxa"/>
            <w:vMerge w:val="restart"/>
            <w:vAlign w:val="center"/>
          </w:tcPr>
          <w:p>
            <w:pPr>
              <w:jc w:val="center"/>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3次/年</w:t>
            </w:r>
          </w:p>
        </w:tc>
        <w:tc>
          <w:tcPr>
            <w:tcW w:w="1952" w:type="dxa"/>
            <w:vMerge w:val="restart"/>
            <w:vAlign w:val="center"/>
          </w:tcPr>
          <w:p>
            <w:pPr>
              <w:jc w:val="center"/>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智能生化培养箱</w:t>
            </w:r>
          </w:p>
        </w:tc>
        <w:tc>
          <w:tcPr>
            <w:tcW w:w="2518" w:type="dxa"/>
            <w:vMerge w:val="restart"/>
            <w:vAlign w:val="center"/>
          </w:tcPr>
          <w:p>
            <w:pPr>
              <w:jc w:val="center"/>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水质 五日生化需氧量的测定 稀释与接种法 HJ 505-2009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trPr>
        <w:tc>
          <w:tcPr>
            <w:tcW w:w="2202" w:type="dxa"/>
            <w:vAlign w:val="center"/>
          </w:tcPr>
          <w:p>
            <w:pPr>
              <w:jc w:val="center"/>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auto"/>
                <w:kern w:val="0"/>
                <w:sz w:val="24"/>
                <w:szCs w:val="24"/>
                <w:highlight w:val="none"/>
                <w:shd w:val="clear" w:color="auto" w:fill="auto"/>
              </w:rPr>
              <w:t>地表水（</w:t>
            </w:r>
            <w:r>
              <w:rPr>
                <w:rFonts w:hint="eastAsia" w:ascii="宋体" w:hAnsi="宋体" w:eastAsia="宋体" w:cs="Times New Roman"/>
                <w:color w:val="auto"/>
                <w:kern w:val="0"/>
                <w:sz w:val="24"/>
                <w:szCs w:val="24"/>
                <w:highlight w:val="none"/>
                <w:shd w:val="clear" w:color="auto" w:fill="auto"/>
                <w:lang w:val="en-US" w:eastAsia="zh-CN"/>
              </w:rPr>
              <w:t>马蹄河</w:t>
            </w:r>
            <w:r>
              <w:rPr>
                <w:rFonts w:hint="eastAsia" w:ascii="宋体" w:hAnsi="宋体" w:eastAsia="宋体" w:cs="Times New Roman"/>
                <w:color w:val="auto"/>
                <w:kern w:val="0"/>
                <w:sz w:val="24"/>
                <w:szCs w:val="24"/>
                <w:highlight w:val="none"/>
                <w:shd w:val="clear" w:color="auto" w:fill="auto"/>
              </w:rPr>
              <w:t>）下游1.5km）</w:t>
            </w:r>
          </w:p>
        </w:tc>
        <w:tc>
          <w:tcPr>
            <w:tcW w:w="963" w:type="dxa"/>
            <w:vMerge w:val="continue"/>
            <w:vAlign w:val="center"/>
          </w:tcPr>
          <w:p>
            <w:pPr>
              <w:jc w:val="center"/>
              <w:rPr>
                <w:rFonts w:hint="eastAsia" w:ascii="宋体" w:hAnsi="宋体" w:eastAsia="宋体" w:cs="宋体"/>
                <w:color w:val="000000" w:themeColor="text1"/>
                <w:kern w:val="0"/>
                <w:sz w:val="24"/>
                <w:szCs w:val="24"/>
                <w14:textFill>
                  <w14:solidFill>
                    <w14:schemeClr w14:val="tx1"/>
                  </w14:solidFill>
                </w14:textFill>
              </w:rPr>
            </w:pPr>
          </w:p>
        </w:tc>
        <w:tc>
          <w:tcPr>
            <w:tcW w:w="1290" w:type="dxa"/>
            <w:vMerge w:val="continue"/>
            <w:vAlign w:val="center"/>
          </w:tcPr>
          <w:p>
            <w:pPr>
              <w:jc w:val="center"/>
              <w:rPr>
                <w:rFonts w:hint="eastAsia" w:ascii="宋体" w:hAnsi="宋体" w:eastAsia="宋体" w:cs="宋体"/>
                <w:color w:val="000000" w:themeColor="text1"/>
                <w:kern w:val="0"/>
                <w:sz w:val="24"/>
                <w:szCs w:val="24"/>
                <w14:textFill>
                  <w14:solidFill>
                    <w14:schemeClr w14:val="tx1"/>
                  </w14:solidFill>
                </w14:textFill>
              </w:rPr>
            </w:pPr>
          </w:p>
        </w:tc>
        <w:tc>
          <w:tcPr>
            <w:tcW w:w="1065" w:type="dxa"/>
            <w:vMerge w:val="continue"/>
            <w:vAlign w:val="center"/>
          </w:tcPr>
          <w:p>
            <w:pPr>
              <w:jc w:val="center"/>
              <w:rPr>
                <w:rFonts w:hint="eastAsia" w:ascii="宋体" w:hAnsi="宋体" w:eastAsia="宋体" w:cs="宋体"/>
                <w:color w:val="000000" w:themeColor="text1"/>
                <w:kern w:val="0"/>
                <w:sz w:val="24"/>
                <w:szCs w:val="24"/>
                <w14:textFill>
                  <w14:solidFill>
                    <w14:schemeClr w14:val="tx1"/>
                  </w14:solidFill>
                </w14:textFill>
              </w:rPr>
            </w:pPr>
          </w:p>
        </w:tc>
        <w:tc>
          <w:tcPr>
            <w:tcW w:w="1125" w:type="dxa"/>
            <w:vMerge w:val="continue"/>
            <w:vAlign w:val="center"/>
          </w:tcPr>
          <w:p>
            <w:pPr>
              <w:jc w:val="center"/>
              <w:rPr>
                <w:rFonts w:hint="eastAsia" w:ascii="宋体" w:hAnsi="宋体" w:eastAsia="宋体" w:cs="宋体"/>
                <w:color w:val="000000" w:themeColor="text1"/>
                <w:kern w:val="0"/>
                <w:sz w:val="24"/>
                <w:szCs w:val="24"/>
                <w14:textFill>
                  <w14:solidFill>
                    <w14:schemeClr w14:val="tx1"/>
                  </w14:solidFill>
                </w14:textFill>
              </w:rPr>
            </w:pPr>
          </w:p>
        </w:tc>
        <w:tc>
          <w:tcPr>
            <w:tcW w:w="1952" w:type="dxa"/>
            <w:vMerge w:val="continue"/>
            <w:vAlign w:val="center"/>
          </w:tcPr>
          <w:p>
            <w:pPr>
              <w:jc w:val="center"/>
              <w:rPr>
                <w:rFonts w:hint="eastAsia" w:ascii="宋体" w:hAnsi="宋体" w:eastAsia="宋体" w:cs="宋体"/>
                <w:color w:val="000000" w:themeColor="text1"/>
                <w:kern w:val="0"/>
                <w:sz w:val="24"/>
                <w:szCs w:val="24"/>
                <w14:textFill>
                  <w14:solidFill>
                    <w14:schemeClr w14:val="tx1"/>
                  </w14:solidFill>
                </w14:textFill>
              </w:rPr>
            </w:pPr>
          </w:p>
        </w:tc>
        <w:tc>
          <w:tcPr>
            <w:tcW w:w="2518" w:type="dxa"/>
            <w:vMerge w:val="continue"/>
            <w:vAlign w:val="center"/>
          </w:tcPr>
          <w:p>
            <w:pPr>
              <w:jc w:val="center"/>
              <w:rPr>
                <w:rFonts w:hint="eastAsia" w:ascii="宋体" w:hAnsi="宋体" w:eastAsia="宋体" w:cs="宋体"/>
                <w:color w:val="000000" w:themeColor="text1"/>
                <w:kern w:val="0"/>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trPr>
        <w:tc>
          <w:tcPr>
            <w:tcW w:w="2202" w:type="dxa"/>
            <w:vAlign w:val="center"/>
          </w:tcPr>
          <w:p>
            <w:pPr>
              <w:jc w:val="both"/>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auto"/>
                <w:kern w:val="0"/>
                <w:sz w:val="24"/>
                <w:szCs w:val="24"/>
                <w:highlight w:val="none"/>
                <w:shd w:val="clear" w:color="auto" w:fill="auto"/>
              </w:rPr>
              <w:t>地表水（</w:t>
            </w:r>
            <w:r>
              <w:rPr>
                <w:rFonts w:hint="eastAsia" w:ascii="宋体" w:hAnsi="宋体" w:eastAsia="宋体" w:cs="Times New Roman"/>
                <w:color w:val="auto"/>
                <w:kern w:val="0"/>
                <w:sz w:val="24"/>
                <w:szCs w:val="24"/>
                <w:highlight w:val="none"/>
                <w:shd w:val="clear" w:color="auto" w:fill="auto"/>
                <w:lang w:val="en-US" w:eastAsia="zh-CN"/>
              </w:rPr>
              <w:t>马蹄河</w:t>
            </w:r>
            <w:r>
              <w:rPr>
                <w:rFonts w:hint="eastAsia" w:ascii="宋体" w:hAnsi="宋体" w:eastAsia="宋体" w:cs="Times New Roman"/>
                <w:color w:val="auto"/>
                <w:kern w:val="0"/>
                <w:sz w:val="24"/>
                <w:szCs w:val="24"/>
                <w:highlight w:val="none"/>
                <w:shd w:val="clear" w:color="auto" w:fill="auto"/>
              </w:rPr>
              <w:t>）</w:t>
            </w:r>
            <w:r>
              <w:rPr>
                <w:rFonts w:ascii="宋体" w:hAnsi="宋体" w:eastAsia="宋体" w:cs="Times New Roman"/>
                <w:color w:val="auto"/>
                <w:kern w:val="0"/>
                <w:sz w:val="24"/>
                <w:szCs w:val="24"/>
                <w:highlight w:val="none"/>
                <w:shd w:val="clear" w:color="auto" w:fill="auto"/>
              </w:rPr>
              <w:t>上游0.5km</w:t>
            </w:r>
          </w:p>
        </w:tc>
        <w:tc>
          <w:tcPr>
            <w:tcW w:w="963" w:type="dxa"/>
            <w:vMerge w:val="restart"/>
            <w:vAlign w:val="center"/>
          </w:tcPr>
          <w:p>
            <w:pPr>
              <w:jc w:val="center"/>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氨氮</w:t>
            </w:r>
          </w:p>
        </w:tc>
        <w:tc>
          <w:tcPr>
            <w:tcW w:w="1290" w:type="dxa"/>
            <w:vMerge w:val="restart"/>
            <w:vAlign w:val="center"/>
          </w:tcPr>
          <w:p>
            <w:pPr>
              <w:jc w:val="center"/>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1.5mg/L</w:t>
            </w:r>
          </w:p>
        </w:tc>
        <w:tc>
          <w:tcPr>
            <w:tcW w:w="1065" w:type="dxa"/>
            <w:vMerge w:val="restart"/>
            <w:vAlign w:val="center"/>
          </w:tcPr>
          <w:p>
            <w:pPr>
              <w:jc w:val="center"/>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手工</w:t>
            </w:r>
          </w:p>
        </w:tc>
        <w:tc>
          <w:tcPr>
            <w:tcW w:w="1125" w:type="dxa"/>
            <w:vMerge w:val="restart"/>
            <w:vAlign w:val="center"/>
          </w:tcPr>
          <w:p>
            <w:pPr>
              <w:jc w:val="center"/>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3次/年</w:t>
            </w:r>
          </w:p>
        </w:tc>
        <w:tc>
          <w:tcPr>
            <w:tcW w:w="1952" w:type="dxa"/>
            <w:vMerge w:val="restart"/>
            <w:vAlign w:val="center"/>
          </w:tcPr>
          <w:p>
            <w:pPr>
              <w:jc w:val="center"/>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紫外分光光度计</w:t>
            </w:r>
          </w:p>
        </w:tc>
        <w:tc>
          <w:tcPr>
            <w:tcW w:w="2518" w:type="dxa"/>
            <w:vMerge w:val="restart"/>
            <w:vAlign w:val="center"/>
          </w:tcPr>
          <w:p>
            <w:pPr>
              <w:jc w:val="center"/>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水质 氨氮的测定 纳氏试剂分光光度法</w:t>
            </w:r>
          </w:p>
          <w:p>
            <w:pPr>
              <w:jc w:val="center"/>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HJ 535-2009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trPr>
        <w:tc>
          <w:tcPr>
            <w:tcW w:w="2202" w:type="dxa"/>
            <w:vAlign w:val="center"/>
          </w:tcPr>
          <w:p>
            <w:pPr>
              <w:jc w:val="center"/>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auto"/>
                <w:kern w:val="0"/>
                <w:sz w:val="24"/>
                <w:szCs w:val="24"/>
                <w:highlight w:val="none"/>
                <w:shd w:val="clear" w:color="auto" w:fill="auto"/>
              </w:rPr>
              <w:t>地表水（</w:t>
            </w:r>
            <w:r>
              <w:rPr>
                <w:rFonts w:hint="eastAsia" w:ascii="宋体" w:hAnsi="宋体" w:eastAsia="宋体" w:cs="Times New Roman"/>
                <w:color w:val="auto"/>
                <w:kern w:val="0"/>
                <w:sz w:val="24"/>
                <w:szCs w:val="24"/>
                <w:highlight w:val="none"/>
                <w:shd w:val="clear" w:color="auto" w:fill="auto"/>
                <w:lang w:val="en-US" w:eastAsia="zh-CN"/>
              </w:rPr>
              <w:t>马蹄河</w:t>
            </w:r>
            <w:r>
              <w:rPr>
                <w:rFonts w:hint="eastAsia" w:ascii="宋体" w:hAnsi="宋体" w:eastAsia="宋体" w:cs="Times New Roman"/>
                <w:color w:val="auto"/>
                <w:kern w:val="0"/>
                <w:sz w:val="24"/>
                <w:szCs w:val="24"/>
                <w:highlight w:val="none"/>
                <w:shd w:val="clear" w:color="auto" w:fill="auto"/>
              </w:rPr>
              <w:t>）下游1.5km）</w:t>
            </w:r>
          </w:p>
        </w:tc>
        <w:tc>
          <w:tcPr>
            <w:tcW w:w="963" w:type="dxa"/>
            <w:vMerge w:val="continue"/>
            <w:vAlign w:val="center"/>
          </w:tcPr>
          <w:p>
            <w:pPr>
              <w:jc w:val="center"/>
              <w:rPr>
                <w:rFonts w:hint="eastAsia" w:ascii="宋体" w:hAnsi="宋体" w:eastAsia="宋体" w:cs="宋体"/>
                <w:color w:val="000000" w:themeColor="text1"/>
                <w:kern w:val="0"/>
                <w:sz w:val="24"/>
                <w:szCs w:val="24"/>
                <w14:textFill>
                  <w14:solidFill>
                    <w14:schemeClr w14:val="tx1"/>
                  </w14:solidFill>
                </w14:textFill>
              </w:rPr>
            </w:pPr>
          </w:p>
        </w:tc>
        <w:tc>
          <w:tcPr>
            <w:tcW w:w="1290" w:type="dxa"/>
            <w:vMerge w:val="continue"/>
            <w:vAlign w:val="center"/>
          </w:tcPr>
          <w:p>
            <w:pPr>
              <w:jc w:val="center"/>
              <w:rPr>
                <w:rFonts w:hint="eastAsia" w:ascii="宋体" w:hAnsi="宋体" w:eastAsia="宋体" w:cs="宋体"/>
                <w:color w:val="000000" w:themeColor="text1"/>
                <w:kern w:val="0"/>
                <w:sz w:val="24"/>
                <w:szCs w:val="24"/>
                <w14:textFill>
                  <w14:solidFill>
                    <w14:schemeClr w14:val="tx1"/>
                  </w14:solidFill>
                </w14:textFill>
              </w:rPr>
            </w:pPr>
          </w:p>
        </w:tc>
        <w:tc>
          <w:tcPr>
            <w:tcW w:w="1065" w:type="dxa"/>
            <w:vMerge w:val="continue"/>
            <w:vAlign w:val="center"/>
          </w:tcPr>
          <w:p>
            <w:pPr>
              <w:jc w:val="center"/>
              <w:rPr>
                <w:rFonts w:hint="eastAsia" w:ascii="宋体" w:hAnsi="宋体" w:eastAsia="宋体" w:cs="宋体"/>
                <w:color w:val="000000" w:themeColor="text1"/>
                <w:kern w:val="0"/>
                <w:sz w:val="24"/>
                <w:szCs w:val="24"/>
                <w14:textFill>
                  <w14:solidFill>
                    <w14:schemeClr w14:val="tx1"/>
                  </w14:solidFill>
                </w14:textFill>
              </w:rPr>
            </w:pPr>
          </w:p>
        </w:tc>
        <w:tc>
          <w:tcPr>
            <w:tcW w:w="1125" w:type="dxa"/>
            <w:vMerge w:val="continue"/>
            <w:vAlign w:val="center"/>
          </w:tcPr>
          <w:p>
            <w:pPr>
              <w:jc w:val="center"/>
              <w:rPr>
                <w:rFonts w:hint="eastAsia" w:ascii="宋体" w:hAnsi="宋体" w:eastAsia="宋体" w:cs="宋体"/>
                <w:color w:val="000000" w:themeColor="text1"/>
                <w:kern w:val="0"/>
                <w:sz w:val="24"/>
                <w:szCs w:val="24"/>
                <w14:textFill>
                  <w14:solidFill>
                    <w14:schemeClr w14:val="tx1"/>
                  </w14:solidFill>
                </w14:textFill>
              </w:rPr>
            </w:pPr>
          </w:p>
        </w:tc>
        <w:tc>
          <w:tcPr>
            <w:tcW w:w="1952" w:type="dxa"/>
            <w:vMerge w:val="continue"/>
            <w:vAlign w:val="center"/>
          </w:tcPr>
          <w:p>
            <w:pPr>
              <w:jc w:val="center"/>
              <w:rPr>
                <w:rFonts w:hint="eastAsia" w:ascii="宋体" w:hAnsi="宋体" w:eastAsia="宋体" w:cs="宋体"/>
                <w:color w:val="000000" w:themeColor="text1"/>
                <w:kern w:val="0"/>
                <w:sz w:val="24"/>
                <w:szCs w:val="24"/>
                <w14:textFill>
                  <w14:solidFill>
                    <w14:schemeClr w14:val="tx1"/>
                  </w14:solidFill>
                </w14:textFill>
              </w:rPr>
            </w:pPr>
          </w:p>
        </w:tc>
        <w:tc>
          <w:tcPr>
            <w:tcW w:w="2518" w:type="dxa"/>
            <w:vMerge w:val="continue"/>
            <w:vAlign w:val="center"/>
          </w:tcPr>
          <w:p>
            <w:pPr>
              <w:jc w:val="center"/>
              <w:rPr>
                <w:rFonts w:hint="eastAsia" w:ascii="宋体" w:hAnsi="宋体" w:eastAsia="宋体" w:cs="宋体"/>
                <w:color w:val="000000" w:themeColor="text1"/>
                <w:kern w:val="0"/>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trPr>
        <w:tc>
          <w:tcPr>
            <w:tcW w:w="2202" w:type="dxa"/>
            <w:vAlign w:val="center"/>
          </w:tcPr>
          <w:p>
            <w:pPr>
              <w:jc w:val="both"/>
              <w:rPr>
                <w:rFonts w:ascii="宋体" w:hAnsi="宋体" w:eastAsia="宋体" w:cs="Times New Roman"/>
                <w:color w:val="000000" w:themeColor="text1"/>
                <w:kern w:val="0"/>
                <w:sz w:val="24"/>
                <w:szCs w:val="24"/>
                <w14:textFill>
                  <w14:solidFill>
                    <w14:schemeClr w14:val="tx1"/>
                  </w14:solidFill>
                </w14:textFill>
              </w:rPr>
            </w:pPr>
            <w:r>
              <w:rPr>
                <w:rFonts w:hint="eastAsia" w:ascii="宋体" w:hAnsi="宋体" w:eastAsia="宋体" w:cs="宋体"/>
                <w:color w:val="auto"/>
                <w:kern w:val="0"/>
                <w:sz w:val="24"/>
                <w:szCs w:val="24"/>
                <w:highlight w:val="none"/>
                <w:shd w:val="clear" w:color="auto" w:fill="auto"/>
              </w:rPr>
              <w:t>地表水（</w:t>
            </w:r>
            <w:r>
              <w:rPr>
                <w:rFonts w:hint="eastAsia" w:ascii="宋体" w:hAnsi="宋体" w:eastAsia="宋体" w:cs="Times New Roman"/>
                <w:color w:val="auto"/>
                <w:kern w:val="0"/>
                <w:sz w:val="24"/>
                <w:szCs w:val="24"/>
                <w:highlight w:val="none"/>
                <w:shd w:val="clear" w:color="auto" w:fill="auto"/>
                <w:lang w:val="en-US" w:eastAsia="zh-CN"/>
              </w:rPr>
              <w:t>马蹄河</w:t>
            </w:r>
            <w:r>
              <w:rPr>
                <w:rFonts w:hint="eastAsia" w:ascii="宋体" w:hAnsi="宋体" w:eastAsia="宋体" w:cs="Times New Roman"/>
                <w:color w:val="auto"/>
                <w:kern w:val="0"/>
                <w:sz w:val="24"/>
                <w:szCs w:val="24"/>
                <w:highlight w:val="none"/>
                <w:shd w:val="clear" w:color="auto" w:fill="auto"/>
              </w:rPr>
              <w:t>）</w:t>
            </w:r>
            <w:r>
              <w:rPr>
                <w:rFonts w:ascii="宋体" w:hAnsi="宋体" w:eastAsia="宋体" w:cs="Times New Roman"/>
                <w:color w:val="auto"/>
                <w:kern w:val="0"/>
                <w:sz w:val="24"/>
                <w:szCs w:val="24"/>
                <w:highlight w:val="none"/>
                <w:shd w:val="clear" w:color="auto" w:fill="auto"/>
              </w:rPr>
              <w:t>上游0.5km</w:t>
            </w:r>
          </w:p>
        </w:tc>
        <w:tc>
          <w:tcPr>
            <w:tcW w:w="963" w:type="dxa"/>
            <w:vMerge w:val="restart"/>
            <w:vAlign w:val="center"/>
          </w:tcPr>
          <w:p>
            <w:pPr>
              <w:jc w:val="center"/>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总磷</w:t>
            </w:r>
          </w:p>
        </w:tc>
        <w:tc>
          <w:tcPr>
            <w:tcW w:w="1290" w:type="dxa"/>
            <w:vMerge w:val="restart"/>
            <w:vAlign w:val="center"/>
          </w:tcPr>
          <w:p>
            <w:pPr>
              <w:jc w:val="center"/>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0.3mg/L</w:t>
            </w:r>
          </w:p>
        </w:tc>
        <w:tc>
          <w:tcPr>
            <w:tcW w:w="1065" w:type="dxa"/>
            <w:vMerge w:val="restart"/>
            <w:vAlign w:val="center"/>
          </w:tcPr>
          <w:p>
            <w:pPr>
              <w:jc w:val="center"/>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手工</w:t>
            </w:r>
          </w:p>
        </w:tc>
        <w:tc>
          <w:tcPr>
            <w:tcW w:w="1125" w:type="dxa"/>
            <w:vMerge w:val="restart"/>
            <w:vAlign w:val="center"/>
          </w:tcPr>
          <w:p>
            <w:pPr>
              <w:jc w:val="center"/>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3次/年</w:t>
            </w:r>
          </w:p>
        </w:tc>
        <w:tc>
          <w:tcPr>
            <w:tcW w:w="1952" w:type="dxa"/>
            <w:vMerge w:val="restart"/>
            <w:vAlign w:val="center"/>
          </w:tcPr>
          <w:p>
            <w:pPr>
              <w:jc w:val="center"/>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紫外分光光度计</w:t>
            </w:r>
          </w:p>
        </w:tc>
        <w:tc>
          <w:tcPr>
            <w:tcW w:w="2518" w:type="dxa"/>
            <w:vMerge w:val="restart"/>
            <w:vAlign w:val="center"/>
          </w:tcPr>
          <w:p>
            <w:pPr>
              <w:jc w:val="center"/>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水质 总磷的测定 钼酸铵分光光度法</w:t>
            </w:r>
          </w:p>
          <w:p>
            <w:pPr>
              <w:jc w:val="center"/>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GB 11893-89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trPr>
        <w:tc>
          <w:tcPr>
            <w:tcW w:w="2202" w:type="dxa"/>
            <w:vAlign w:val="center"/>
          </w:tcPr>
          <w:p>
            <w:pPr>
              <w:jc w:val="center"/>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auto"/>
                <w:kern w:val="0"/>
                <w:sz w:val="24"/>
                <w:szCs w:val="24"/>
                <w:highlight w:val="none"/>
                <w:shd w:val="clear" w:color="auto" w:fill="auto"/>
              </w:rPr>
              <w:t>地表水（</w:t>
            </w:r>
            <w:r>
              <w:rPr>
                <w:rFonts w:hint="eastAsia" w:ascii="宋体" w:hAnsi="宋体" w:eastAsia="宋体" w:cs="Times New Roman"/>
                <w:color w:val="auto"/>
                <w:kern w:val="0"/>
                <w:sz w:val="24"/>
                <w:szCs w:val="24"/>
                <w:highlight w:val="none"/>
                <w:shd w:val="clear" w:color="auto" w:fill="auto"/>
                <w:lang w:val="en-US" w:eastAsia="zh-CN"/>
              </w:rPr>
              <w:t>马蹄河</w:t>
            </w:r>
            <w:r>
              <w:rPr>
                <w:rFonts w:hint="eastAsia" w:ascii="宋体" w:hAnsi="宋体" w:eastAsia="宋体" w:cs="Times New Roman"/>
                <w:color w:val="auto"/>
                <w:kern w:val="0"/>
                <w:sz w:val="24"/>
                <w:szCs w:val="24"/>
                <w:highlight w:val="none"/>
                <w:shd w:val="clear" w:color="auto" w:fill="auto"/>
              </w:rPr>
              <w:t>）下游1.5km）</w:t>
            </w:r>
          </w:p>
        </w:tc>
        <w:tc>
          <w:tcPr>
            <w:tcW w:w="963" w:type="dxa"/>
            <w:vMerge w:val="continue"/>
            <w:vAlign w:val="center"/>
          </w:tcPr>
          <w:p>
            <w:pPr>
              <w:jc w:val="center"/>
              <w:rPr>
                <w:rFonts w:hint="eastAsia" w:ascii="宋体" w:hAnsi="宋体" w:eastAsia="宋体" w:cs="宋体"/>
                <w:color w:val="000000" w:themeColor="text1"/>
                <w:kern w:val="0"/>
                <w:sz w:val="24"/>
                <w:szCs w:val="24"/>
                <w14:textFill>
                  <w14:solidFill>
                    <w14:schemeClr w14:val="tx1"/>
                  </w14:solidFill>
                </w14:textFill>
              </w:rPr>
            </w:pPr>
          </w:p>
        </w:tc>
        <w:tc>
          <w:tcPr>
            <w:tcW w:w="1290" w:type="dxa"/>
            <w:vMerge w:val="continue"/>
            <w:vAlign w:val="center"/>
          </w:tcPr>
          <w:p>
            <w:pPr>
              <w:jc w:val="center"/>
              <w:rPr>
                <w:rFonts w:hint="eastAsia" w:ascii="宋体" w:hAnsi="宋体" w:eastAsia="宋体" w:cs="宋体"/>
                <w:color w:val="000000" w:themeColor="text1"/>
                <w:kern w:val="0"/>
                <w:sz w:val="24"/>
                <w:szCs w:val="24"/>
                <w14:textFill>
                  <w14:solidFill>
                    <w14:schemeClr w14:val="tx1"/>
                  </w14:solidFill>
                </w14:textFill>
              </w:rPr>
            </w:pPr>
          </w:p>
        </w:tc>
        <w:tc>
          <w:tcPr>
            <w:tcW w:w="1065" w:type="dxa"/>
            <w:vMerge w:val="continue"/>
            <w:vAlign w:val="center"/>
          </w:tcPr>
          <w:p>
            <w:pPr>
              <w:jc w:val="center"/>
              <w:rPr>
                <w:rFonts w:hint="eastAsia" w:ascii="宋体" w:hAnsi="宋体" w:eastAsia="宋体" w:cs="宋体"/>
                <w:color w:val="000000" w:themeColor="text1"/>
                <w:kern w:val="0"/>
                <w:sz w:val="24"/>
                <w:szCs w:val="24"/>
                <w14:textFill>
                  <w14:solidFill>
                    <w14:schemeClr w14:val="tx1"/>
                  </w14:solidFill>
                </w14:textFill>
              </w:rPr>
            </w:pPr>
          </w:p>
        </w:tc>
        <w:tc>
          <w:tcPr>
            <w:tcW w:w="1125" w:type="dxa"/>
            <w:vMerge w:val="continue"/>
            <w:vAlign w:val="center"/>
          </w:tcPr>
          <w:p>
            <w:pPr>
              <w:jc w:val="center"/>
              <w:rPr>
                <w:rFonts w:hint="eastAsia" w:ascii="宋体" w:hAnsi="宋体" w:eastAsia="宋体" w:cs="宋体"/>
                <w:color w:val="000000" w:themeColor="text1"/>
                <w:kern w:val="0"/>
                <w:sz w:val="24"/>
                <w:szCs w:val="24"/>
                <w14:textFill>
                  <w14:solidFill>
                    <w14:schemeClr w14:val="tx1"/>
                  </w14:solidFill>
                </w14:textFill>
              </w:rPr>
            </w:pPr>
          </w:p>
        </w:tc>
        <w:tc>
          <w:tcPr>
            <w:tcW w:w="1952" w:type="dxa"/>
            <w:vMerge w:val="continue"/>
            <w:vAlign w:val="center"/>
          </w:tcPr>
          <w:p>
            <w:pPr>
              <w:jc w:val="center"/>
              <w:rPr>
                <w:rFonts w:hint="eastAsia" w:ascii="宋体" w:hAnsi="宋体" w:eastAsia="宋体" w:cs="宋体"/>
                <w:color w:val="000000" w:themeColor="text1"/>
                <w:kern w:val="0"/>
                <w:sz w:val="24"/>
                <w:szCs w:val="24"/>
                <w14:textFill>
                  <w14:solidFill>
                    <w14:schemeClr w14:val="tx1"/>
                  </w14:solidFill>
                </w14:textFill>
              </w:rPr>
            </w:pPr>
          </w:p>
        </w:tc>
        <w:tc>
          <w:tcPr>
            <w:tcW w:w="2518" w:type="dxa"/>
            <w:vMerge w:val="continue"/>
            <w:vAlign w:val="center"/>
          </w:tcPr>
          <w:p>
            <w:pPr>
              <w:jc w:val="center"/>
              <w:rPr>
                <w:rFonts w:hint="eastAsia" w:ascii="宋体" w:hAnsi="宋体" w:eastAsia="宋体" w:cs="宋体"/>
                <w:color w:val="000000" w:themeColor="text1"/>
                <w:kern w:val="0"/>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trPr>
        <w:tc>
          <w:tcPr>
            <w:tcW w:w="2202" w:type="dxa"/>
            <w:vAlign w:val="center"/>
          </w:tcPr>
          <w:p>
            <w:pPr>
              <w:jc w:val="both"/>
              <w:rPr>
                <w:rFonts w:ascii="宋体" w:hAnsi="宋体" w:eastAsia="宋体" w:cs="Times New Roman"/>
                <w:color w:val="000000" w:themeColor="text1"/>
                <w:kern w:val="0"/>
                <w:sz w:val="24"/>
                <w:szCs w:val="24"/>
                <w14:textFill>
                  <w14:solidFill>
                    <w14:schemeClr w14:val="tx1"/>
                  </w14:solidFill>
                </w14:textFill>
              </w:rPr>
            </w:pPr>
            <w:r>
              <w:rPr>
                <w:rFonts w:hint="eastAsia" w:ascii="宋体" w:hAnsi="宋体" w:eastAsia="宋体" w:cs="宋体"/>
                <w:color w:val="auto"/>
                <w:kern w:val="0"/>
                <w:sz w:val="24"/>
                <w:szCs w:val="24"/>
                <w:highlight w:val="none"/>
                <w:shd w:val="clear" w:color="auto" w:fill="auto"/>
              </w:rPr>
              <w:t>地表水（</w:t>
            </w:r>
            <w:r>
              <w:rPr>
                <w:rFonts w:hint="eastAsia" w:ascii="宋体" w:hAnsi="宋体" w:eastAsia="宋体" w:cs="Times New Roman"/>
                <w:color w:val="auto"/>
                <w:kern w:val="0"/>
                <w:sz w:val="24"/>
                <w:szCs w:val="24"/>
                <w:highlight w:val="none"/>
                <w:shd w:val="clear" w:color="auto" w:fill="auto"/>
                <w:lang w:val="en-US" w:eastAsia="zh-CN"/>
              </w:rPr>
              <w:t>马蹄河</w:t>
            </w:r>
            <w:r>
              <w:rPr>
                <w:rFonts w:hint="eastAsia" w:ascii="宋体" w:hAnsi="宋体" w:eastAsia="宋体" w:cs="Times New Roman"/>
                <w:color w:val="auto"/>
                <w:kern w:val="0"/>
                <w:sz w:val="24"/>
                <w:szCs w:val="24"/>
                <w:highlight w:val="none"/>
                <w:shd w:val="clear" w:color="auto" w:fill="auto"/>
              </w:rPr>
              <w:t>）</w:t>
            </w:r>
            <w:r>
              <w:rPr>
                <w:rFonts w:ascii="宋体" w:hAnsi="宋体" w:eastAsia="宋体" w:cs="Times New Roman"/>
                <w:color w:val="auto"/>
                <w:kern w:val="0"/>
                <w:sz w:val="24"/>
                <w:szCs w:val="24"/>
                <w:highlight w:val="none"/>
                <w:shd w:val="clear" w:color="auto" w:fill="auto"/>
              </w:rPr>
              <w:t>上游0.5km</w:t>
            </w:r>
          </w:p>
        </w:tc>
        <w:tc>
          <w:tcPr>
            <w:tcW w:w="963" w:type="dxa"/>
            <w:vMerge w:val="restart"/>
            <w:vAlign w:val="center"/>
          </w:tcPr>
          <w:p>
            <w:pPr>
              <w:jc w:val="center"/>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总氮</w:t>
            </w:r>
          </w:p>
        </w:tc>
        <w:tc>
          <w:tcPr>
            <w:tcW w:w="1290" w:type="dxa"/>
            <w:vMerge w:val="restart"/>
            <w:vAlign w:val="center"/>
          </w:tcPr>
          <w:p>
            <w:pPr>
              <w:jc w:val="center"/>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1.5mg/L</w:t>
            </w:r>
          </w:p>
        </w:tc>
        <w:tc>
          <w:tcPr>
            <w:tcW w:w="1065" w:type="dxa"/>
            <w:vMerge w:val="restart"/>
            <w:vAlign w:val="center"/>
          </w:tcPr>
          <w:p>
            <w:pPr>
              <w:jc w:val="center"/>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手工</w:t>
            </w:r>
          </w:p>
        </w:tc>
        <w:tc>
          <w:tcPr>
            <w:tcW w:w="1125" w:type="dxa"/>
            <w:vMerge w:val="restart"/>
            <w:vAlign w:val="center"/>
          </w:tcPr>
          <w:p>
            <w:pPr>
              <w:jc w:val="center"/>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3次/年</w:t>
            </w:r>
          </w:p>
        </w:tc>
        <w:tc>
          <w:tcPr>
            <w:tcW w:w="1952" w:type="dxa"/>
            <w:vMerge w:val="restart"/>
            <w:vAlign w:val="center"/>
          </w:tcPr>
          <w:p>
            <w:pPr>
              <w:jc w:val="center"/>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紫外分光光度计</w:t>
            </w:r>
          </w:p>
        </w:tc>
        <w:tc>
          <w:tcPr>
            <w:tcW w:w="2518" w:type="dxa"/>
            <w:vMerge w:val="restart"/>
            <w:vAlign w:val="center"/>
          </w:tcPr>
          <w:p>
            <w:pPr>
              <w:jc w:val="center"/>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水质 总氮的测定 碱性过硫酸钾消解紫外分光光度法 HJ 636-2012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trPr>
        <w:tc>
          <w:tcPr>
            <w:tcW w:w="2202" w:type="dxa"/>
            <w:vAlign w:val="center"/>
          </w:tcPr>
          <w:p>
            <w:pPr>
              <w:jc w:val="center"/>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auto"/>
                <w:kern w:val="0"/>
                <w:sz w:val="24"/>
                <w:szCs w:val="24"/>
                <w:highlight w:val="none"/>
                <w:shd w:val="clear" w:color="auto" w:fill="auto"/>
              </w:rPr>
              <w:t>地表水（</w:t>
            </w:r>
            <w:r>
              <w:rPr>
                <w:rFonts w:hint="eastAsia" w:ascii="宋体" w:hAnsi="宋体" w:eastAsia="宋体" w:cs="Times New Roman"/>
                <w:color w:val="auto"/>
                <w:kern w:val="0"/>
                <w:sz w:val="24"/>
                <w:szCs w:val="24"/>
                <w:highlight w:val="none"/>
                <w:shd w:val="clear" w:color="auto" w:fill="auto"/>
                <w:lang w:val="en-US" w:eastAsia="zh-CN"/>
              </w:rPr>
              <w:t>马蹄河</w:t>
            </w:r>
            <w:r>
              <w:rPr>
                <w:rFonts w:hint="eastAsia" w:ascii="宋体" w:hAnsi="宋体" w:eastAsia="宋体" w:cs="Times New Roman"/>
                <w:color w:val="auto"/>
                <w:kern w:val="0"/>
                <w:sz w:val="24"/>
                <w:szCs w:val="24"/>
                <w:highlight w:val="none"/>
                <w:shd w:val="clear" w:color="auto" w:fill="auto"/>
              </w:rPr>
              <w:t>）下游1.5km）</w:t>
            </w:r>
          </w:p>
        </w:tc>
        <w:tc>
          <w:tcPr>
            <w:tcW w:w="963" w:type="dxa"/>
            <w:vMerge w:val="continue"/>
            <w:vAlign w:val="center"/>
          </w:tcPr>
          <w:p>
            <w:pPr>
              <w:rPr>
                <w:rFonts w:hint="eastAsia" w:ascii="宋体" w:hAnsi="宋体" w:eastAsia="宋体" w:cs="宋体"/>
                <w:color w:val="000000" w:themeColor="text1"/>
                <w:kern w:val="0"/>
                <w:sz w:val="24"/>
                <w:szCs w:val="24"/>
                <w:highlight w:val="none"/>
                <w14:textFill>
                  <w14:solidFill>
                    <w14:schemeClr w14:val="tx1"/>
                  </w14:solidFill>
                </w14:textFill>
              </w:rPr>
            </w:pPr>
          </w:p>
        </w:tc>
        <w:tc>
          <w:tcPr>
            <w:tcW w:w="1290" w:type="dxa"/>
            <w:vMerge w:val="continue"/>
            <w:vAlign w:val="center"/>
          </w:tcPr>
          <w:p>
            <w:pPr>
              <w:rPr>
                <w:rFonts w:hint="eastAsia" w:ascii="宋体" w:hAnsi="宋体" w:eastAsia="宋体" w:cs="宋体"/>
                <w:color w:val="000000" w:themeColor="text1"/>
                <w:kern w:val="0"/>
                <w:sz w:val="24"/>
                <w:szCs w:val="24"/>
                <w:highlight w:val="none"/>
                <w14:textFill>
                  <w14:solidFill>
                    <w14:schemeClr w14:val="tx1"/>
                  </w14:solidFill>
                </w14:textFill>
              </w:rPr>
            </w:pPr>
          </w:p>
        </w:tc>
        <w:tc>
          <w:tcPr>
            <w:tcW w:w="1065" w:type="dxa"/>
            <w:vMerge w:val="continue"/>
            <w:vAlign w:val="center"/>
          </w:tcPr>
          <w:p>
            <w:pPr>
              <w:rPr>
                <w:rFonts w:hint="eastAsia" w:ascii="宋体" w:hAnsi="宋体" w:eastAsia="宋体" w:cs="宋体"/>
                <w:color w:val="000000" w:themeColor="text1"/>
                <w:kern w:val="0"/>
                <w:sz w:val="24"/>
                <w:szCs w:val="24"/>
                <w:highlight w:val="none"/>
                <w14:textFill>
                  <w14:solidFill>
                    <w14:schemeClr w14:val="tx1"/>
                  </w14:solidFill>
                </w14:textFill>
              </w:rPr>
            </w:pPr>
          </w:p>
        </w:tc>
        <w:tc>
          <w:tcPr>
            <w:tcW w:w="1125" w:type="dxa"/>
            <w:vMerge w:val="continue"/>
            <w:vAlign w:val="center"/>
          </w:tcPr>
          <w:p>
            <w:pPr>
              <w:rPr>
                <w:rFonts w:hint="eastAsia" w:ascii="宋体" w:hAnsi="宋体" w:eastAsia="宋体" w:cs="宋体"/>
                <w:color w:val="000000" w:themeColor="text1"/>
                <w:kern w:val="0"/>
                <w:sz w:val="24"/>
                <w:szCs w:val="24"/>
                <w:highlight w:val="none"/>
                <w14:textFill>
                  <w14:solidFill>
                    <w14:schemeClr w14:val="tx1"/>
                  </w14:solidFill>
                </w14:textFill>
              </w:rPr>
            </w:pPr>
          </w:p>
        </w:tc>
        <w:tc>
          <w:tcPr>
            <w:tcW w:w="1952" w:type="dxa"/>
            <w:vMerge w:val="continue"/>
            <w:vAlign w:val="center"/>
          </w:tcPr>
          <w:p>
            <w:pPr>
              <w:rPr>
                <w:rFonts w:hint="eastAsia" w:ascii="宋体" w:hAnsi="宋体" w:eastAsia="宋体" w:cs="宋体"/>
                <w:color w:val="000000" w:themeColor="text1"/>
                <w:kern w:val="0"/>
                <w:sz w:val="24"/>
                <w:szCs w:val="24"/>
                <w:highlight w:val="none"/>
                <w14:textFill>
                  <w14:solidFill>
                    <w14:schemeClr w14:val="tx1"/>
                  </w14:solidFill>
                </w14:textFill>
              </w:rPr>
            </w:pPr>
          </w:p>
        </w:tc>
        <w:tc>
          <w:tcPr>
            <w:tcW w:w="2518" w:type="dxa"/>
            <w:vMerge w:val="continue"/>
            <w:vAlign w:val="center"/>
          </w:tcPr>
          <w:p>
            <w:pPr>
              <w:rPr>
                <w:rFonts w:hint="eastAsia" w:ascii="宋体" w:hAnsi="宋体" w:eastAsia="宋体" w:cs="宋体"/>
                <w:color w:val="000000" w:themeColor="text1"/>
                <w:kern w:val="0"/>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2" w:hRule="atLeast"/>
        </w:trPr>
        <w:tc>
          <w:tcPr>
            <w:tcW w:w="2202" w:type="dxa"/>
            <w:vAlign w:val="center"/>
          </w:tcPr>
          <w:p>
            <w:pPr>
              <w:jc w:val="both"/>
              <w:rPr>
                <w:rFonts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auto"/>
                <w:kern w:val="0"/>
                <w:sz w:val="24"/>
                <w:szCs w:val="24"/>
                <w:highlight w:val="none"/>
                <w:shd w:val="clear" w:color="auto" w:fill="auto"/>
              </w:rPr>
              <w:t>地表水（</w:t>
            </w:r>
            <w:r>
              <w:rPr>
                <w:rFonts w:hint="eastAsia" w:ascii="宋体" w:hAnsi="宋体" w:eastAsia="宋体" w:cs="Times New Roman"/>
                <w:color w:val="auto"/>
                <w:kern w:val="0"/>
                <w:sz w:val="24"/>
                <w:szCs w:val="24"/>
                <w:highlight w:val="none"/>
                <w:shd w:val="clear" w:color="auto" w:fill="auto"/>
                <w:lang w:val="en-US" w:eastAsia="zh-CN"/>
              </w:rPr>
              <w:t>马蹄河</w:t>
            </w:r>
            <w:r>
              <w:rPr>
                <w:rFonts w:hint="eastAsia" w:ascii="宋体" w:hAnsi="宋体" w:eastAsia="宋体" w:cs="Times New Roman"/>
                <w:color w:val="auto"/>
                <w:kern w:val="0"/>
                <w:sz w:val="24"/>
                <w:szCs w:val="24"/>
                <w:highlight w:val="none"/>
                <w:shd w:val="clear" w:color="auto" w:fill="auto"/>
              </w:rPr>
              <w:t>）</w:t>
            </w:r>
            <w:r>
              <w:rPr>
                <w:rFonts w:ascii="宋体" w:hAnsi="宋体" w:eastAsia="宋体" w:cs="Times New Roman"/>
                <w:color w:val="auto"/>
                <w:kern w:val="0"/>
                <w:sz w:val="24"/>
                <w:szCs w:val="24"/>
                <w:highlight w:val="none"/>
                <w:shd w:val="clear" w:color="auto" w:fill="auto"/>
              </w:rPr>
              <w:t>上游0.5km</w:t>
            </w:r>
          </w:p>
        </w:tc>
        <w:tc>
          <w:tcPr>
            <w:tcW w:w="963" w:type="dxa"/>
            <w:vMerge w:val="restart"/>
            <w:vAlign w:val="center"/>
          </w:tcPr>
          <w:p>
            <w:pPr>
              <w:jc w:val="center"/>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石油类</w:t>
            </w:r>
          </w:p>
        </w:tc>
        <w:tc>
          <w:tcPr>
            <w:tcW w:w="1290" w:type="dxa"/>
            <w:vMerge w:val="restart"/>
            <w:vAlign w:val="center"/>
          </w:tcPr>
          <w:p>
            <w:pPr>
              <w:jc w:val="center"/>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0.5mg/L</w:t>
            </w:r>
          </w:p>
        </w:tc>
        <w:tc>
          <w:tcPr>
            <w:tcW w:w="1065" w:type="dxa"/>
            <w:vMerge w:val="restart"/>
            <w:vAlign w:val="center"/>
          </w:tcPr>
          <w:p>
            <w:pPr>
              <w:jc w:val="center"/>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手工</w:t>
            </w:r>
          </w:p>
        </w:tc>
        <w:tc>
          <w:tcPr>
            <w:tcW w:w="1125" w:type="dxa"/>
            <w:vMerge w:val="restart"/>
            <w:vAlign w:val="center"/>
          </w:tcPr>
          <w:p>
            <w:pPr>
              <w:jc w:val="center"/>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3次/年</w:t>
            </w:r>
          </w:p>
        </w:tc>
        <w:tc>
          <w:tcPr>
            <w:tcW w:w="1952" w:type="dxa"/>
            <w:vMerge w:val="restart"/>
            <w:vAlign w:val="center"/>
          </w:tcPr>
          <w:p>
            <w:pPr>
              <w:jc w:val="center"/>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紫外分光光度计（应根据地表水的检测方法填写）</w:t>
            </w:r>
          </w:p>
        </w:tc>
        <w:tc>
          <w:tcPr>
            <w:tcW w:w="2518" w:type="dxa"/>
            <w:vMerge w:val="restart"/>
            <w:vAlign w:val="center"/>
          </w:tcPr>
          <w:p>
            <w:pPr>
              <w:jc w:val="center"/>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水质 石油类的测定 紫外分光光度法 HJ 970-2018（地表水和地下水为该方法，与废水方法不同）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2" w:hRule="atLeast"/>
        </w:trPr>
        <w:tc>
          <w:tcPr>
            <w:tcW w:w="2202" w:type="dxa"/>
            <w:vAlign w:val="center"/>
          </w:tcPr>
          <w:p>
            <w:pPr>
              <w:jc w:val="center"/>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auto"/>
                <w:kern w:val="0"/>
                <w:sz w:val="24"/>
                <w:szCs w:val="24"/>
                <w:highlight w:val="none"/>
                <w:shd w:val="clear" w:color="auto" w:fill="auto"/>
              </w:rPr>
              <w:t>地表水（</w:t>
            </w:r>
            <w:r>
              <w:rPr>
                <w:rFonts w:hint="eastAsia" w:ascii="宋体" w:hAnsi="宋体" w:eastAsia="宋体" w:cs="Times New Roman"/>
                <w:color w:val="auto"/>
                <w:kern w:val="0"/>
                <w:sz w:val="24"/>
                <w:szCs w:val="24"/>
                <w:highlight w:val="none"/>
                <w:shd w:val="clear" w:color="auto" w:fill="auto"/>
                <w:lang w:val="en-US" w:eastAsia="zh-CN"/>
              </w:rPr>
              <w:t>马蹄河</w:t>
            </w:r>
            <w:r>
              <w:rPr>
                <w:rFonts w:hint="eastAsia" w:ascii="宋体" w:hAnsi="宋体" w:eastAsia="宋体" w:cs="Times New Roman"/>
                <w:color w:val="auto"/>
                <w:kern w:val="0"/>
                <w:sz w:val="24"/>
                <w:szCs w:val="24"/>
                <w:highlight w:val="none"/>
                <w:shd w:val="clear" w:color="auto" w:fill="auto"/>
              </w:rPr>
              <w:t>）下游1.5km）</w:t>
            </w:r>
          </w:p>
        </w:tc>
        <w:tc>
          <w:tcPr>
            <w:tcW w:w="963" w:type="dxa"/>
            <w:vMerge w:val="continue"/>
            <w:vAlign w:val="center"/>
          </w:tcPr>
          <w:p>
            <w:pPr>
              <w:jc w:val="center"/>
              <w:rPr>
                <w:rFonts w:hint="eastAsia" w:ascii="宋体" w:hAnsi="宋体" w:eastAsia="宋体" w:cs="宋体"/>
                <w:color w:val="000000" w:themeColor="text1"/>
                <w:kern w:val="0"/>
                <w:sz w:val="24"/>
                <w:szCs w:val="24"/>
                <w:highlight w:val="none"/>
                <w14:textFill>
                  <w14:solidFill>
                    <w14:schemeClr w14:val="tx1"/>
                  </w14:solidFill>
                </w14:textFill>
              </w:rPr>
            </w:pPr>
          </w:p>
        </w:tc>
        <w:tc>
          <w:tcPr>
            <w:tcW w:w="1290" w:type="dxa"/>
            <w:vMerge w:val="continue"/>
            <w:vAlign w:val="center"/>
          </w:tcPr>
          <w:p>
            <w:pPr>
              <w:jc w:val="center"/>
              <w:rPr>
                <w:rFonts w:hint="eastAsia" w:ascii="宋体" w:hAnsi="宋体" w:eastAsia="宋体" w:cs="宋体"/>
                <w:color w:val="000000" w:themeColor="text1"/>
                <w:kern w:val="0"/>
                <w:sz w:val="24"/>
                <w:szCs w:val="24"/>
                <w:highlight w:val="none"/>
                <w14:textFill>
                  <w14:solidFill>
                    <w14:schemeClr w14:val="tx1"/>
                  </w14:solidFill>
                </w14:textFill>
              </w:rPr>
            </w:pPr>
          </w:p>
        </w:tc>
        <w:tc>
          <w:tcPr>
            <w:tcW w:w="1065" w:type="dxa"/>
            <w:vMerge w:val="continue"/>
            <w:vAlign w:val="center"/>
          </w:tcPr>
          <w:p>
            <w:pPr>
              <w:jc w:val="center"/>
              <w:rPr>
                <w:rFonts w:hint="eastAsia" w:ascii="宋体" w:hAnsi="宋体" w:eastAsia="宋体" w:cs="宋体"/>
                <w:color w:val="000000" w:themeColor="text1"/>
                <w:kern w:val="0"/>
                <w:sz w:val="24"/>
                <w:szCs w:val="24"/>
                <w:highlight w:val="none"/>
                <w14:textFill>
                  <w14:solidFill>
                    <w14:schemeClr w14:val="tx1"/>
                  </w14:solidFill>
                </w14:textFill>
              </w:rPr>
            </w:pPr>
          </w:p>
        </w:tc>
        <w:tc>
          <w:tcPr>
            <w:tcW w:w="1125" w:type="dxa"/>
            <w:vMerge w:val="continue"/>
            <w:vAlign w:val="center"/>
          </w:tcPr>
          <w:p>
            <w:pPr>
              <w:jc w:val="center"/>
              <w:rPr>
                <w:rFonts w:hint="eastAsia" w:ascii="宋体" w:hAnsi="宋体" w:eastAsia="宋体" w:cs="宋体"/>
                <w:color w:val="000000" w:themeColor="text1"/>
                <w:kern w:val="0"/>
                <w:sz w:val="24"/>
                <w:szCs w:val="24"/>
                <w:highlight w:val="none"/>
                <w14:textFill>
                  <w14:solidFill>
                    <w14:schemeClr w14:val="tx1"/>
                  </w14:solidFill>
                </w14:textFill>
              </w:rPr>
            </w:pPr>
          </w:p>
        </w:tc>
        <w:tc>
          <w:tcPr>
            <w:tcW w:w="1952" w:type="dxa"/>
            <w:vMerge w:val="continue"/>
            <w:vAlign w:val="center"/>
          </w:tcPr>
          <w:p>
            <w:pPr>
              <w:jc w:val="center"/>
              <w:rPr>
                <w:rFonts w:hint="eastAsia" w:ascii="宋体" w:hAnsi="宋体" w:eastAsia="宋体" w:cs="宋体"/>
                <w:color w:val="000000" w:themeColor="text1"/>
                <w:kern w:val="0"/>
                <w:sz w:val="24"/>
                <w:szCs w:val="24"/>
                <w:highlight w:val="none"/>
                <w14:textFill>
                  <w14:solidFill>
                    <w14:schemeClr w14:val="tx1"/>
                  </w14:solidFill>
                </w14:textFill>
              </w:rPr>
            </w:pPr>
          </w:p>
        </w:tc>
        <w:tc>
          <w:tcPr>
            <w:tcW w:w="2518" w:type="dxa"/>
            <w:vMerge w:val="continue"/>
            <w:vAlign w:val="center"/>
          </w:tcPr>
          <w:p>
            <w:pPr>
              <w:jc w:val="center"/>
              <w:rPr>
                <w:rFonts w:hint="eastAsia" w:ascii="宋体" w:hAnsi="宋体" w:eastAsia="宋体" w:cs="宋体"/>
                <w:color w:val="000000" w:themeColor="text1"/>
                <w:kern w:val="0"/>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5" w:hRule="atLeast"/>
        </w:trPr>
        <w:tc>
          <w:tcPr>
            <w:tcW w:w="2202" w:type="dxa"/>
            <w:vAlign w:val="center"/>
          </w:tcPr>
          <w:p>
            <w:pPr>
              <w:jc w:val="both"/>
              <w:rPr>
                <w:rFonts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auto"/>
                <w:kern w:val="0"/>
                <w:sz w:val="24"/>
                <w:szCs w:val="24"/>
                <w:highlight w:val="none"/>
                <w:shd w:val="clear" w:color="auto" w:fill="auto"/>
              </w:rPr>
              <w:t>地表水（</w:t>
            </w:r>
            <w:r>
              <w:rPr>
                <w:rFonts w:hint="eastAsia" w:ascii="宋体" w:hAnsi="宋体" w:eastAsia="宋体" w:cs="Times New Roman"/>
                <w:color w:val="auto"/>
                <w:kern w:val="0"/>
                <w:sz w:val="24"/>
                <w:szCs w:val="24"/>
                <w:highlight w:val="none"/>
                <w:shd w:val="clear" w:color="auto" w:fill="auto"/>
                <w:lang w:val="en-US" w:eastAsia="zh-CN"/>
              </w:rPr>
              <w:t>马蹄河</w:t>
            </w:r>
            <w:r>
              <w:rPr>
                <w:rFonts w:hint="eastAsia" w:ascii="宋体" w:hAnsi="宋体" w:eastAsia="宋体" w:cs="Times New Roman"/>
                <w:color w:val="auto"/>
                <w:kern w:val="0"/>
                <w:sz w:val="24"/>
                <w:szCs w:val="24"/>
                <w:highlight w:val="none"/>
                <w:shd w:val="clear" w:color="auto" w:fill="auto"/>
              </w:rPr>
              <w:t>）</w:t>
            </w:r>
            <w:r>
              <w:rPr>
                <w:rFonts w:ascii="宋体" w:hAnsi="宋体" w:eastAsia="宋体" w:cs="Times New Roman"/>
                <w:color w:val="auto"/>
                <w:kern w:val="0"/>
                <w:sz w:val="24"/>
                <w:szCs w:val="24"/>
                <w:highlight w:val="none"/>
                <w:shd w:val="clear" w:color="auto" w:fill="auto"/>
              </w:rPr>
              <w:t>上游0.5km</w:t>
            </w:r>
          </w:p>
        </w:tc>
        <w:tc>
          <w:tcPr>
            <w:tcW w:w="963" w:type="dxa"/>
            <w:vMerge w:val="restart"/>
            <w:vAlign w:val="center"/>
          </w:tcPr>
          <w:p>
            <w:pPr>
              <w:jc w:val="center"/>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余氯</w:t>
            </w:r>
          </w:p>
        </w:tc>
        <w:tc>
          <w:tcPr>
            <w:tcW w:w="1290" w:type="dxa"/>
            <w:vMerge w:val="restart"/>
            <w:vAlign w:val="center"/>
          </w:tcPr>
          <w:p>
            <w:pPr>
              <w:jc w:val="center"/>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雨水余氯项目如今没有标准，不予评价。</w:t>
            </w:r>
          </w:p>
        </w:tc>
        <w:tc>
          <w:tcPr>
            <w:tcW w:w="1065" w:type="dxa"/>
            <w:vMerge w:val="restart"/>
            <w:vAlign w:val="center"/>
          </w:tcPr>
          <w:p>
            <w:pPr>
              <w:jc w:val="center"/>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手工</w:t>
            </w:r>
          </w:p>
        </w:tc>
        <w:tc>
          <w:tcPr>
            <w:tcW w:w="1125" w:type="dxa"/>
            <w:vMerge w:val="restart"/>
            <w:vAlign w:val="center"/>
          </w:tcPr>
          <w:p>
            <w:pPr>
              <w:jc w:val="center"/>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3次/年</w:t>
            </w:r>
          </w:p>
        </w:tc>
        <w:tc>
          <w:tcPr>
            <w:tcW w:w="1952" w:type="dxa"/>
            <w:vMerge w:val="restart"/>
            <w:vAlign w:val="center"/>
          </w:tcPr>
          <w:p>
            <w:pPr>
              <w:jc w:val="center"/>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便携式分光光度计</w:t>
            </w:r>
          </w:p>
        </w:tc>
        <w:tc>
          <w:tcPr>
            <w:tcW w:w="2518" w:type="dxa"/>
            <w:vMerge w:val="restart"/>
            <w:vAlign w:val="center"/>
          </w:tcPr>
          <w:p>
            <w:pPr>
              <w:jc w:val="center"/>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《水质 游离氯和总氯的测定 N, N-二乙基-1, 4-苯二胺分光光度法》HJ 586-2010</w:t>
            </w:r>
          </w:p>
          <w:p>
            <w:pPr>
              <w:jc w:val="center"/>
              <w:rPr>
                <w:rFonts w:hint="eastAsia" w:ascii="宋体" w:hAnsi="宋体" w:eastAsia="宋体" w:cs="宋体"/>
                <w:color w:val="000000" w:themeColor="text1"/>
                <w:kern w:val="0"/>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2" w:hRule="atLeast"/>
        </w:trPr>
        <w:tc>
          <w:tcPr>
            <w:tcW w:w="2202" w:type="dxa"/>
            <w:vAlign w:val="center"/>
          </w:tcPr>
          <w:p>
            <w:pPr>
              <w:jc w:val="center"/>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auto"/>
                <w:kern w:val="0"/>
                <w:sz w:val="24"/>
                <w:szCs w:val="24"/>
                <w:highlight w:val="none"/>
                <w:shd w:val="clear" w:color="auto" w:fill="auto"/>
              </w:rPr>
              <w:t>地表水（</w:t>
            </w:r>
            <w:r>
              <w:rPr>
                <w:rFonts w:hint="eastAsia" w:ascii="宋体" w:hAnsi="宋体" w:eastAsia="宋体" w:cs="Times New Roman"/>
                <w:color w:val="auto"/>
                <w:kern w:val="0"/>
                <w:sz w:val="24"/>
                <w:szCs w:val="24"/>
                <w:highlight w:val="none"/>
                <w:shd w:val="clear" w:color="auto" w:fill="auto"/>
                <w:lang w:val="en-US" w:eastAsia="zh-CN"/>
              </w:rPr>
              <w:t>马蹄河</w:t>
            </w:r>
            <w:r>
              <w:rPr>
                <w:rFonts w:hint="eastAsia" w:ascii="宋体" w:hAnsi="宋体" w:eastAsia="宋体" w:cs="Times New Roman"/>
                <w:color w:val="auto"/>
                <w:kern w:val="0"/>
                <w:sz w:val="24"/>
                <w:szCs w:val="24"/>
                <w:highlight w:val="none"/>
                <w:shd w:val="clear" w:color="auto" w:fill="auto"/>
              </w:rPr>
              <w:t>）下游1.5km）</w:t>
            </w:r>
          </w:p>
        </w:tc>
        <w:tc>
          <w:tcPr>
            <w:tcW w:w="963" w:type="dxa"/>
            <w:vMerge w:val="continue"/>
            <w:vAlign w:val="center"/>
          </w:tcPr>
          <w:p>
            <w:pPr>
              <w:jc w:val="center"/>
              <w:rPr>
                <w:rFonts w:hint="eastAsia" w:ascii="宋体" w:hAnsi="宋体" w:eastAsia="宋体" w:cs="宋体"/>
                <w:color w:val="000000" w:themeColor="text1"/>
                <w:kern w:val="0"/>
                <w:sz w:val="24"/>
                <w:szCs w:val="24"/>
                <w:highlight w:val="none"/>
                <w14:textFill>
                  <w14:solidFill>
                    <w14:schemeClr w14:val="tx1"/>
                  </w14:solidFill>
                </w14:textFill>
              </w:rPr>
            </w:pPr>
          </w:p>
        </w:tc>
        <w:tc>
          <w:tcPr>
            <w:tcW w:w="1290" w:type="dxa"/>
            <w:vMerge w:val="continue"/>
            <w:vAlign w:val="center"/>
          </w:tcPr>
          <w:p>
            <w:pPr>
              <w:jc w:val="center"/>
              <w:rPr>
                <w:rFonts w:hint="eastAsia" w:ascii="宋体" w:hAnsi="宋体" w:eastAsia="宋体" w:cs="宋体"/>
                <w:color w:val="000000" w:themeColor="text1"/>
                <w:kern w:val="0"/>
                <w:sz w:val="24"/>
                <w:szCs w:val="24"/>
                <w:highlight w:val="none"/>
                <w14:textFill>
                  <w14:solidFill>
                    <w14:schemeClr w14:val="tx1"/>
                  </w14:solidFill>
                </w14:textFill>
              </w:rPr>
            </w:pPr>
          </w:p>
        </w:tc>
        <w:tc>
          <w:tcPr>
            <w:tcW w:w="1065" w:type="dxa"/>
            <w:vMerge w:val="continue"/>
            <w:vAlign w:val="center"/>
          </w:tcPr>
          <w:p>
            <w:pPr>
              <w:jc w:val="center"/>
              <w:rPr>
                <w:rFonts w:hint="eastAsia" w:ascii="宋体" w:hAnsi="宋体" w:eastAsia="宋体" w:cs="宋体"/>
                <w:color w:val="000000" w:themeColor="text1"/>
                <w:kern w:val="0"/>
                <w:sz w:val="24"/>
                <w:szCs w:val="24"/>
                <w:highlight w:val="none"/>
                <w14:textFill>
                  <w14:solidFill>
                    <w14:schemeClr w14:val="tx1"/>
                  </w14:solidFill>
                </w14:textFill>
              </w:rPr>
            </w:pPr>
          </w:p>
        </w:tc>
        <w:tc>
          <w:tcPr>
            <w:tcW w:w="1125" w:type="dxa"/>
            <w:vMerge w:val="continue"/>
            <w:vAlign w:val="center"/>
          </w:tcPr>
          <w:p>
            <w:pPr>
              <w:jc w:val="center"/>
              <w:rPr>
                <w:rFonts w:hint="eastAsia" w:ascii="宋体" w:hAnsi="宋体" w:eastAsia="宋体" w:cs="宋体"/>
                <w:color w:val="000000" w:themeColor="text1"/>
                <w:kern w:val="0"/>
                <w:sz w:val="24"/>
                <w:szCs w:val="24"/>
                <w:highlight w:val="none"/>
                <w14:textFill>
                  <w14:solidFill>
                    <w14:schemeClr w14:val="tx1"/>
                  </w14:solidFill>
                </w14:textFill>
              </w:rPr>
            </w:pPr>
          </w:p>
        </w:tc>
        <w:tc>
          <w:tcPr>
            <w:tcW w:w="1952" w:type="dxa"/>
            <w:vMerge w:val="continue"/>
            <w:vAlign w:val="center"/>
          </w:tcPr>
          <w:p>
            <w:pPr>
              <w:jc w:val="center"/>
              <w:rPr>
                <w:rFonts w:hint="eastAsia" w:ascii="宋体" w:hAnsi="宋体" w:eastAsia="宋体" w:cs="宋体"/>
                <w:color w:val="000000" w:themeColor="text1"/>
                <w:kern w:val="0"/>
                <w:sz w:val="24"/>
                <w:szCs w:val="24"/>
                <w:highlight w:val="none"/>
                <w14:textFill>
                  <w14:solidFill>
                    <w14:schemeClr w14:val="tx1"/>
                  </w14:solidFill>
                </w14:textFill>
              </w:rPr>
            </w:pPr>
          </w:p>
        </w:tc>
        <w:tc>
          <w:tcPr>
            <w:tcW w:w="2518" w:type="dxa"/>
            <w:vMerge w:val="continue"/>
            <w:vAlign w:val="center"/>
          </w:tcPr>
          <w:p>
            <w:pPr>
              <w:jc w:val="center"/>
              <w:rPr>
                <w:rFonts w:hint="eastAsia" w:ascii="宋体" w:hAnsi="宋体" w:eastAsia="宋体" w:cs="宋体"/>
                <w:color w:val="000000" w:themeColor="text1"/>
                <w:kern w:val="0"/>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15" w:type="dxa"/>
            <w:gridSpan w:val="7"/>
            <w:vAlign w:val="center"/>
          </w:tcPr>
          <w:p>
            <w:pPr>
              <w:jc w:val="left"/>
              <w:rPr>
                <w:highlight w:val="none"/>
              </w:rPr>
            </w:pPr>
            <w:r>
              <w:rPr>
                <w:rFonts w:hint="eastAsia"/>
                <w:highlight w:val="none"/>
              </w:rPr>
              <w:t>备注：1.采用含氯化学品对污水进行消毒的，需要监测余氯；</w:t>
            </w:r>
          </w:p>
          <w:p>
            <w:pPr>
              <w:numPr>
                <w:ilvl w:val="0"/>
                <w:numId w:val="4"/>
              </w:numPr>
              <w:ind w:left="630" w:leftChars="0" w:firstLine="0" w:firstLineChars="0"/>
              <w:jc w:val="left"/>
              <w:rPr>
                <w:highlight w:val="none"/>
              </w:rPr>
            </w:pPr>
            <w:r>
              <w:rPr>
                <w:rFonts w:hint="eastAsia"/>
                <w:highlight w:val="none"/>
              </w:rPr>
              <w:t>监测频次为丰水期、枯水期、平水期各一次。</w:t>
            </w:r>
          </w:p>
          <w:p>
            <w:pPr>
              <w:numPr>
                <w:ilvl w:val="0"/>
                <w:numId w:val="4"/>
              </w:numPr>
              <w:ind w:left="630" w:leftChars="0" w:firstLine="0" w:firstLineChars="0"/>
              <w:jc w:val="left"/>
              <w:rPr>
                <w:highlight w:val="none"/>
              </w:rPr>
            </w:pPr>
            <w:r>
              <w:rPr>
                <w:rFonts w:hint="eastAsia" w:asciiTheme="minorHAnsi" w:hAnsiTheme="minorHAnsi" w:eastAsiaTheme="minorEastAsia" w:cstheme="minorBidi"/>
                <w:b w:val="0"/>
                <w:bCs w:val="0"/>
                <w:kern w:val="2"/>
                <w:sz w:val="21"/>
                <w:szCs w:val="22"/>
                <w:highlight w:val="none"/>
                <w:lang w:val="en-US" w:eastAsia="zh-CN" w:bidi="ar-SA"/>
              </w:rPr>
              <w:t>监测点位分上游和下游，需分开填写，不能糅合一起。</w:t>
            </w:r>
          </w:p>
        </w:tc>
      </w:tr>
    </w:tbl>
    <w:p>
      <w:pPr>
        <w:outlineLvl w:val="1"/>
        <w:rPr>
          <w:rFonts w:ascii="宋体" w:hAnsi="宋体" w:eastAsia="宋体" w:cs="宋体"/>
          <w:sz w:val="28"/>
          <w:szCs w:val="28"/>
          <w:highlight w:val="none"/>
        </w:rPr>
      </w:pPr>
      <w:r>
        <w:rPr>
          <w:rFonts w:hint="eastAsia" w:ascii="宋体" w:hAnsi="宋体" w:eastAsia="宋体" w:cs="宋体"/>
          <w:sz w:val="28"/>
          <w:szCs w:val="28"/>
          <w:highlight w:val="none"/>
        </w:rPr>
        <w:t>6、</w:t>
      </w:r>
      <w:r>
        <w:rPr>
          <w:rFonts w:hint="eastAsia" w:ascii="宋体" w:hAnsi="宋体" w:eastAsia="宋体" w:cs="宋体"/>
          <w:kern w:val="28"/>
          <w:sz w:val="28"/>
          <w:szCs w:val="28"/>
          <w:highlight w:val="none"/>
        </w:rPr>
        <w:t>厂界噪声监测方案</w:t>
      </w:r>
    </w:p>
    <w:tbl>
      <w:tblPr>
        <w:tblStyle w:val="13"/>
        <w:tblW w:w="10950" w:type="dxa"/>
        <w:tblInd w:w="-11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8"/>
        <w:gridCol w:w="1564"/>
        <w:gridCol w:w="2136"/>
        <w:gridCol w:w="1312"/>
        <w:gridCol w:w="996"/>
        <w:gridCol w:w="1123"/>
        <w:gridCol w:w="26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blHeader/>
        </w:trPr>
        <w:tc>
          <w:tcPr>
            <w:tcW w:w="1178" w:type="dxa"/>
          </w:tcPr>
          <w:p>
            <w:pPr>
              <w:jc w:val="center"/>
              <w:rPr>
                <w:rFonts w:ascii="宋体" w:hAnsi="宋体" w:eastAsia="宋体" w:cs="宋体"/>
                <w:sz w:val="24"/>
                <w:szCs w:val="24"/>
                <w:highlight w:val="none"/>
              </w:rPr>
            </w:pPr>
            <w:r>
              <w:rPr>
                <w:rFonts w:hint="eastAsia" w:ascii="宋体" w:hAnsi="宋体" w:eastAsia="宋体" w:cs="宋体"/>
                <w:sz w:val="24"/>
                <w:szCs w:val="24"/>
                <w:highlight w:val="none"/>
              </w:rPr>
              <w:t>监测点位</w:t>
            </w:r>
          </w:p>
        </w:tc>
        <w:tc>
          <w:tcPr>
            <w:tcW w:w="1564" w:type="dxa"/>
          </w:tcPr>
          <w:p>
            <w:pPr>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rPr>
              <w:t>监测指标</w:t>
            </w:r>
          </w:p>
        </w:tc>
        <w:tc>
          <w:tcPr>
            <w:tcW w:w="2136" w:type="dxa"/>
          </w:tcPr>
          <w:p>
            <w:pPr>
              <w:jc w:val="center"/>
              <w:rPr>
                <w:rFonts w:ascii="宋体" w:hAnsi="宋体" w:eastAsia="宋体" w:cs="宋体"/>
                <w:sz w:val="24"/>
                <w:szCs w:val="24"/>
                <w:highlight w:val="none"/>
              </w:rPr>
            </w:pPr>
            <w:r>
              <w:rPr>
                <w:rFonts w:hint="eastAsia" w:ascii="宋体" w:hAnsi="宋体" w:eastAsia="宋体" w:cs="宋体"/>
                <w:sz w:val="24"/>
                <w:szCs w:val="24"/>
                <w:highlight w:val="none"/>
              </w:rPr>
              <w:t>排放标准</w:t>
            </w:r>
          </w:p>
        </w:tc>
        <w:tc>
          <w:tcPr>
            <w:tcW w:w="1312" w:type="dxa"/>
          </w:tcPr>
          <w:p>
            <w:pPr>
              <w:jc w:val="center"/>
              <w:rPr>
                <w:rFonts w:ascii="宋体" w:hAnsi="宋体" w:eastAsia="宋体" w:cs="宋体"/>
                <w:sz w:val="24"/>
                <w:szCs w:val="24"/>
                <w:highlight w:val="none"/>
              </w:rPr>
            </w:pPr>
            <w:r>
              <w:rPr>
                <w:rFonts w:hint="eastAsia" w:ascii="宋体" w:hAnsi="宋体" w:eastAsia="宋体" w:cs="宋体"/>
                <w:sz w:val="24"/>
                <w:szCs w:val="24"/>
                <w:highlight w:val="none"/>
              </w:rPr>
              <w:t>排放限值</w:t>
            </w:r>
          </w:p>
        </w:tc>
        <w:tc>
          <w:tcPr>
            <w:tcW w:w="996" w:type="dxa"/>
          </w:tcPr>
          <w:p>
            <w:pPr>
              <w:jc w:val="center"/>
              <w:rPr>
                <w:rFonts w:ascii="宋体" w:hAnsi="宋体" w:eastAsia="宋体" w:cs="宋体"/>
                <w:sz w:val="24"/>
                <w:szCs w:val="24"/>
                <w:highlight w:val="none"/>
              </w:rPr>
            </w:pPr>
            <w:r>
              <w:rPr>
                <w:rFonts w:hint="eastAsia" w:ascii="宋体" w:hAnsi="宋体" w:eastAsia="宋体" w:cs="宋体"/>
                <w:sz w:val="24"/>
                <w:szCs w:val="24"/>
                <w:highlight w:val="none"/>
              </w:rPr>
              <w:t>监测方式</w:t>
            </w:r>
          </w:p>
        </w:tc>
        <w:tc>
          <w:tcPr>
            <w:tcW w:w="1123" w:type="dxa"/>
          </w:tcPr>
          <w:p>
            <w:pPr>
              <w:jc w:val="center"/>
              <w:rPr>
                <w:rFonts w:ascii="宋体" w:hAnsi="宋体" w:eastAsia="宋体" w:cs="宋体"/>
                <w:sz w:val="24"/>
                <w:szCs w:val="24"/>
                <w:highlight w:val="none"/>
              </w:rPr>
            </w:pPr>
            <w:r>
              <w:rPr>
                <w:rFonts w:hint="eastAsia" w:ascii="宋体" w:hAnsi="宋体" w:eastAsia="宋体" w:cs="宋体"/>
                <w:sz w:val="24"/>
                <w:szCs w:val="24"/>
                <w:highlight w:val="none"/>
              </w:rPr>
              <w:t>监测频次</w:t>
            </w:r>
          </w:p>
        </w:tc>
        <w:tc>
          <w:tcPr>
            <w:tcW w:w="2641" w:type="dxa"/>
          </w:tcPr>
          <w:p>
            <w:pPr>
              <w:jc w:val="center"/>
              <w:rPr>
                <w:rFonts w:ascii="宋体" w:hAnsi="宋体" w:eastAsia="宋体" w:cs="宋体"/>
                <w:sz w:val="24"/>
                <w:szCs w:val="24"/>
                <w:highlight w:val="none"/>
              </w:rPr>
            </w:pPr>
            <w:r>
              <w:rPr>
                <w:rFonts w:hint="eastAsia" w:ascii="宋体" w:hAnsi="宋体" w:eastAsia="宋体" w:cs="宋体"/>
                <w:sz w:val="24"/>
                <w:szCs w:val="24"/>
                <w:highlight w:val="none"/>
              </w:rPr>
              <w:t>监测方法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8" w:type="dxa"/>
            <w:vAlign w:val="top"/>
          </w:tcPr>
          <w:p>
            <w:pPr>
              <w:rPr>
                <w:rFonts w:ascii="宋体" w:hAnsi="宋体" w:eastAsia="宋体" w:cs="宋体"/>
                <w:color w:val="FF0000"/>
                <w:sz w:val="24"/>
                <w:szCs w:val="24"/>
                <w:highlight w:val="none"/>
              </w:rPr>
            </w:pPr>
            <w:r>
              <w:rPr>
                <w:rFonts w:hint="eastAsia" w:ascii="宋体" w:hAnsi="宋体" w:eastAsia="宋体" w:cs="宋体"/>
                <w:color w:val="auto"/>
                <w:sz w:val="22"/>
                <w:szCs w:val="22"/>
                <w:highlight w:val="none"/>
                <w:shd w:val="clear" w:color="auto" w:fill="auto"/>
              </w:rPr>
              <w:t>东(ZS-O</w:t>
            </w:r>
            <w:r>
              <w:rPr>
                <w:rFonts w:hint="eastAsia" w:ascii="宋体" w:hAnsi="宋体" w:eastAsia="宋体" w:cs="宋体"/>
                <w:color w:val="auto"/>
                <w:sz w:val="22"/>
                <w:szCs w:val="22"/>
                <w:highlight w:val="none"/>
                <w:shd w:val="clear" w:color="auto" w:fill="auto"/>
                <w:lang w:val="en-US" w:eastAsia="zh-CN"/>
              </w:rPr>
              <w:t>H9055</w:t>
            </w:r>
            <w:r>
              <w:rPr>
                <w:rFonts w:hint="eastAsia" w:ascii="宋体" w:hAnsi="宋体" w:eastAsia="宋体" w:cs="宋体"/>
                <w:color w:val="auto"/>
                <w:sz w:val="22"/>
                <w:szCs w:val="22"/>
                <w:highlight w:val="none"/>
                <w:shd w:val="clear" w:color="auto" w:fill="auto"/>
              </w:rPr>
              <w:t>)</w:t>
            </w:r>
          </w:p>
        </w:tc>
        <w:tc>
          <w:tcPr>
            <w:tcW w:w="1564" w:type="dxa"/>
            <w:vAlign w:val="top"/>
          </w:tcPr>
          <w:p>
            <w:pPr>
              <w:jc w:val="center"/>
              <w:rPr>
                <w:rFonts w:hint="default" w:ascii="宋体" w:hAnsi="宋体" w:eastAsia="宋体" w:cs="宋体"/>
                <w:color w:val="FF0000"/>
                <w:sz w:val="24"/>
                <w:szCs w:val="24"/>
                <w:highlight w:val="none"/>
                <w:lang w:val="en-US" w:eastAsia="zh-CN"/>
              </w:rPr>
            </w:pPr>
            <w:r>
              <w:rPr>
                <w:rFonts w:hint="eastAsia" w:ascii="宋体" w:hAnsi="宋体" w:eastAsia="宋体" w:cs="宋体"/>
                <w:color w:val="auto"/>
                <w:sz w:val="24"/>
                <w:szCs w:val="24"/>
                <w:highlight w:val="none"/>
                <w:shd w:val="clear" w:color="auto" w:fill="auto"/>
                <w:lang w:val="en-US" w:eastAsia="zh-CN"/>
              </w:rPr>
              <w:t>等效连续A声级</w:t>
            </w:r>
          </w:p>
        </w:tc>
        <w:tc>
          <w:tcPr>
            <w:tcW w:w="2136" w:type="dxa"/>
            <w:vAlign w:val="center"/>
          </w:tcPr>
          <w:p>
            <w:pPr>
              <w:jc w:val="center"/>
              <w:rPr>
                <w:rFonts w:ascii="宋体" w:hAnsi="宋体" w:eastAsia="宋体" w:cs="宋体"/>
                <w:color w:val="FF0000"/>
                <w:sz w:val="24"/>
                <w:szCs w:val="24"/>
                <w:highlight w:val="none"/>
              </w:rPr>
            </w:pPr>
            <w:r>
              <w:rPr>
                <w:rFonts w:hint="eastAsia" w:ascii="宋体" w:hAnsi="宋体" w:eastAsia="宋体" w:cs="宋体"/>
                <w:color w:val="auto"/>
                <w:sz w:val="24"/>
                <w:szCs w:val="24"/>
                <w:highlight w:val="none"/>
                <w:shd w:val="clear" w:color="auto" w:fill="auto"/>
              </w:rPr>
              <w:t>工业企业厂界环境噪声排放标准 GB 12348-2008中</w:t>
            </w:r>
            <w:r>
              <w:rPr>
                <w:rFonts w:hint="eastAsia" w:ascii="宋体" w:hAnsi="宋体" w:eastAsia="宋体" w:cs="宋体"/>
                <w:color w:val="auto"/>
                <w:sz w:val="24"/>
                <w:szCs w:val="24"/>
                <w:highlight w:val="none"/>
                <w:shd w:val="clear" w:color="auto" w:fill="auto"/>
                <w:lang w:val="en-US" w:eastAsia="zh-CN"/>
              </w:rPr>
              <w:t>3</w:t>
            </w:r>
            <w:r>
              <w:rPr>
                <w:rFonts w:hint="eastAsia" w:ascii="宋体" w:hAnsi="宋体" w:eastAsia="宋体" w:cs="宋体"/>
                <w:color w:val="auto"/>
                <w:sz w:val="24"/>
                <w:szCs w:val="24"/>
                <w:highlight w:val="none"/>
                <w:shd w:val="clear" w:color="auto" w:fill="auto"/>
              </w:rPr>
              <w:t>类标准</w:t>
            </w:r>
          </w:p>
        </w:tc>
        <w:tc>
          <w:tcPr>
            <w:tcW w:w="1312" w:type="dxa"/>
            <w:vAlign w:val="center"/>
          </w:tcPr>
          <w:p>
            <w:pPr>
              <w:snapToGrid w:val="0"/>
              <w:contextualSpacing/>
              <w:jc w:val="center"/>
              <w:rPr>
                <w:rFonts w:ascii="宋体" w:hAnsi="宋体" w:eastAsia="宋体" w:cs="宋体"/>
                <w:color w:val="FF0000"/>
                <w:sz w:val="24"/>
                <w:szCs w:val="24"/>
                <w:highlight w:val="none"/>
              </w:rPr>
            </w:pPr>
            <w:r>
              <w:rPr>
                <w:rFonts w:hint="eastAsia" w:ascii="宋体" w:hAnsi="宋体" w:eastAsia="宋体" w:cs="宋体"/>
                <w:color w:val="auto"/>
                <w:sz w:val="24"/>
                <w:szCs w:val="24"/>
                <w:highlight w:val="none"/>
                <w:shd w:val="clear" w:color="auto" w:fill="auto"/>
              </w:rPr>
              <w:t>昼间</w:t>
            </w:r>
            <w:r>
              <w:rPr>
                <w:rFonts w:hint="eastAsia" w:ascii="宋体" w:hAnsi="宋体" w:eastAsia="宋体" w:cs="宋体"/>
                <w:color w:val="auto"/>
                <w:sz w:val="24"/>
                <w:szCs w:val="24"/>
                <w:highlight w:val="none"/>
                <w:shd w:val="clear" w:color="auto" w:fill="auto"/>
                <w:lang w:val="en-US" w:eastAsia="zh-CN"/>
              </w:rPr>
              <w:t>65</w:t>
            </w:r>
            <w:r>
              <w:rPr>
                <w:rFonts w:hint="eastAsia" w:ascii="宋体" w:hAnsi="宋体" w:eastAsia="宋体" w:cs="宋体"/>
                <w:color w:val="auto"/>
                <w:sz w:val="24"/>
                <w:szCs w:val="24"/>
                <w:highlight w:val="none"/>
                <w:shd w:val="clear" w:color="auto" w:fill="auto"/>
              </w:rPr>
              <w:t>dB夜间</w:t>
            </w:r>
            <w:r>
              <w:rPr>
                <w:rFonts w:hint="eastAsia" w:ascii="宋体" w:hAnsi="宋体" w:eastAsia="宋体" w:cs="宋体"/>
                <w:color w:val="auto"/>
                <w:sz w:val="24"/>
                <w:szCs w:val="24"/>
                <w:highlight w:val="none"/>
                <w:shd w:val="clear" w:color="auto" w:fill="auto"/>
                <w:lang w:val="en-US" w:eastAsia="zh-CN"/>
              </w:rPr>
              <w:t>55</w:t>
            </w:r>
            <w:r>
              <w:rPr>
                <w:rFonts w:hint="eastAsia" w:ascii="宋体" w:hAnsi="宋体" w:eastAsia="宋体" w:cs="宋体"/>
                <w:color w:val="auto"/>
                <w:sz w:val="24"/>
                <w:szCs w:val="24"/>
                <w:highlight w:val="none"/>
                <w:shd w:val="clear" w:color="auto" w:fill="auto"/>
              </w:rPr>
              <w:t>dB</w:t>
            </w:r>
          </w:p>
        </w:tc>
        <w:tc>
          <w:tcPr>
            <w:tcW w:w="996" w:type="dxa"/>
            <w:vAlign w:val="center"/>
          </w:tcPr>
          <w:p>
            <w:pPr>
              <w:jc w:val="center"/>
              <w:rPr>
                <w:rFonts w:ascii="宋体" w:hAnsi="宋体" w:eastAsia="宋体" w:cs="宋体"/>
                <w:color w:val="FF0000"/>
                <w:sz w:val="24"/>
                <w:szCs w:val="24"/>
                <w:highlight w:val="none"/>
              </w:rPr>
            </w:pPr>
            <w:r>
              <w:rPr>
                <w:rFonts w:hint="eastAsia" w:ascii="宋体" w:hAnsi="宋体" w:eastAsia="宋体" w:cs="宋体"/>
                <w:color w:val="auto"/>
                <w:sz w:val="24"/>
                <w:szCs w:val="24"/>
                <w:highlight w:val="none"/>
                <w:shd w:val="clear" w:color="auto" w:fill="auto"/>
                <w:lang w:val="en-US" w:eastAsia="zh-CN"/>
              </w:rPr>
              <w:t>手工</w:t>
            </w:r>
          </w:p>
        </w:tc>
        <w:tc>
          <w:tcPr>
            <w:tcW w:w="1123" w:type="dxa"/>
            <w:vAlign w:val="center"/>
          </w:tcPr>
          <w:p>
            <w:pPr>
              <w:jc w:val="center"/>
              <w:rPr>
                <w:rFonts w:ascii="宋体" w:hAnsi="宋体" w:eastAsia="宋体" w:cs="宋体"/>
                <w:sz w:val="24"/>
                <w:szCs w:val="24"/>
                <w:highlight w:val="none"/>
              </w:rPr>
            </w:pPr>
            <w:r>
              <w:rPr>
                <w:rFonts w:hint="eastAsia" w:ascii="宋体" w:hAnsi="宋体" w:eastAsia="宋体" w:cs="宋体"/>
                <w:color w:val="auto"/>
                <w:sz w:val="24"/>
                <w:szCs w:val="24"/>
                <w:highlight w:val="none"/>
                <w:shd w:val="clear" w:color="auto" w:fill="auto"/>
              </w:rPr>
              <w:t>1次/1季度</w:t>
            </w:r>
          </w:p>
        </w:tc>
        <w:tc>
          <w:tcPr>
            <w:tcW w:w="2641" w:type="dxa"/>
            <w:vAlign w:val="center"/>
          </w:tcPr>
          <w:p>
            <w:pPr>
              <w:jc w:val="center"/>
              <w:rPr>
                <w:rFonts w:ascii="宋体" w:hAnsi="宋体" w:eastAsia="宋体" w:cs="宋体"/>
                <w:sz w:val="24"/>
                <w:szCs w:val="24"/>
                <w:highlight w:val="none"/>
              </w:rPr>
            </w:pPr>
            <w:r>
              <w:rPr>
                <w:rFonts w:hint="eastAsia" w:ascii="宋体" w:hAnsi="宋体" w:eastAsia="宋体" w:cs="宋体"/>
                <w:color w:val="auto"/>
                <w:sz w:val="24"/>
                <w:szCs w:val="24"/>
                <w:highlight w:val="none"/>
                <w:shd w:val="clear" w:color="auto" w:fill="auto"/>
              </w:rPr>
              <w:t>工业企业厂界环境噪声排放标准 GB 12348-2008中</w:t>
            </w:r>
            <w:r>
              <w:rPr>
                <w:rFonts w:hint="eastAsia" w:ascii="宋体" w:hAnsi="宋体" w:eastAsia="宋体" w:cs="宋体"/>
                <w:color w:val="auto"/>
                <w:sz w:val="24"/>
                <w:szCs w:val="24"/>
                <w:highlight w:val="none"/>
                <w:shd w:val="clear" w:color="auto" w:fill="auto"/>
                <w:lang w:val="en-US" w:eastAsia="zh-CN"/>
              </w:rPr>
              <w:t>3</w:t>
            </w:r>
            <w:r>
              <w:rPr>
                <w:rFonts w:hint="eastAsia" w:ascii="宋体" w:hAnsi="宋体" w:eastAsia="宋体" w:cs="宋体"/>
                <w:color w:val="auto"/>
                <w:sz w:val="24"/>
                <w:szCs w:val="24"/>
                <w:highlight w:val="none"/>
                <w:shd w:val="clear" w:color="auto" w:fill="auto"/>
              </w:rPr>
              <w:t>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8" w:type="dxa"/>
            <w:vAlign w:val="top"/>
          </w:tcPr>
          <w:p>
            <w:pPr>
              <w:rPr>
                <w:rFonts w:ascii="宋体" w:hAnsi="宋体" w:eastAsia="宋体" w:cs="宋体"/>
                <w:color w:val="FF0000"/>
                <w:sz w:val="24"/>
                <w:szCs w:val="24"/>
                <w:highlight w:val="none"/>
              </w:rPr>
            </w:pPr>
            <w:r>
              <w:rPr>
                <w:rFonts w:hint="eastAsia" w:ascii="宋体" w:hAnsi="宋体" w:eastAsia="宋体" w:cs="宋体"/>
                <w:color w:val="auto"/>
                <w:sz w:val="22"/>
                <w:szCs w:val="22"/>
                <w:highlight w:val="none"/>
                <w:shd w:val="clear" w:color="auto" w:fill="auto"/>
                <w:lang w:val="en-US" w:eastAsia="zh-CN"/>
              </w:rPr>
              <w:t>南</w:t>
            </w:r>
            <w:r>
              <w:rPr>
                <w:rFonts w:hint="eastAsia" w:ascii="宋体" w:hAnsi="宋体" w:eastAsia="宋体" w:cs="宋体"/>
                <w:color w:val="auto"/>
                <w:sz w:val="22"/>
                <w:szCs w:val="22"/>
                <w:highlight w:val="none"/>
                <w:shd w:val="clear" w:color="auto" w:fill="auto"/>
              </w:rPr>
              <w:t>(ZS-O</w:t>
            </w:r>
            <w:r>
              <w:rPr>
                <w:rFonts w:hint="eastAsia" w:ascii="宋体" w:hAnsi="宋体" w:eastAsia="宋体" w:cs="宋体"/>
                <w:color w:val="auto"/>
                <w:sz w:val="22"/>
                <w:szCs w:val="22"/>
                <w:highlight w:val="none"/>
                <w:shd w:val="clear" w:color="auto" w:fill="auto"/>
                <w:lang w:val="en-US" w:eastAsia="zh-CN"/>
              </w:rPr>
              <w:t>H9056</w:t>
            </w:r>
            <w:r>
              <w:rPr>
                <w:rFonts w:hint="eastAsia" w:ascii="宋体" w:hAnsi="宋体" w:eastAsia="宋体" w:cs="宋体"/>
                <w:color w:val="auto"/>
                <w:sz w:val="22"/>
                <w:szCs w:val="22"/>
                <w:highlight w:val="none"/>
                <w:shd w:val="clear" w:color="auto" w:fill="auto"/>
              </w:rPr>
              <w:t>)</w:t>
            </w:r>
          </w:p>
        </w:tc>
        <w:tc>
          <w:tcPr>
            <w:tcW w:w="1564" w:type="dxa"/>
            <w:vAlign w:val="top"/>
          </w:tcPr>
          <w:p>
            <w:pPr>
              <w:jc w:val="center"/>
              <w:rPr>
                <w:rFonts w:ascii="宋体" w:hAnsi="宋体" w:eastAsia="宋体" w:cs="宋体"/>
                <w:color w:val="FF0000"/>
                <w:sz w:val="24"/>
                <w:szCs w:val="24"/>
                <w:highlight w:val="none"/>
              </w:rPr>
            </w:pPr>
            <w:r>
              <w:rPr>
                <w:rFonts w:hint="eastAsia" w:ascii="宋体" w:hAnsi="宋体" w:eastAsia="宋体" w:cs="宋体"/>
                <w:color w:val="auto"/>
                <w:sz w:val="24"/>
                <w:szCs w:val="24"/>
                <w:highlight w:val="none"/>
                <w:shd w:val="clear" w:color="auto" w:fill="auto"/>
                <w:lang w:val="en-US" w:eastAsia="zh-CN"/>
              </w:rPr>
              <w:t>等效连续A声级</w:t>
            </w:r>
          </w:p>
        </w:tc>
        <w:tc>
          <w:tcPr>
            <w:tcW w:w="2136" w:type="dxa"/>
            <w:vAlign w:val="center"/>
          </w:tcPr>
          <w:p>
            <w:pPr>
              <w:jc w:val="center"/>
              <w:rPr>
                <w:rFonts w:ascii="宋体" w:hAnsi="宋体" w:eastAsia="宋体" w:cs="宋体"/>
                <w:color w:val="FF0000"/>
                <w:sz w:val="24"/>
                <w:szCs w:val="24"/>
                <w:highlight w:val="none"/>
              </w:rPr>
            </w:pPr>
            <w:r>
              <w:rPr>
                <w:rFonts w:hint="eastAsia" w:ascii="宋体" w:hAnsi="宋体" w:eastAsia="宋体" w:cs="宋体"/>
                <w:color w:val="auto"/>
                <w:sz w:val="24"/>
                <w:szCs w:val="24"/>
                <w:highlight w:val="none"/>
                <w:shd w:val="clear" w:color="auto" w:fill="auto"/>
              </w:rPr>
              <w:t>工业企业厂界环境噪声排放标准 GB 12348-2008中</w:t>
            </w:r>
            <w:r>
              <w:rPr>
                <w:rFonts w:hint="eastAsia" w:ascii="宋体" w:hAnsi="宋体" w:eastAsia="宋体" w:cs="宋体"/>
                <w:color w:val="auto"/>
                <w:sz w:val="24"/>
                <w:szCs w:val="24"/>
                <w:highlight w:val="none"/>
                <w:shd w:val="clear" w:color="auto" w:fill="auto"/>
                <w:lang w:val="en-US" w:eastAsia="zh-CN"/>
              </w:rPr>
              <w:t>4</w:t>
            </w:r>
            <w:r>
              <w:rPr>
                <w:rFonts w:hint="eastAsia" w:ascii="宋体" w:hAnsi="宋体" w:eastAsia="宋体" w:cs="宋体"/>
                <w:color w:val="auto"/>
                <w:sz w:val="24"/>
                <w:szCs w:val="24"/>
                <w:highlight w:val="none"/>
                <w:shd w:val="clear" w:color="auto" w:fill="auto"/>
              </w:rPr>
              <w:t>类标准</w:t>
            </w:r>
          </w:p>
        </w:tc>
        <w:tc>
          <w:tcPr>
            <w:tcW w:w="1312" w:type="dxa"/>
            <w:vAlign w:val="top"/>
          </w:tcPr>
          <w:p>
            <w:pPr>
              <w:jc w:val="center"/>
              <w:rPr>
                <w:rFonts w:ascii="宋体" w:hAnsi="宋体" w:eastAsia="宋体" w:cs="宋体"/>
                <w:color w:val="FF0000"/>
                <w:sz w:val="24"/>
                <w:szCs w:val="24"/>
                <w:highlight w:val="none"/>
              </w:rPr>
            </w:pPr>
            <w:r>
              <w:rPr>
                <w:rFonts w:hint="eastAsia" w:ascii="宋体" w:hAnsi="宋体" w:eastAsia="宋体" w:cs="宋体"/>
                <w:color w:val="auto"/>
                <w:sz w:val="24"/>
                <w:szCs w:val="24"/>
                <w:highlight w:val="none"/>
                <w:shd w:val="clear" w:color="auto" w:fill="auto"/>
              </w:rPr>
              <w:t>昼间</w:t>
            </w:r>
            <w:r>
              <w:rPr>
                <w:rFonts w:hint="eastAsia" w:ascii="宋体" w:hAnsi="宋体" w:eastAsia="宋体" w:cs="宋体"/>
                <w:color w:val="auto"/>
                <w:sz w:val="24"/>
                <w:szCs w:val="24"/>
                <w:highlight w:val="none"/>
                <w:shd w:val="clear" w:color="auto" w:fill="auto"/>
                <w:lang w:val="en-US" w:eastAsia="zh-CN"/>
              </w:rPr>
              <w:t>70</w:t>
            </w:r>
            <w:r>
              <w:rPr>
                <w:rFonts w:hint="eastAsia" w:ascii="宋体" w:hAnsi="宋体" w:eastAsia="宋体" w:cs="宋体"/>
                <w:color w:val="auto"/>
                <w:sz w:val="24"/>
                <w:szCs w:val="24"/>
                <w:highlight w:val="none"/>
                <w:shd w:val="clear" w:color="auto" w:fill="auto"/>
              </w:rPr>
              <w:t>dB夜间5</w:t>
            </w:r>
            <w:r>
              <w:rPr>
                <w:rFonts w:hint="eastAsia" w:ascii="宋体" w:hAnsi="宋体" w:eastAsia="宋体" w:cs="宋体"/>
                <w:color w:val="auto"/>
                <w:sz w:val="24"/>
                <w:szCs w:val="24"/>
                <w:highlight w:val="none"/>
                <w:shd w:val="clear" w:color="auto" w:fill="auto"/>
                <w:lang w:val="en-US" w:eastAsia="zh-CN"/>
              </w:rPr>
              <w:t>5</w:t>
            </w:r>
            <w:r>
              <w:rPr>
                <w:rFonts w:hint="eastAsia" w:ascii="宋体" w:hAnsi="宋体" w:eastAsia="宋体" w:cs="宋体"/>
                <w:color w:val="auto"/>
                <w:sz w:val="24"/>
                <w:szCs w:val="24"/>
                <w:highlight w:val="none"/>
                <w:shd w:val="clear" w:color="auto" w:fill="auto"/>
              </w:rPr>
              <w:t>dB</w:t>
            </w:r>
          </w:p>
        </w:tc>
        <w:tc>
          <w:tcPr>
            <w:tcW w:w="996" w:type="dxa"/>
            <w:vAlign w:val="center"/>
          </w:tcPr>
          <w:p>
            <w:pPr>
              <w:jc w:val="center"/>
              <w:rPr>
                <w:rFonts w:ascii="宋体" w:hAnsi="宋体" w:eastAsia="宋体" w:cs="宋体"/>
                <w:color w:val="FF0000"/>
                <w:sz w:val="24"/>
                <w:szCs w:val="24"/>
                <w:highlight w:val="none"/>
              </w:rPr>
            </w:pPr>
            <w:r>
              <w:rPr>
                <w:rFonts w:hint="eastAsia" w:ascii="宋体" w:hAnsi="宋体" w:eastAsia="宋体" w:cs="宋体"/>
                <w:color w:val="auto"/>
                <w:sz w:val="24"/>
                <w:szCs w:val="24"/>
                <w:highlight w:val="none"/>
                <w:shd w:val="clear" w:color="auto" w:fill="auto"/>
                <w:lang w:val="en-US" w:eastAsia="zh-CN"/>
              </w:rPr>
              <w:t>手工</w:t>
            </w:r>
          </w:p>
        </w:tc>
        <w:tc>
          <w:tcPr>
            <w:tcW w:w="1123" w:type="dxa"/>
            <w:vAlign w:val="center"/>
          </w:tcPr>
          <w:p>
            <w:pPr>
              <w:jc w:val="center"/>
              <w:rPr>
                <w:rFonts w:ascii="宋体" w:hAnsi="宋体" w:eastAsia="宋体" w:cs="宋体"/>
                <w:sz w:val="24"/>
                <w:szCs w:val="24"/>
                <w:highlight w:val="none"/>
              </w:rPr>
            </w:pPr>
            <w:r>
              <w:rPr>
                <w:rFonts w:hint="eastAsia" w:ascii="宋体" w:hAnsi="宋体" w:eastAsia="宋体" w:cs="宋体"/>
                <w:color w:val="auto"/>
                <w:sz w:val="24"/>
                <w:szCs w:val="24"/>
                <w:highlight w:val="none"/>
                <w:shd w:val="clear" w:color="auto" w:fill="auto"/>
              </w:rPr>
              <w:t>1次/1季度</w:t>
            </w:r>
          </w:p>
        </w:tc>
        <w:tc>
          <w:tcPr>
            <w:tcW w:w="2641" w:type="dxa"/>
            <w:vAlign w:val="center"/>
          </w:tcPr>
          <w:p>
            <w:pPr>
              <w:jc w:val="center"/>
              <w:rPr>
                <w:rFonts w:ascii="宋体" w:hAnsi="宋体" w:eastAsia="宋体" w:cs="宋体"/>
                <w:sz w:val="24"/>
                <w:szCs w:val="24"/>
                <w:highlight w:val="none"/>
              </w:rPr>
            </w:pPr>
            <w:r>
              <w:rPr>
                <w:rFonts w:hint="eastAsia" w:ascii="宋体" w:hAnsi="宋体" w:eastAsia="宋体" w:cs="宋体"/>
                <w:color w:val="auto"/>
                <w:sz w:val="24"/>
                <w:szCs w:val="24"/>
                <w:highlight w:val="none"/>
                <w:shd w:val="clear" w:color="auto" w:fill="auto"/>
              </w:rPr>
              <w:t>工业企业厂界环境噪声排放标准 GB 12348-2008中</w:t>
            </w:r>
            <w:r>
              <w:rPr>
                <w:rFonts w:hint="eastAsia" w:ascii="宋体" w:hAnsi="宋体" w:eastAsia="宋体" w:cs="宋体"/>
                <w:color w:val="auto"/>
                <w:sz w:val="24"/>
                <w:szCs w:val="24"/>
                <w:highlight w:val="none"/>
                <w:shd w:val="clear" w:color="auto" w:fill="auto"/>
                <w:lang w:val="en-US" w:eastAsia="zh-CN"/>
              </w:rPr>
              <w:t>4</w:t>
            </w:r>
            <w:r>
              <w:rPr>
                <w:rFonts w:hint="eastAsia" w:ascii="宋体" w:hAnsi="宋体" w:eastAsia="宋体" w:cs="宋体"/>
                <w:color w:val="auto"/>
                <w:sz w:val="24"/>
                <w:szCs w:val="24"/>
                <w:highlight w:val="none"/>
                <w:shd w:val="clear" w:color="auto" w:fill="auto"/>
              </w:rPr>
              <w:t>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8" w:type="dxa"/>
            <w:vAlign w:val="top"/>
          </w:tcPr>
          <w:p>
            <w:pPr>
              <w:rPr>
                <w:rFonts w:ascii="宋体" w:hAnsi="宋体" w:eastAsia="宋体" w:cs="宋体"/>
                <w:color w:val="FF0000"/>
                <w:sz w:val="24"/>
                <w:szCs w:val="24"/>
                <w:highlight w:val="none"/>
              </w:rPr>
            </w:pPr>
            <w:r>
              <w:rPr>
                <w:rFonts w:hint="eastAsia" w:ascii="宋体" w:hAnsi="宋体" w:eastAsia="宋体" w:cs="宋体"/>
                <w:color w:val="auto"/>
                <w:sz w:val="22"/>
                <w:szCs w:val="22"/>
                <w:highlight w:val="none"/>
                <w:shd w:val="clear" w:color="auto" w:fill="auto"/>
                <w:lang w:val="en-US" w:eastAsia="zh-CN"/>
              </w:rPr>
              <w:t>西(ZS-01)</w:t>
            </w:r>
          </w:p>
        </w:tc>
        <w:tc>
          <w:tcPr>
            <w:tcW w:w="1564" w:type="dxa"/>
            <w:vAlign w:val="top"/>
          </w:tcPr>
          <w:p>
            <w:pPr>
              <w:jc w:val="center"/>
              <w:rPr>
                <w:rFonts w:ascii="宋体" w:hAnsi="宋体" w:eastAsia="宋体" w:cs="宋体"/>
                <w:color w:val="FF0000"/>
                <w:sz w:val="24"/>
                <w:szCs w:val="24"/>
                <w:highlight w:val="none"/>
              </w:rPr>
            </w:pPr>
            <w:r>
              <w:rPr>
                <w:rFonts w:hint="eastAsia" w:ascii="宋体" w:hAnsi="宋体" w:eastAsia="宋体" w:cs="宋体"/>
                <w:color w:val="auto"/>
                <w:sz w:val="24"/>
                <w:szCs w:val="24"/>
                <w:highlight w:val="none"/>
                <w:shd w:val="clear" w:color="auto" w:fill="auto"/>
                <w:lang w:val="en-US" w:eastAsia="zh-CN"/>
              </w:rPr>
              <w:t>等效连续A声级</w:t>
            </w:r>
          </w:p>
        </w:tc>
        <w:tc>
          <w:tcPr>
            <w:tcW w:w="2136" w:type="dxa"/>
            <w:vAlign w:val="center"/>
          </w:tcPr>
          <w:p>
            <w:pPr>
              <w:jc w:val="center"/>
              <w:rPr>
                <w:rFonts w:ascii="宋体" w:hAnsi="宋体" w:eastAsia="宋体" w:cs="宋体"/>
                <w:color w:val="FF0000"/>
                <w:sz w:val="24"/>
                <w:szCs w:val="24"/>
                <w:highlight w:val="none"/>
              </w:rPr>
            </w:pPr>
            <w:r>
              <w:rPr>
                <w:rFonts w:hint="eastAsia" w:ascii="宋体" w:hAnsi="宋体" w:eastAsia="宋体" w:cs="宋体"/>
                <w:color w:val="auto"/>
                <w:sz w:val="24"/>
                <w:szCs w:val="24"/>
                <w:highlight w:val="none"/>
                <w:shd w:val="clear" w:color="auto" w:fill="auto"/>
              </w:rPr>
              <w:t>工业企业厂界环境噪声排放标准 GB 12348-2008中</w:t>
            </w:r>
            <w:r>
              <w:rPr>
                <w:rFonts w:hint="eastAsia" w:ascii="宋体" w:hAnsi="宋体" w:eastAsia="宋体" w:cs="宋体"/>
                <w:color w:val="auto"/>
                <w:sz w:val="24"/>
                <w:szCs w:val="24"/>
                <w:highlight w:val="none"/>
                <w:shd w:val="clear" w:color="auto" w:fill="auto"/>
                <w:lang w:val="en-US" w:eastAsia="zh-CN"/>
              </w:rPr>
              <w:t>3</w:t>
            </w:r>
            <w:r>
              <w:rPr>
                <w:rFonts w:hint="eastAsia" w:ascii="宋体" w:hAnsi="宋体" w:eastAsia="宋体" w:cs="宋体"/>
                <w:color w:val="auto"/>
                <w:sz w:val="24"/>
                <w:szCs w:val="24"/>
                <w:highlight w:val="none"/>
                <w:shd w:val="clear" w:color="auto" w:fill="auto"/>
              </w:rPr>
              <w:t>类标准</w:t>
            </w:r>
          </w:p>
        </w:tc>
        <w:tc>
          <w:tcPr>
            <w:tcW w:w="1312" w:type="dxa"/>
            <w:vAlign w:val="top"/>
          </w:tcPr>
          <w:p>
            <w:pPr>
              <w:jc w:val="center"/>
              <w:rPr>
                <w:rFonts w:ascii="宋体" w:hAnsi="宋体" w:eastAsia="宋体" w:cs="宋体"/>
                <w:color w:val="FF0000"/>
                <w:sz w:val="24"/>
                <w:szCs w:val="24"/>
                <w:highlight w:val="none"/>
              </w:rPr>
            </w:pPr>
            <w:r>
              <w:rPr>
                <w:rFonts w:hint="eastAsia" w:ascii="宋体" w:hAnsi="宋体" w:eastAsia="宋体" w:cs="宋体"/>
                <w:color w:val="auto"/>
                <w:sz w:val="24"/>
                <w:szCs w:val="24"/>
                <w:highlight w:val="none"/>
                <w:shd w:val="clear" w:color="auto" w:fill="auto"/>
              </w:rPr>
              <w:t>昼间</w:t>
            </w:r>
            <w:r>
              <w:rPr>
                <w:rFonts w:hint="eastAsia" w:ascii="宋体" w:hAnsi="宋体" w:eastAsia="宋体" w:cs="宋体"/>
                <w:color w:val="auto"/>
                <w:sz w:val="24"/>
                <w:szCs w:val="24"/>
                <w:highlight w:val="none"/>
                <w:shd w:val="clear" w:color="auto" w:fill="auto"/>
                <w:lang w:val="en-US" w:eastAsia="zh-CN"/>
              </w:rPr>
              <w:t>65</w:t>
            </w:r>
            <w:r>
              <w:rPr>
                <w:rFonts w:hint="eastAsia" w:ascii="宋体" w:hAnsi="宋体" w:eastAsia="宋体" w:cs="宋体"/>
                <w:color w:val="auto"/>
                <w:sz w:val="24"/>
                <w:szCs w:val="24"/>
                <w:highlight w:val="none"/>
                <w:shd w:val="clear" w:color="auto" w:fill="auto"/>
              </w:rPr>
              <w:t>dB夜间</w:t>
            </w:r>
            <w:r>
              <w:rPr>
                <w:rFonts w:hint="eastAsia" w:ascii="宋体" w:hAnsi="宋体" w:eastAsia="宋体" w:cs="宋体"/>
                <w:color w:val="auto"/>
                <w:sz w:val="24"/>
                <w:szCs w:val="24"/>
                <w:highlight w:val="none"/>
                <w:shd w:val="clear" w:color="auto" w:fill="auto"/>
                <w:lang w:val="en-US" w:eastAsia="zh-CN"/>
              </w:rPr>
              <w:t>55</w:t>
            </w:r>
            <w:r>
              <w:rPr>
                <w:rFonts w:hint="eastAsia" w:ascii="宋体" w:hAnsi="宋体" w:eastAsia="宋体" w:cs="宋体"/>
                <w:color w:val="auto"/>
                <w:sz w:val="24"/>
                <w:szCs w:val="24"/>
                <w:highlight w:val="none"/>
                <w:shd w:val="clear" w:color="auto" w:fill="auto"/>
              </w:rPr>
              <w:t>dB</w:t>
            </w:r>
          </w:p>
        </w:tc>
        <w:tc>
          <w:tcPr>
            <w:tcW w:w="996" w:type="dxa"/>
            <w:vAlign w:val="center"/>
          </w:tcPr>
          <w:p>
            <w:pPr>
              <w:jc w:val="center"/>
              <w:rPr>
                <w:rFonts w:ascii="宋体" w:hAnsi="宋体" w:eastAsia="宋体" w:cs="宋体"/>
                <w:color w:val="FF0000"/>
                <w:sz w:val="24"/>
                <w:szCs w:val="24"/>
                <w:highlight w:val="none"/>
              </w:rPr>
            </w:pPr>
            <w:r>
              <w:rPr>
                <w:rFonts w:hint="eastAsia" w:ascii="宋体" w:hAnsi="宋体" w:eastAsia="宋体" w:cs="宋体"/>
                <w:color w:val="auto"/>
                <w:sz w:val="24"/>
                <w:szCs w:val="24"/>
                <w:highlight w:val="none"/>
                <w:shd w:val="clear" w:color="auto" w:fill="auto"/>
                <w:lang w:val="en-US" w:eastAsia="zh-CN"/>
              </w:rPr>
              <w:t>手工</w:t>
            </w:r>
          </w:p>
        </w:tc>
        <w:tc>
          <w:tcPr>
            <w:tcW w:w="1123" w:type="dxa"/>
            <w:vAlign w:val="center"/>
          </w:tcPr>
          <w:p>
            <w:pPr>
              <w:jc w:val="center"/>
              <w:rPr>
                <w:rFonts w:ascii="宋体" w:hAnsi="宋体" w:eastAsia="宋体" w:cs="宋体"/>
                <w:sz w:val="24"/>
                <w:szCs w:val="24"/>
                <w:highlight w:val="none"/>
              </w:rPr>
            </w:pPr>
            <w:r>
              <w:rPr>
                <w:rFonts w:hint="eastAsia" w:ascii="宋体" w:hAnsi="宋体" w:eastAsia="宋体" w:cs="宋体"/>
                <w:color w:val="auto"/>
                <w:sz w:val="24"/>
                <w:szCs w:val="24"/>
                <w:highlight w:val="none"/>
                <w:shd w:val="clear" w:color="auto" w:fill="auto"/>
              </w:rPr>
              <w:t>1次/1季度</w:t>
            </w:r>
          </w:p>
        </w:tc>
        <w:tc>
          <w:tcPr>
            <w:tcW w:w="2641" w:type="dxa"/>
            <w:vAlign w:val="center"/>
          </w:tcPr>
          <w:p>
            <w:pPr>
              <w:jc w:val="center"/>
              <w:rPr>
                <w:rFonts w:ascii="宋体" w:hAnsi="宋体" w:eastAsia="宋体" w:cs="宋体"/>
                <w:sz w:val="24"/>
                <w:szCs w:val="24"/>
                <w:highlight w:val="none"/>
              </w:rPr>
            </w:pPr>
            <w:r>
              <w:rPr>
                <w:rFonts w:hint="eastAsia" w:ascii="宋体" w:hAnsi="宋体" w:eastAsia="宋体" w:cs="宋体"/>
                <w:color w:val="auto"/>
                <w:sz w:val="24"/>
                <w:szCs w:val="24"/>
                <w:highlight w:val="none"/>
                <w:shd w:val="clear" w:color="auto" w:fill="auto"/>
              </w:rPr>
              <w:t>工业企业厂界环境噪声排放标准 GB 12348-2008中</w:t>
            </w:r>
            <w:r>
              <w:rPr>
                <w:rFonts w:hint="eastAsia" w:ascii="宋体" w:hAnsi="宋体" w:eastAsia="宋体" w:cs="宋体"/>
                <w:color w:val="auto"/>
                <w:sz w:val="24"/>
                <w:szCs w:val="24"/>
                <w:highlight w:val="none"/>
                <w:shd w:val="clear" w:color="auto" w:fill="auto"/>
                <w:lang w:val="en-US" w:eastAsia="zh-CN"/>
              </w:rPr>
              <w:t>3</w:t>
            </w:r>
            <w:r>
              <w:rPr>
                <w:rFonts w:hint="eastAsia" w:ascii="宋体" w:hAnsi="宋体" w:eastAsia="宋体" w:cs="宋体"/>
                <w:color w:val="auto"/>
                <w:sz w:val="24"/>
                <w:szCs w:val="24"/>
                <w:highlight w:val="none"/>
                <w:shd w:val="clear" w:color="auto" w:fill="auto"/>
              </w:rPr>
              <w:t>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1178" w:type="dxa"/>
            <w:vAlign w:val="top"/>
          </w:tcPr>
          <w:p>
            <w:pPr>
              <w:rPr>
                <w:rFonts w:ascii="宋体" w:hAnsi="宋体" w:eastAsia="宋体" w:cs="宋体"/>
                <w:color w:val="FF0000"/>
                <w:sz w:val="24"/>
                <w:szCs w:val="24"/>
                <w:highlight w:val="none"/>
              </w:rPr>
            </w:pPr>
            <w:r>
              <w:rPr>
                <w:rFonts w:hint="eastAsia" w:ascii="宋体" w:hAnsi="宋体" w:eastAsia="宋体" w:cs="宋体"/>
                <w:color w:val="auto"/>
                <w:sz w:val="22"/>
                <w:szCs w:val="22"/>
                <w:highlight w:val="none"/>
                <w:shd w:val="clear" w:color="auto" w:fill="auto"/>
                <w:lang w:val="en-US" w:eastAsia="zh-CN"/>
              </w:rPr>
              <w:t>北(ZS-02)</w:t>
            </w:r>
          </w:p>
        </w:tc>
        <w:tc>
          <w:tcPr>
            <w:tcW w:w="1564" w:type="dxa"/>
            <w:vAlign w:val="top"/>
          </w:tcPr>
          <w:p>
            <w:pPr>
              <w:jc w:val="center"/>
              <w:rPr>
                <w:rFonts w:ascii="宋体" w:hAnsi="宋体" w:eastAsia="宋体" w:cs="宋体"/>
                <w:color w:val="FF0000"/>
                <w:sz w:val="24"/>
                <w:szCs w:val="24"/>
                <w:highlight w:val="none"/>
              </w:rPr>
            </w:pPr>
            <w:r>
              <w:rPr>
                <w:rFonts w:hint="eastAsia" w:ascii="宋体" w:hAnsi="宋体" w:eastAsia="宋体" w:cs="宋体"/>
                <w:color w:val="auto"/>
                <w:sz w:val="24"/>
                <w:szCs w:val="24"/>
                <w:highlight w:val="none"/>
                <w:shd w:val="clear" w:color="auto" w:fill="auto"/>
                <w:lang w:val="en-US" w:eastAsia="zh-CN"/>
              </w:rPr>
              <w:t>等效连续A声级</w:t>
            </w:r>
          </w:p>
        </w:tc>
        <w:tc>
          <w:tcPr>
            <w:tcW w:w="2136" w:type="dxa"/>
            <w:vAlign w:val="center"/>
          </w:tcPr>
          <w:p>
            <w:pPr>
              <w:jc w:val="center"/>
              <w:rPr>
                <w:rFonts w:ascii="宋体" w:hAnsi="宋体" w:eastAsia="宋体" w:cs="宋体"/>
                <w:color w:val="FF0000"/>
                <w:sz w:val="24"/>
                <w:szCs w:val="24"/>
                <w:highlight w:val="none"/>
              </w:rPr>
            </w:pPr>
            <w:r>
              <w:rPr>
                <w:rFonts w:hint="eastAsia" w:ascii="宋体" w:hAnsi="宋体" w:eastAsia="宋体" w:cs="宋体"/>
                <w:color w:val="auto"/>
                <w:sz w:val="24"/>
                <w:szCs w:val="24"/>
                <w:highlight w:val="none"/>
                <w:shd w:val="clear" w:color="auto" w:fill="auto"/>
              </w:rPr>
              <w:t>工业企业厂界环境噪声排放标准 GB 12348-2008中</w:t>
            </w:r>
            <w:r>
              <w:rPr>
                <w:rFonts w:hint="eastAsia" w:ascii="宋体" w:hAnsi="宋体" w:eastAsia="宋体" w:cs="宋体"/>
                <w:color w:val="auto"/>
                <w:sz w:val="24"/>
                <w:szCs w:val="24"/>
                <w:highlight w:val="none"/>
                <w:shd w:val="clear" w:color="auto" w:fill="auto"/>
                <w:lang w:val="en-US" w:eastAsia="zh-CN"/>
              </w:rPr>
              <w:t>3</w:t>
            </w:r>
            <w:r>
              <w:rPr>
                <w:rFonts w:hint="eastAsia" w:ascii="宋体" w:hAnsi="宋体" w:eastAsia="宋体" w:cs="宋体"/>
                <w:color w:val="auto"/>
                <w:sz w:val="24"/>
                <w:szCs w:val="24"/>
                <w:highlight w:val="none"/>
                <w:shd w:val="clear" w:color="auto" w:fill="auto"/>
              </w:rPr>
              <w:t>类标准</w:t>
            </w:r>
          </w:p>
        </w:tc>
        <w:tc>
          <w:tcPr>
            <w:tcW w:w="1312" w:type="dxa"/>
            <w:vAlign w:val="top"/>
          </w:tcPr>
          <w:p>
            <w:pPr>
              <w:jc w:val="center"/>
              <w:rPr>
                <w:rFonts w:ascii="宋体" w:hAnsi="宋体" w:eastAsia="宋体" w:cs="宋体"/>
                <w:color w:val="FF0000"/>
                <w:sz w:val="24"/>
                <w:szCs w:val="24"/>
                <w:highlight w:val="none"/>
              </w:rPr>
            </w:pPr>
            <w:r>
              <w:rPr>
                <w:rFonts w:hint="eastAsia" w:ascii="宋体" w:hAnsi="宋体" w:eastAsia="宋体" w:cs="宋体"/>
                <w:color w:val="auto"/>
                <w:sz w:val="24"/>
                <w:szCs w:val="24"/>
                <w:highlight w:val="none"/>
                <w:shd w:val="clear" w:color="auto" w:fill="auto"/>
              </w:rPr>
              <w:t>昼间</w:t>
            </w:r>
            <w:r>
              <w:rPr>
                <w:rFonts w:hint="eastAsia" w:ascii="宋体" w:hAnsi="宋体" w:eastAsia="宋体" w:cs="宋体"/>
                <w:color w:val="auto"/>
                <w:sz w:val="24"/>
                <w:szCs w:val="24"/>
                <w:highlight w:val="none"/>
                <w:shd w:val="clear" w:color="auto" w:fill="auto"/>
                <w:lang w:val="en-US" w:eastAsia="zh-CN"/>
              </w:rPr>
              <w:t>65</w:t>
            </w:r>
            <w:r>
              <w:rPr>
                <w:rFonts w:hint="eastAsia" w:ascii="宋体" w:hAnsi="宋体" w:eastAsia="宋体" w:cs="宋体"/>
                <w:color w:val="auto"/>
                <w:sz w:val="24"/>
                <w:szCs w:val="24"/>
                <w:highlight w:val="none"/>
                <w:shd w:val="clear" w:color="auto" w:fill="auto"/>
              </w:rPr>
              <w:t>dB夜间</w:t>
            </w:r>
            <w:r>
              <w:rPr>
                <w:rFonts w:hint="eastAsia" w:ascii="宋体" w:hAnsi="宋体" w:eastAsia="宋体" w:cs="宋体"/>
                <w:color w:val="auto"/>
                <w:sz w:val="24"/>
                <w:szCs w:val="24"/>
                <w:highlight w:val="none"/>
                <w:shd w:val="clear" w:color="auto" w:fill="auto"/>
                <w:lang w:val="en-US" w:eastAsia="zh-CN"/>
              </w:rPr>
              <w:t>55</w:t>
            </w:r>
            <w:r>
              <w:rPr>
                <w:rFonts w:hint="eastAsia" w:ascii="宋体" w:hAnsi="宋体" w:eastAsia="宋体" w:cs="宋体"/>
                <w:color w:val="auto"/>
                <w:sz w:val="24"/>
                <w:szCs w:val="24"/>
                <w:highlight w:val="none"/>
                <w:shd w:val="clear" w:color="auto" w:fill="auto"/>
              </w:rPr>
              <w:t>dB</w:t>
            </w:r>
          </w:p>
        </w:tc>
        <w:tc>
          <w:tcPr>
            <w:tcW w:w="996" w:type="dxa"/>
            <w:vAlign w:val="center"/>
          </w:tcPr>
          <w:p>
            <w:pPr>
              <w:jc w:val="center"/>
              <w:rPr>
                <w:rFonts w:ascii="宋体" w:hAnsi="宋体" w:eastAsia="宋体" w:cs="宋体"/>
                <w:color w:val="FF0000"/>
                <w:sz w:val="24"/>
                <w:szCs w:val="24"/>
                <w:highlight w:val="none"/>
              </w:rPr>
            </w:pPr>
            <w:r>
              <w:rPr>
                <w:rFonts w:hint="eastAsia" w:ascii="宋体" w:hAnsi="宋体" w:eastAsia="宋体" w:cs="宋体"/>
                <w:color w:val="auto"/>
                <w:sz w:val="24"/>
                <w:szCs w:val="24"/>
                <w:highlight w:val="none"/>
                <w:shd w:val="clear" w:color="auto" w:fill="auto"/>
                <w:lang w:val="en-US" w:eastAsia="zh-CN"/>
              </w:rPr>
              <w:t>手工</w:t>
            </w:r>
          </w:p>
        </w:tc>
        <w:tc>
          <w:tcPr>
            <w:tcW w:w="1123" w:type="dxa"/>
            <w:vAlign w:val="center"/>
          </w:tcPr>
          <w:p>
            <w:pPr>
              <w:jc w:val="center"/>
              <w:rPr>
                <w:rFonts w:ascii="宋体" w:hAnsi="宋体" w:eastAsia="宋体" w:cs="宋体"/>
                <w:sz w:val="24"/>
                <w:szCs w:val="24"/>
                <w:highlight w:val="none"/>
              </w:rPr>
            </w:pPr>
            <w:r>
              <w:rPr>
                <w:rFonts w:hint="eastAsia" w:ascii="宋体" w:hAnsi="宋体" w:eastAsia="宋体" w:cs="宋体"/>
                <w:color w:val="auto"/>
                <w:sz w:val="24"/>
                <w:szCs w:val="24"/>
                <w:highlight w:val="none"/>
                <w:shd w:val="clear" w:color="auto" w:fill="auto"/>
              </w:rPr>
              <w:t>1次/1季度</w:t>
            </w:r>
          </w:p>
        </w:tc>
        <w:tc>
          <w:tcPr>
            <w:tcW w:w="2641" w:type="dxa"/>
            <w:vAlign w:val="center"/>
          </w:tcPr>
          <w:p>
            <w:pPr>
              <w:jc w:val="center"/>
              <w:rPr>
                <w:rFonts w:ascii="宋体" w:hAnsi="宋体" w:eastAsia="宋体" w:cs="宋体"/>
                <w:sz w:val="24"/>
                <w:szCs w:val="24"/>
                <w:highlight w:val="none"/>
              </w:rPr>
            </w:pPr>
            <w:r>
              <w:rPr>
                <w:rFonts w:hint="eastAsia" w:ascii="宋体" w:hAnsi="宋体" w:eastAsia="宋体" w:cs="宋体"/>
                <w:color w:val="auto"/>
                <w:sz w:val="24"/>
                <w:szCs w:val="24"/>
                <w:highlight w:val="none"/>
                <w:shd w:val="clear" w:color="auto" w:fill="auto"/>
              </w:rPr>
              <w:t>工业企业厂界环境噪声排放标准 GB 12348-2008中</w:t>
            </w:r>
            <w:r>
              <w:rPr>
                <w:rFonts w:hint="eastAsia" w:ascii="宋体" w:hAnsi="宋体" w:eastAsia="宋体" w:cs="宋体"/>
                <w:color w:val="auto"/>
                <w:sz w:val="24"/>
                <w:szCs w:val="24"/>
                <w:highlight w:val="none"/>
                <w:shd w:val="clear" w:color="auto" w:fill="auto"/>
                <w:lang w:val="en-US" w:eastAsia="zh-CN"/>
              </w:rPr>
              <w:t>3</w:t>
            </w:r>
            <w:r>
              <w:rPr>
                <w:rFonts w:hint="eastAsia" w:ascii="宋体" w:hAnsi="宋体" w:eastAsia="宋体" w:cs="宋体"/>
                <w:color w:val="auto"/>
                <w:sz w:val="24"/>
                <w:szCs w:val="24"/>
                <w:highlight w:val="none"/>
                <w:shd w:val="clear" w:color="auto" w:fill="auto"/>
              </w:rPr>
              <w:t>类标准</w:t>
            </w:r>
          </w:p>
        </w:tc>
      </w:tr>
      <w:bookmarkEnd w:id="2"/>
    </w:tbl>
    <w:p>
      <w:pPr>
        <w:pStyle w:val="22"/>
        <w:spacing w:line="240" w:lineRule="auto"/>
        <w:ind w:left="-420" w:leftChars="-200" w:firstLine="0" w:firstLineChars="0"/>
        <w:outlineLvl w:val="0"/>
        <w:rPr>
          <w:rFonts w:ascii="宋体" w:hAnsi="宋体"/>
          <w:b/>
          <w:bCs/>
          <w:sz w:val="28"/>
          <w:szCs w:val="28"/>
        </w:rPr>
      </w:pPr>
      <w:r>
        <w:rPr>
          <w:rFonts w:hint="eastAsia" w:ascii="宋体" w:hAnsi="宋体"/>
          <w:b/>
          <w:bCs/>
          <w:sz w:val="28"/>
          <w:szCs w:val="28"/>
          <w:lang w:val="en-US"/>
        </w:rPr>
        <w:t>四、</w:t>
      </w:r>
      <w:r>
        <w:rPr>
          <w:rFonts w:hint="eastAsia" w:ascii="宋体" w:hAnsi="宋体"/>
          <w:b/>
          <w:bCs/>
          <w:sz w:val="28"/>
          <w:szCs w:val="28"/>
        </w:rPr>
        <w:t>企业在线监测设备信息</w:t>
      </w:r>
    </w:p>
    <w:p>
      <w:pPr>
        <w:pStyle w:val="22"/>
        <w:spacing w:line="240" w:lineRule="auto"/>
        <w:ind w:left="-420" w:leftChars="-200" w:firstLine="0" w:firstLineChars="0"/>
        <w:outlineLvl w:val="1"/>
        <w:rPr>
          <w:rFonts w:ascii="宋体" w:hAnsi="宋体"/>
          <w:sz w:val="28"/>
          <w:szCs w:val="28"/>
        </w:rPr>
      </w:pPr>
      <w:r>
        <w:rPr>
          <w:rFonts w:hint="eastAsia" w:ascii="宋体" w:hAnsi="宋体"/>
          <w:sz w:val="28"/>
          <w:szCs w:val="28"/>
          <w:lang w:val="en-US"/>
        </w:rPr>
        <w:t>1、</w:t>
      </w:r>
      <w:r>
        <w:rPr>
          <w:rFonts w:hint="eastAsia" w:ascii="宋体" w:hAnsi="宋体"/>
          <w:sz w:val="28"/>
          <w:szCs w:val="28"/>
        </w:rPr>
        <w:t>自动监测设备</w:t>
      </w:r>
    </w:p>
    <w:tbl>
      <w:tblPr>
        <w:tblStyle w:val="13"/>
        <w:tblW w:w="10138" w:type="dxa"/>
        <w:tblInd w:w="-43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88"/>
        <w:gridCol w:w="1855"/>
        <w:gridCol w:w="2065"/>
        <w:gridCol w:w="2065"/>
        <w:gridCol w:w="20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2088" w:type="dxa"/>
          </w:tcPr>
          <w:p>
            <w:pPr>
              <w:jc w:val="center"/>
              <w:rPr>
                <w:rFonts w:ascii="宋体" w:hAnsi="宋体" w:eastAsia="宋体" w:cs="宋体"/>
                <w:sz w:val="24"/>
                <w:szCs w:val="24"/>
              </w:rPr>
            </w:pPr>
            <w:r>
              <w:rPr>
                <w:rFonts w:hint="eastAsia" w:ascii="宋体" w:hAnsi="宋体" w:eastAsia="宋体" w:cs="宋体"/>
                <w:sz w:val="24"/>
                <w:szCs w:val="24"/>
              </w:rPr>
              <w:t>监测设备名称</w:t>
            </w:r>
          </w:p>
        </w:tc>
        <w:tc>
          <w:tcPr>
            <w:tcW w:w="1855" w:type="dxa"/>
          </w:tcPr>
          <w:p>
            <w:pPr>
              <w:jc w:val="center"/>
              <w:rPr>
                <w:rFonts w:ascii="宋体" w:hAnsi="宋体" w:eastAsia="宋体" w:cs="宋体"/>
                <w:sz w:val="24"/>
                <w:szCs w:val="24"/>
              </w:rPr>
            </w:pPr>
            <w:r>
              <w:rPr>
                <w:rFonts w:hint="eastAsia" w:ascii="宋体" w:hAnsi="宋体" w:eastAsia="宋体" w:cs="宋体"/>
                <w:sz w:val="24"/>
                <w:szCs w:val="24"/>
              </w:rPr>
              <w:t>型号</w:t>
            </w:r>
          </w:p>
        </w:tc>
        <w:tc>
          <w:tcPr>
            <w:tcW w:w="2065" w:type="dxa"/>
          </w:tcPr>
          <w:p>
            <w:pPr>
              <w:jc w:val="center"/>
              <w:rPr>
                <w:rFonts w:ascii="宋体" w:hAnsi="宋体" w:eastAsia="宋体" w:cs="宋体"/>
                <w:sz w:val="24"/>
                <w:szCs w:val="24"/>
              </w:rPr>
            </w:pPr>
            <w:r>
              <w:rPr>
                <w:rFonts w:hint="eastAsia" w:ascii="宋体" w:hAnsi="宋体" w:eastAsia="宋体" w:cs="宋体"/>
                <w:sz w:val="24"/>
                <w:szCs w:val="24"/>
              </w:rPr>
              <w:t>数量</w:t>
            </w:r>
          </w:p>
        </w:tc>
        <w:tc>
          <w:tcPr>
            <w:tcW w:w="2065" w:type="dxa"/>
          </w:tcPr>
          <w:p>
            <w:pPr>
              <w:jc w:val="center"/>
              <w:rPr>
                <w:rFonts w:ascii="宋体" w:hAnsi="宋体" w:eastAsia="宋体" w:cs="宋体"/>
                <w:sz w:val="24"/>
                <w:szCs w:val="24"/>
              </w:rPr>
            </w:pPr>
            <w:r>
              <w:rPr>
                <w:rFonts w:hint="eastAsia" w:ascii="宋体" w:hAnsi="宋体" w:eastAsia="宋体" w:cs="宋体"/>
                <w:sz w:val="24"/>
                <w:szCs w:val="24"/>
              </w:rPr>
              <w:t>单位</w:t>
            </w:r>
          </w:p>
        </w:tc>
        <w:tc>
          <w:tcPr>
            <w:tcW w:w="2065" w:type="dxa"/>
          </w:tcPr>
          <w:p>
            <w:pPr>
              <w:jc w:val="center"/>
              <w:rPr>
                <w:rFonts w:ascii="宋体" w:hAnsi="宋体" w:eastAsia="宋体" w:cs="宋体"/>
                <w:sz w:val="24"/>
                <w:szCs w:val="24"/>
              </w:rPr>
            </w:pPr>
            <w:r>
              <w:rPr>
                <w:rFonts w:hint="eastAsia" w:ascii="宋体" w:hAnsi="宋体" w:eastAsia="宋体" w:cs="宋体"/>
                <w:sz w:val="24"/>
                <w:szCs w:val="24"/>
              </w:rPr>
              <w:t>生产厂家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2088" w:type="dxa"/>
            <w:vAlign w:val="top"/>
          </w:tcPr>
          <w:p>
            <w:pPr>
              <w:rPr>
                <w:rFonts w:ascii="宋体" w:hAnsi="宋体" w:eastAsia="宋体" w:cs="宋体"/>
                <w:color w:val="FF0000"/>
                <w:sz w:val="24"/>
                <w:szCs w:val="24"/>
              </w:rPr>
            </w:pPr>
            <w:r>
              <w:rPr>
                <w:rFonts w:hint="eastAsia" w:ascii="宋体" w:hAnsi="宋体" w:eastAsia="宋体" w:cs="宋体"/>
                <w:color w:val="auto"/>
                <w:kern w:val="0"/>
                <w:sz w:val="24"/>
                <w:szCs w:val="24"/>
                <w:highlight w:val="none"/>
                <w:shd w:val="clear" w:color="auto" w:fill="auto"/>
              </w:rPr>
              <w:t xml:space="preserve">COD在线检测仪出水 </w:t>
            </w:r>
          </w:p>
        </w:tc>
        <w:tc>
          <w:tcPr>
            <w:tcW w:w="1855" w:type="dxa"/>
            <w:vAlign w:val="top"/>
          </w:tcPr>
          <w:p>
            <w:pPr>
              <w:rPr>
                <w:rFonts w:ascii="宋体" w:hAnsi="宋体" w:eastAsia="宋体" w:cs="宋体"/>
                <w:color w:val="FF0000"/>
                <w:sz w:val="24"/>
                <w:szCs w:val="24"/>
              </w:rPr>
            </w:pPr>
            <w:r>
              <w:rPr>
                <w:rFonts w:ascii="宋体" w:hAnsi="宋体" w:eastAsia="宋体" w:cs="宋体"/>
                <w:color w:val="auto"/>
                <w:kern w:val="0"/>
                <w:sz w:val="24"/>
                <w:szCs w:val="24"/>
                <w:highlight w:val="none"/>
                <w:shd w:val="clear" w:color="auto" w:fill="auto"/>
              </w:rPr>
              <w:t>CODMAXⅡ</w:t>
            </w:r>
          </w:p>
        </w:tc>
        <w:tc>
          <w:tcPr>
            <w:tcW w:w="2065" w:type="dxa"/>
            <w:vAlign w:val="top"/>
          </w:tcPr>
          <w:p>
            <w:pPr>
              <w:jc w:val="center"/>
              <w:rPr>
                <w:rFonts w:ascii="宋体" w:hAnsi="宋体" w:eastAsia="宋体" w:cs="宋体"/>
                <w:color w:val="FF0000"/>
                <w:sz w:val="24"/>
                <w:szCs w:val="24"/>
                <w:highlight w:val="yellow"/>
              </w:rPr>
            </w:pPr>
            <w:r>
              <w:rPr>
                <w:rFonts w:hint="eastAsia" w:ascii="宋体" w:hAnsi="宋体" w:eastAsia="宋体" w:cs="宋体"/>
                <w:color w:val="auto"/>
                <w:sz w:val="24"/>
                <w:szCs w:val="24"/>
                <w:highlight w:val="none"/>
                <w:shd w:val="clear" w:color="auto" w:fill="auto"/>
                <w:lang w:val="en-US" w:eastAsia="zh-CN"/>
              </w:rPr>
              <w:t>1</w:t>
            </w:r>
          </w:p>
        </w:tc>
        <w:tc>
          <w:tcPr>
            <w:tcW w:w="2065" w:type="dxa"/>
            <w:vAlign w:val="top"/>
          </w:tcPr>
          <w:p>
            <w:pPr>
              <w:jc w:val="center"/>
              <w:rPr>
                <w:rFonts w:ascii="宋体" w:hAnsi="宋体" w:eastAsia="宋体" w:cs="宋体"/>
                <w:color w:val="FF0000"/>
                <w:sz w:val="24"/>
                <w:szCs w:val="24"/>
                <w:highlight w:val="yellow"/>
              </w:rPr>
            </w:pPr>
            <w:r>
              <w:rPr>
                <w:rFonts w:hint="eastAsia" w:ascii="宋体" w:hAnsi="宋体" w:eastAsia="宋体" w:cs="宋体"/>
                <w:color w:val="auto"/>
                <w:sz w:val="24"/>
                <w:szCs w:val="24"/>
                <w:highlight w:val="none"/>
                <w:shd w:val="clear" w:color="auto" w:fill="auto"/>
                <w:lang w:val="en-US" w:eastAsia="zh-CN"/>
              </w:rPr>
              <w:t>台</w:t>
            </w:r>
          </w:p>
        </w:tc>
        <w:tc>
          <w:tcPr>
            <w:tcW w:w="2065" w:type="dxa"/>
            <w:vAlign w:val="top"/>
          </w:tcPr>
          <w:p>
            <w:pPr>
              <w:rPr>
                <w:rFonts w:ascii="宋体" w:hAnsi="宋体" w:eastAsia="宋体" w:cs="宋体"/>
                <w:color w:val="FF0000"/>
                <w:sz w:val="24"/>
                <w:szCs w:val="24"/>
              </w:rPr>
            </w:pPr>
            <w:r>
              <w:rPr>
                <w:rFonts w:hint="eastAsia" w:ascii="宋体" w:hAnsi="宋体" w:eastAsia="宋体" w:cs="宋体"/>
                <w:color w:val="auto"/>
                <w:kern w:val="0"/>
                <w:sz w:val="18"/>
                <w:szCs w:val="18"/>
                <w:highlight w:val="none"/>
                <w:shd w:val="clear" w:color="auto" w:fill="auto"/>
              </w:rPr>
              <w:t>哈希水质分析仪器（上海）有限公司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2088" w:type="dxa"/>
            <w:vAlign w:val="top"/>
          </w:tcPr>
          <w:p>
            <w:pPr>
              <w:rPr>
                <w:rFonts w:ascii="宋体" w:hAnsi="宋体" w:eastAsia="宋体" w:cs="宋体"/>
                <w:color w:val="FF0000"/>
                <w:sz w:val="24"/>
                <w:szCs w:val="24"/>
              </w:rPr>
            </w:pPr>
            <w:r>
              <w:rPr>
                <w:rFonts w:hint="eastAsia" w:ascii="宋体" w:hAnsi="宋体" w:eastAsia="宋体" w:cs="宋体"/>
                <w:color w:val="auto"/>
                <w:kern w:val="0"/>
                <w:sz w:val="24"/>
                <w:szCs w:val="24"/>
                <w:highlight w:val="none"/>
                <w:shd w:val="clear" w:color="auto" w:fill="auto"/>
              </w:rPr>
              <w:t xml:space="preserve">总磷、氮在线分析仪出水 </w:t>
            </w:r>
          </w:p>
        </w:tc>
        <w:tc>
          <w:tcPr>
            <w:tcW w:w="1855" w:type="dxa"/>
            <w:vAlign w:val="top"/>
          </w:tcPr>
          <w:p>
            <w:pPr>
              <w:rPr>
                <w:rFonts w:ascii="宋体" w:hAnsi="宋体" w:eastAsia="宋体" w:cs="宋体"/>
                <w:color w:val="FF0000"/>
                <w:sz w:val="24"/>
                <w:szCs w:val="24"/>
              </w:rPr>
            </w:pPr>
            <w:r>
              <w:rPr>
                <w:rFonts w:hint="eastAsia" w:ascii="宋体" w:hAnsi="宋体" w:eastAsia="宋体" w:cs="宋体"/>
                <w:color w:val="auto"/>
                <w:kern w:val="0"/>
                <w:sz w:val="24"/>
                <w:szCs w:val="24"/>
                <w:highlight w:val="none"/>
                <w:shd w:val="clear" w:color="auto" w:fill="auto"/>
              </w:rPr>
              <w:t>NPW-160</w:t>
            </w:r>
            <w:r>
              <w:rPr>
                <w:rFonts w:hint="eastAsia" w:ascii="宋体" w:hAnsi="宋体" w:eastAsia="宋体" w:cs="宋体"/>
                <w:color w:val="auto"/>
                <w:kern w:val="0"/>
                <w:sz w:val="24"/>
                <w:szCs w:val="24"/>
                <w:highlight w:val="none"/>
                <w:shd w:val="clear" w:color="auto" w:fill="auto"/>
                <w:lang w:val="en-US" w:eastAsia="zh-CN"/>
              </w:rPr>
              <w:t>H</w:t>
            </w:r>
          </w:p>
        </w:tc>
        <w:tc>
          <w:tcPr>
            <w:tcW w:w="2065" w:type="dxa"/>
            <w:vAlign w:val="top"/>
          </w:tcPr>
          <w:p>
            <w:pPr>
              <w:jc w:val="center"/>
              <w:rPr>
                <w:rFonts w:ascii="宋体" w:hAnsi="宋体" w:eastAsia="宋体" w:cs="宋体"/>
                <w:color w:val="FF0000"/>
                <w:sz w:val="24"/>
                <w:szCs w:val="24"/>
                <w:highlight w:val="yellow"/>
              </w:rPr>
            </w:pPr>
            <w:r>
              <w:rPr>
                <w:rFonts w:hint="eastAsia" w:ascii="宋体" w:hAnsi="宋体" w:eastAsia="宋体" w:cs="宋体"/>
                <w:color w:val="auto"/>
                <w:sz w:val="24"/>
                <w:szCs w:val="24"/>
                <w:highlight w:val="none"/>
                <w:shd w:val="clear" w:color="auto" w:fill="auto"/>
                <w:lang w:val="en-US" w:eastAsia="zh-CN"/>
              </w:rPr>
              <w:t>1</w:t>
            </w:r>
          </w:p>
        </w:tc>
        <w:tc>
          <w:tcPr>
            <w:tcW w:w="2065" w:type="dxa"/>
            <w:vAlign w:val="top"/>
          </w:tcPr>
          <w:p>
            <w:pPr>
              <w:jc w:val="center"/>
              <w:rPr>
                <w:rFonts w:ascii="宋体" w:hAnsi="宋体" w:eastAsia="宋体" w:cs="宋体"/>
                <w:color w:val="FF0000"/>
                <w:sz w:val="24"/>
                <w:szCs w:val="24"/>
                <w:highlight w:val="yellow"/>
              </w:rPr>
            </w:pPr>
            <w:r>
              <w:rPr>
                <w:rFonts w:hint="eastAsia" w:ascii="宋体" w:hAnsi="宋体" w:eastAsia="宋体" w:cs="宋体"/>
                <w:color w:val="auto"/>
                <w:sz w:val="24"/>
                <w:szCs w:val="24"/>
                <w:highlight w:val="none"/>
                <w:shd w:val="clear" w:color="auto" w:fill="auto"/>
                <w:lang w:val="en-US" w:eastAsia="zh-CN"/>
              </w:rPr>
              <w:t>台</w:t>
            </w:r>
          </w:p>
        </w:tc>
        <w:tc>
          <w:tcPr>
            <w:tcW w:w="2065" w:type="dxa"/>
            <w:vAlign w:val="top"/>
          </w:tcPr>
          <w:p>
            <w:pPr>
              <w:rPr>
                <w:rFonts w:ascii="宋体" w:hAnsi="宋体" w:eastAsia="宋体" w:cs="宋体"/>
                <w:color w:val="FF0000"/>
                <w:sz w:val="24"/>
                <w:szCs w:val="24"/>
              </w:rPr>
            </w:pPr>
            <w:r>
              <w:rPr>
                <w:rFonts w:hint="eastAsia" w:ascii="宋体" w:hAnsi="宋体" w:eastAsia="宋体" w:cs="宋体"/>
                <w:color w:val="auto"/>
                <w:kern w:val="0"/>
                <w:sz w:val="18"/>
                <w:szCs w:val="18"/>
                <w:highlight w:val="none"/>
                <w:shd w:val="clear" w:color="auto" w:fill="auto"/>
              </w:rPr>
              <w:t>哈希水质分析仪器（上海）有限公司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2088" w:type="dxa"/>
            <w:vAlign w:val="top"/>
          </w:tcPr>
          <w:p>
            <w:pPr>
              <w:rPr>
                <w:rFonts w:ascii="宋体" w:hAnsi="宋体" w:eastAsia="宋体" w:cs="宋体"/>
                <w:color w:val="FF0000"/>
                <w:sz w:val="24"/>
                <w:szCs w:val="24"/>
              </w:rPr>
            </w:pPr>
            <w:r>
              <w:rPr>
                <w:rFonts w:hint="eastAsia" w:ascii="宋体" w:hAnsi="宋体" w:eastAsia="宋体" w:cs="宋体"/>
                <w:color w:val="auto"/>
                <w:kern w:val="0"/>
                <w:sz w:val="24"/>
                <w:szCs w:val="24"/>
                <w:highlight w:val="none"/>
                <w:shd w:val="clear" w:color="auto" w:fill="auto"/>
              </w:rPr>
              <w:t xml:space="preserve">PH检测仪出水 </w:t>
            </w:r>
          </w:p>
        </w:tc>
        <w:tc>
          <w:tcPr>
            <w:tcW w:w="1855" w:type="dxa"/>
            <w:vAlign w:val="top"/>
          </w:tcPr>
          <w:p>
            <w:pPr>
              <w:rPr>
                <w:rFonts w:ascii="宋体" w:hAnsi="宋体" w:eastAsia="宋体" w:cs="宋体"/>
                <w:color w:val="FF0000"/>
                <w:sz w:val="24"/>
                <w:szCs w:val="24"/>
              </w:rPr>
            </w:pPr>
            <w:r>
              <w:rPr>
                <w:rFonts w:ascii="宋体" w:hAnsi="宋体" w:eastAsia="宋体" w:cs="宋体"/>
                <w:color w:val="auto"/>
                <w:kern w:val="0"/>
                <w:sz w:val="24"/>
                <w:szCs w:val="24"/>
                <w:highlight w:val="none"/>
                <w:shd w:val="clear" w:color="auto" w:fill="auto"/>
              </w:rPr>
              <w:t>SC200</w:t>
            </w:r>
          </w:p>
        </w:tc>
        <w:tc>
          <w:tcPr>
            <w:tcW w:w="2065" w:type="dxa"/>
            <w:vAlign w:val="top"/>
          </w:tcPr>
          <w:p>
            <w:pPr>
              <w:jc w:val="center"/>
              <w:rPr>
                <w:rFonts w:ascii="宋体" w:hAnsi="宋体" w:eastAsia="宋体" w:cs="宋体"/>
                <w:color w:val="FF0000"/>
                <w:sz w:val="24"/>
                <w:szCs w:val="24"/>
                <w:highlight w:val="yellow"/>
              </w:rPr>
            </w:pPr>
            <w:r>
              <w:rPr>
                <w:rFonts w:hint="eastAsia" w:ascii="宋体" w:hAnsi="宋体" w:eastAsia="宋体" w:cs="宋体"/>
                <w:color w:val="auto"/>
                <w:sz w:val="24"/>
                <w:szCs w:val="24"/>
                <w:highlight w:val="none"/>
                <w:shd w:val="clear" w:color="auto" w:fill="auto"/>
                <w:lang w:val="en-US" w:eastAsia="zh-CN"/>
              </w:rPr>
              <w:t>1</w:t>
            </w:r>
          </w:p>
        </w:tc>
        <w:tc>
          <w:tcPr>
            <w:tcW w:w="2065" w:type="dxa"/>
            <w:vAlign w:val="top"/>
          </w:tcPr>
          <w:p>
            <w:pPr>
              <w:jc w:val="center"/>
              <w:rPr>
                <w:rFonts w:ascii="宋体" w:hAnsi="宋体" w:eastAsia="宋体" w:cs="宋体"/>
                <w:color w:val="FF0000"/>
                <w:sz w:val="24"/>
                <w:szCs w:val="24"/>
                <w:highlight w:val="yellow"/>
              </w:rPr>
            </w:pPr>
            <w:r>
              <w:rPr>
                <w:rFonts w:hint="eastAsia" w:ascii="宋体" w:hAnsi="宋体" w:eastAsia="宋体" w:cs="宋体"/>
                <w:color w:val="auto"/>
                <w:sz w:val="24"/>
                <w:szCs w:val="24"/>
                <w:highlight w:val="none"/>
                <w:shd w:val="clear" w:color="auto" w:fill="auto"/>
                <w:lang w:val="en-US" w:eastAsia="zh-CN"/>
              </w:rPr>
              <w:t>台</w:t>
            </w:r>
          </w:p>
        </w:tc>
        <w:tc>
          <w:tcPr>
            <w:tcW w:w="2065" w:type="dxa"/>
            <w:vAlign w:val="top"/>
          </w:tcPr>
          <w:p>
            <w:pPr>
              <w:rPr>
                <w:rFonts w:ascii="宋体" w:hAnsi="宋体" w:eastAsia="宋体" w:cs="宋体"/>
                <w:color w:val="FF0000"/>
                <w:sz w:val="24"/>
                <w:szCs w:val="24"/>
              </w:rPr>
            </w:pPr>
            <w:r>
              <w:rPr>
                <w:rFonts w:hint="eastAsia" w:ascii="宋体" w:hAnsi="宋体" w:eastAsia="宋体" w:cs="宋体"/>
                <w:color w:val="auto"/>
                <w:kern w:val="0"/>
                <w:sz w:val="18"/>
                <w:szCs w:val="18"/>
                <w:highlight w:val="none"/>
                <w:shd w:val="clear" w:color="auto" w:fill="auto"/>
              </w:rPr>
              <w:t>哈希水质分析仪器（上海）有限公司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2088" w:type="dxa"/>
            <w:vAlign w:val="top"/>
          </w:tcPr>
          <w:p>
            <w:pPr>
              <w:rPr>
                <w:rFonts w:ascii="宋体" w:hAnsi="宋体" w:eastAsia="宋体" w:cs="宋体"/>
                <w:color w:val="FF0000"/>
                <w:sz w:val="24"/>
                <w:szCs w:val="24"/>
              </w:rPr>
            </w:pPr>
            <w:r>
              <w:rPr>
                <w:rFonts w:hint="eastAsia" w:ascii="宋体" w:hAnsi="宋体" w:eastAsia="宋体" w:cs="宋体"/>
                <w:color w:val="auto"/>
                <w:kern w:val="0"/>
                <w:sz w:val="24"/>
                <w:szCs w:val="24"/>
                <w:highlight w:val="none"/>
                <w:shd w:val="clear" w:color="auto" w:fill="auto"/>
              </w:rPr>
              <w:t>氨氮在线分析仪出水</w:t>
            </w:r>
          </w:p>
        </w:tc>
        <w:tc>
          <w:tcPr>
            <w:tcW w:w="1855" w:type="dxa"/>
            <w:vAlign w:val="top"/>
          </w:tcPr>
          <w:p>
            <w:pPr>
              <w:rPr>
                <w:rFonts w:ascii="宋体" w:hAnsi="宋体" w:eastAsia="宋体" w:cs="宋体"/>
                <w:color w:val="FF0000"/>
                <w:sz w:val="24"/>
                <w:szCs w:val="24"/>
              </w:rPr>
            </w:pPr>
            <w:r>
              <w:rPr>
                <w:rFonts w:ascii="宋体" w:hAnsi="宋体" w:eastAsia="宋体" w:cs="宋体"/>
                <w:color w:val="auto"/>
                <w:kern w:val="0"/>
                <w:sz w:val="24"/>
                <w:szCs w:val="24"/>
                <w:highlight w:val="none"/>
                <w:shd w:val="clear" w:color="auto" w:fill="auto"/>
              </w:rPr>
              <w:t>NA8000</w:t>
            </w:r>
          </w:p>
        </w:tc>
        <w:tc>
          <w:tcPr>
            <w:tcW w:w="2065" w:type="dxa"/>
            <w:vAlign w:val="top"/>
          </w:tcPr>
          <w:p>
            <w:pPr>
              <w:jc w:val="center"/>
              <w:rPr>
                <w:rFonts w:ascii="宋体" w:hAnsi="宋体" w:eastAsia="宋体" w:cs="宋体"/>
                <w:color w:val="FF0000"/>
                <w:sz w:val="24"/>
                <w:szCs w:val="24"/>
                <w:highlight w:val="yellow"/>
              </w:rPr>
            </w:pPr>
            <w:r>
              <w:rPr>
                <w:rFonts w:hint="eastAsia" w:ascii="宋体" w:hAnsi="宋体" w:eastAsia="宋体" w:cs="宋体"/>
                <w:color w:val="auto"/>
                <w:sz w:val="24"/>
                <w:szCs w:val="24"/>
                <w:highlight w:val="none"/>
                <w:shd w:val="clear" w:color="auto" w:fill="auto"/>
                <w:lang w:val="en-US" w:eastAsia="zh-CN"/>
              </w:rPr>
              <w:t>1</w:t>
            </w:r>
          </w:p>
        </w:tc>
        <w:tc>
          <w:tcPr>
            <w:tcW w:w="2065" w:type="dxa"/>
            <w:vAlign w:val="top"/>
          </w:tcPr>
          <w:p>
            <w:pPr>
              <w:jc w:val="center"/>
              <w:rPr>
                <w:rFonts w:ascii="宋体" w:hAnsi="宋体" w:eastAsia="宋体" w:cs="宋体"/>
                <w:color w:val="FF0000"/>
                <w:sz w:val="24"/>
                <w:szCs w:val="24"/>
                <w:highlight w:val="yellow"/>
              </w:rPr>
            </w:pPr>
            <w:r>
              <w:rPr>
                <w:rFonts w:hint="eastAsia" w:ascii="宋体" w:hAnsi="宋体" w:eastAsia="宋体" w:cs="宋体"/>
                <w:color w:val="auto"/>
                <w:sz w:val="24"/>
                <w:szCs w:val="24"/>
                <w:highlight w:val="none"/>
                <w:shd w:val="clear" w:color="auto" w:fill="auto"/>
                <w:lang w:val="en-US" w:eastAsia="zh-CN"/>
              </w:rPr>
              <w:t>台</w:t>
            </w:r>
          </w:p>
        </w:tc>
        <w:tc>
          <w:tcPr>
            <w:tcW w:w="2065" w:type="dxa"/>
            <w:vAlign w:val="top"/>
          </w:tcPr>
          <w:p>
            <w:pPr>
              <w:rPr>
                <w:rFonts w:ascii="宋体" w:hAnsi="宋体" w:eastAsia="宋体" w:cs="宋体"/>
                <w:color w:val="FF0000"/>
                <w:sz w:val="24"/>
                <w:szCs w:val="24"/>
              </w:rPr>
            </w:pPr>
            <w:r>
              <w:rPr>
                <w:rFonts w:hint="eastAsia" w:ascii="宋体" w:hAnsi="宋体" w:eastAsia="宋体" w:cs="宋体"/>
                <w:color w:val="auto"/>
                <w:kern w:val="0"/>
                <w:sz w:val="18"/>
                <w:szCs w:val="18"/>
                <w:highlight w:val="none"/>
                <w:shd w:val="clear" w:color="auto" w:fill="auto"/>
              </w:rPr>
              <w:t>哈希水质分析仪器（上海）有限公司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trPr>
        <w:tc>
          <w:tcPr>
            <w:tcW w:w="2088" w:type="dxa"/>
            <w:vAlign w:val="top"/>
          </w:tcPr>
          <w:p>
            <w:pPr>
              <w:rPr>
                <w:rFonts w:ascii="宋体" w:hAnsi="宋体" w:eastAsia="宋体" w:cs="宋体"/>
                <w:color w:val="FF0000"/>
                <w:sz w:val="24"/>
                <w:szCs w:val="24"/>
              </w:rPr>
            </w:pPr>
            <w:r>
              <w:rPr>
                <w:rFonts w:hint="eastAsia" w:ascii="宋体" w:hAnsi="宋体" w:eastAsia="宋体" w:cs="宋体"/>
                <w:color w:val="auto"/>
                <w:kern w:val="0"/>
                <w:sz w:val="24"/>
                <w:szCs w:val="24"/>
                <w:highlight w:val="none"/>
                <w:shd w:val="clear" w:color="auto" w:fill="auto"/>
              </w:rPr>
              <w:t>COD在线检测仪进水</w:t>
            </w:r>
          </w:p>
        </w:tc>
        <w:tc>
          <w:tcPr>
            <w:tcW w:w="1855" w:type="dxa"/>
            <w:vAlign w:val="top"/>
          </w:tcPr>
          <w:p>
            <w:pPr>
              <w:rPr>
                <w:rFonts w:hint="eastAsia" w:ascii="宋体" w:hAnsi="宋体" w:eastAsia="宋体" w:cs="宋体"/>
                <w:color w:val="FF0000"/>
                <w:sz w:val="24"/>
                <w:szCs w:val="24"/>
                <w:lang w:val="en-US" w:eastAsia="zh-CN"/>
              </w:rPr>
            </w:pPr>
            <w:r>
              <w:rPr>
                <w:rFonts w:ascii="宋体" w:hAnsi="宋体" w:eastAsia="宋体" w:cs="宋体"/>
                <w:color w:val="auto"/>
                <w:kern w:val="0"/>
                <w:sz w:val="24"/>
                <w:szCs w:val="24"/>
                <w:highlight w:val="none"/>
                <w:shd w:val="clear" w:color="auto" w:fill="auto"/>
              </w:rPr>
              <w:t>CODMAX</w:t>
            </w:r>
            <w:r>
              <w:rPr>
                <w:rFonts w:hint="eastAsia" w:ascii="宋体" w:hAnsi="宋体" w:eastAsia="宋体" w:cs="宋体"/>
                <w:color w:val="auto"/>
                <w:kern w:val="0"/>
                <w:sz w:val="24"/>
                <w:szCs w:val="24"/>
                <w:highlight w:val="none"/>
                <w:shd w:val="clear" w:color="auto" w:fill="auto"/>
                <w:lang w:val="en-US" w:eastAsia="zh-CN"/>
              </w:rPr>
              <w:t>Ⅲ</w:t>
            </w:r>
          </w:p>
        </w:tc>
        <w:tc>
          <w:tcPr>
            <w:tcW w:w="2065" w:type="dxa"/>
            <w:vAlign w:val="top"/>
          </w:tcPr>
          <w:p>
            <w:pPr>
              <w:jc w:val="center"/>
              <w:rPr>
                <w:rFonts w:ascii="宋体" w:hAnsi="宋体" w:eastAsia="宋体" w:cs="宋体"/>
                <w:color w:val="FF0000"/>
                <w:sz w:val="24"/>
                <w:szCs w:val="24"/>
                <w:highlight w:val="yellow"/>
              </w:rPr>
            </w:pPr>
            <w:r>
              <w:rPr>
                <w:rFonts w:hint="eastAsia" w:ascii="宋体" w:hAnsi="宋体" w:eastAsia="宋体" w:cs="宋体"/>
                <w:color w:val="auto"/>
                <w:sz w:val="24"/>
                <w:szCs w:val="24"/>
                <w:highlight w:val="none"/>
                <w:shd w:val="clear" w:color="auto" w:fill="auto"/>
                <w:lang w:val="en-US" w:eastAsia="zh-CN"/>
              </w:rPr>
              <w:t>1</w:t>
            </w:r>
          </w:p>
        </w:tc>
        <w:tc>
          <w:tcPr>
            <w:tcW w:w="2065" w:type="dxa"/>
            <w:vAlign w:val="top"/>
          </w:tcPr>
          <w:p>
            <w:pPr>
              <w:jc w:val="center"/>
              <w:rPr>
                <w:rFonts w:ascii="宋体" w:hAnsi="宋体" w:eastAsia="宋体" w:cs="宋体"/>
                <w:color w:val="FF0000"/>
                <w:sz w:val="24"/>
                <w:szCs w:val="24"/>
                <w:highlight w:val="yellow"/>
              </w:rPr>
            </w:pPr>
            <w:r>
              <w:rPr>
                <w:rFonts w:hint="eastAsia" w:ascii="宋体" w:hAnsi="宋体" w:eastAsia="宋体" w:cs="宋体"/>
                <w:color w:val="auto"/>
                <w:sz w:val="24"/>
                <w:szCs w:val="24"/>
                <w:highlight w:val="none"/>
                <w:shd w:val="clear" w:color="auto" w:fill="auto"/>
                <w:lang w:val="en-US" w:eastAsia="zh-CN"/>
              </w:rPr>
              <w:t>台</w:t>
            </w:r>
          </w:p>
        </w:tc>
        <w:tc>
          <w:tcPr>
            <w:tcW w:w="2065" w:type="dxa"/>
            <w:vAlign w:val="top"/>
          </w:tcPr>
          <w:p>
            <w:pPr>
              <w:rPr>
                <w:rFonts w:ascii="宋体" w:hAnsi="宋体" w:eastAsia="宋体" w:cs="宋体"/>
                <w:color w:val="FF0000"/>
                <w:sz w:val="24"/>
                <w:szCs w:val="24"/>
              </w:rPr>
            </w:pPr>
            <w:r>
              <w:rPr>
                <w:rFonts w:hint="eastAsia" w:ascii="宋体" w:hAnsi="宋体" w:eastAsia="宋体" w:cs="宋体"/>
                <w:color w:val="auto"/>
                <w:kern w:val="0"/>
                <w:sz w:val="18"/>
                <w:szCs w:val="18"/>
                <w:highlight w:val="none"/>
                <w:shd w:val="clear" w:color="auto" w:fill="auto"/>
              </w:rPr>
              <w:t>哈希水质分析仪器（上海）有限公司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trPr>
        <w:tc>
          <w:tcPr>
            <w:tcW w:w="2088" w:type="dxa"/>
            <w:vAlign w:val="top"/>
          </w:tcPr>
          <w:p>
            <w:pPr>
              <w:rPr>
                <w:rFonts w:hint="eastAsia" w:ascii="宋体" w:hAnsi="宋体" w:eastAsia="宋体" w:cs="宋体"/>
                <w:color w:val="FF0000"/>
                <w:sz w:val="24"/>
                <w:szCs w:val="24"/>
              </w:rPr>
            </w:pPr>
            <w:r>
              <w:rPr>
                <w:rFonts w:hint="eastAsia" w:ascii="宋体" w:hAnsi="宋体" w:eastAsia="宋体" w:cs="宋体"/>
                <w:color w:val="auto"/>
                <w:kern w:val="0"/>
                <w:sz w:val="24"/>
                <w:szCs w:val="24"/>
                <w:highlight w:val="none"/>
                <w:shd w:val="clear" w:color="auto" w:fill="auto"/>
              </w:rPr>
              <w:t xml:space="preserve">PH检测仪进水 </w:t>
            </w:r>
          </w:p>
        </w:tc>
        <w:tc>
          <w:tcPr>
            <w:tcW w:w="1855" w:type="dxa"/>
            <w:vAlign w:val="top"/>
          </w:tcPr>
          <w:p>
            <w:pPr>
              <w:rPr>
                <w:rFonts w:ascii="宋体" w:hAnsi="宋体" w:eastAsia="宋体" w:cs="宋体"/>
                <w:color w:val="FF0000"/>
                <w:sz w:val="24"/>
                <w:szCs w:val="24"/>
              </w:rPr>
            </w:pPr>
            <w:r>
              <w:rPr>
                <w:rFonts w:hint="eastAsia" w:ascii="宋体" w:hAnsi="宋体" w:eastAsia="宋体" w:cs="宋体"/>
                <w:color w:val="auto"/>
                <w:kern w:val="0"/>
                <w:sz w:val="24"/>
                <w:szCs w:val="24"/>
                <w:highlight w:val="none"/>
                <w:shd w:val="clear" w:color="auto" w:fill="auto"/>
                <w:lang w:val="en-US" w:eastAsia="zh-CN"/>
              </w:rPr>
              <w:t>SC100</w:t>
            </w:r>
          </w:p>
        </w:tc>
        <w:tc>
          <w:tcPr>
            <w:tcW w:w="2065" w:type="dxa"/>
            <w:vAlign w:val="top"/>
          </w:tcPr>
          <w:p>
            <w:pPr>
              <w:jc w:val="center"/>
              <w:rPr>
                <w:rFonts w:ascii="宋体" w:hAnsi="宋体" w:eastAsia="宋体" w:cs="宋体"/>
                <w:color w:val="FF0000"/>
                <w:sz w:val="24"/>
                <w:szCs w:val="24"/>
                <w:highlight w:val="yellow"/>
              </w:rPr>
            </w:pPr>
            <w:r>
              <w:rPr>
                <w:rFonts w:hint="eastAsia" w:ascii="宋体" w:hAnsi="宋体" w:eastAsia="宋体" w:cs="宋体"/>
                <w:color w:val="auto"/>
                <w:sz w:val="24"/>
                <w:szCs w:val="24"/>
                <w:highlight w:val="none"/>
                <w:shd w:val="clear" w:color="auto" w:fill="auto"/>
                <w:lang w:val="en-US" w:eastAsia="zh-CN"/>
              </w:rPr>
              <w:t>1</w:t>
            </w:r>
          </w:p>
        </w:tc>
        <w:tc>
          <w:tcPr>
            <w:tcW w:w="2065" w:type="dxa"/>
            <w:vAlign w:val="top"/>
          </w:tcPr>
          <w:p>
            <w:pPr>
              <w:jc w:val="center"/>
              <w:rPr>
                <w:rFonts w:ascii="宋体" w:hAnsi="宋体" w:eastAsia="宋体" w:cs="宋体"/>
                <w:color w:val="FF0000"/>
                <w:sz w:val="24"/>
                <w:szCs w:val="24"/>
                <w:highlight w:val="yellow"/>
              </w:rPr>
            </w:pPr>
            <w:r>
              <w:rPr>
                <w:rFonts w:hint="eastAsia" w:ascii="宋体" w:hAnsi="宋体" w:eastAsia="宋体" w:cs="宋体"/>
                <w:color w:val="auto"/>
                <w:sz w:val="24"/>
                <w:szCs w:val="24"/>
                <w:highlight w:val="none"/>
                <w:shd w:val="clear" w:color="auto" w:fill="auto"/>
                <w:lang w:val="en-US" w:eastAsia="zh-CN"/>
              </w:rPr>
              <w:t>台</w:t>
            </w:r>
          </w:p>
        </w:tc>
        <w:tc>
          <w:tcPr>
            <w:tcW w:w="2065" w:type="dxa"/>
            <w:vAlign w:val="top"/>
          </w:tcPr>
          <w:p>
            <w:pPr>
              <w:rPr>
                <w:rFonts w:ascii="宋体" w:hAnsi="宋体" w:eastAsia="宋体" w:cs="宋体"/>
                <w:color w:val="FF0000"/>
                <w:sz w:val="24"/>
                <w:szCs w:val="24"/>
              </w:rPr>
            </w:pPr>
            <w:r>
              <w:rPr>
                <w:rFonts w:hint="eastAsia" w:ascii="宋体" w:hAnsi="宋体" w:eastAsia="宋体" w:cs="宋体"/>
                <w:color w:val="auto"/>
                <w:kern w:val="0"/>
                <w:sz w:val="18"/>
                <w:szCs w:val="18"/>
                <w:highlight w:val="none"/>
                <w:shd w:val="clear" w:color="auto" w:fill="auto"/>
              </w:rPr>
              <w:t>哈希水质分析仪器（上海）有限公司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trPr>
        <w:tc>
          <w:tcPr>
            <w:tcW w:w="2088" w:type="dxa"/>
            <w:vAlign w:val="top"/>
          </w:tcPr>
          <w:p>
            <w:pPr>
              <w:rPr>
                <w:rFonts w:hint="eastAsia" w:ascii="宋体" w:hAnsi="宋体" w:eastAsia="宋体" w:cs="宋体"/>
                <w:color w:val="FF0000"/>
                <w:sz w:val="24"/>
                <w:szCs w:val="24"/>
              </w:rPr>
            </w:pPr>
            <w:r>
              <w:rPr>
                <w:rFonts w:hint="eastAsia" w:ascii="宋体" w:hAnsi="宋体" w:eastAsia="宋体" w:cs="宋体"/>
                <w:color w:val="auto"/>
                <w:kern w:val="0"/>
                <w:sz w:val="24"/>
                <w:szCs w:val="24"/>
                <w:highlight w:val="none"/>
                <w:shd w:val="clear" w:color="auto" w:fill="auto"/>
              </w:rPr>
              <w:t>氨氮在线分析仪进水</w:t>
            </w:r>
          </w:p>
        </w:tc>
        <w:tc>
          <w:tcPr>
            <w:tcW w:w="1855" w:type="dxa"/>
            <w:vAlign w:val="top"/>
          </w:tcPr>
          <w:p>
            <w:pPr>
              <w:rPr>
                <w:rFonts w:hint="default" w:ascii="宋体" w:hAnsi="宋体" w:eastAsia="宋体" w:cs="宋体"/>
                <w:color w:val="FF0000"/>
                <w:sz w:val="24"/>
                <w:szCs w:val="24"/>
                <w:lang w:val="en-US" w:eastAsia="zh-CN"/>
              </w:rPr>
            </w:pPr>
            <w:r>
              <w:rPr>
                <w:rFonts w:hint="eastAsia" w:ascii="宋体" w:hAnsi="宋体" w:eastAsia="宋体" w:cs="宋体"/>
                <w:color w:val="auto"/>
                <w:kern w:val="0"/>
                <w:sz w:val="24"/>
                <w:szCs w:val="24"/>
                <w:highlight w:val="none"/>
                <w:shd w:val="clear" w:color="auto" w:fill="auto"/>
                <w:lang w:val="en-US" w:eastAsia="zh-CN"/>
              </w:rPr>
              <w:t>NHN-4210</w:t>
            </w:r>
          </w:p>
        </w:tc>
        <w:tc>
          <w:tcPr>
            <w:tcW w:w="2065" w:type="dxa"/>
            <w:vAlign w:val="top"/>
          </w:tcPr>
          <w:p>
            <w:pPr>
              <w:jc w:val="center"/>
              <w:rPr>
                <w:rFonts w:ascii="宋体" w:hAnsi="宋体" w:eastAsia="宋体" w:cs="宋体"/>
                <w:color w:val="FF0000"/>
                <w:sz w:val="24"/>
                <w:szCs w:val="24"/>
                <w:highlight w:val="yellow"/>
              </w:rPr>
            </w:pPr>
            <w:r>
              <w:rPr>
                <w:rFonts w:hint="eastAsia" w:ascii="宋体" w:hAnsi="宋体" w:eastAsia="宋体" w:cs="宋体"/>
                <w:color w:val="auto"/>
                <w:sz w:val="24"/>
                <w:szCs w:val="24"/>
                <w:highlight w:val="none"/>
                <w:shd w:val="clear" w:color="auto" w:fill="auto"/>
                <w:lang w:val="en-US" w:eastAsia="zh-CN"/>
              </w:rPr>
              <w:t>1</w:t>
            </w:r>
          </w:p>
        </w:tc>
        <w:tc>
          <w:tcPr>
            <w:tcW w:w="2065" w:type="dxa"/>
            <w:vAlign w:val="top"/>
          </w:tcPr>
          <w:p>
            <w:pPr>
              <w:jc w:val="center"/>
              <w:rPr>
                <w:rFonts w:ascii="宋体" w:hAnsi="宋体" w:eastAsia="宋体" w:cs="宋体"/>
                <w:color w:val="FF0000"/>
                <w:sz w:val="24"/>
                <w:szCs w:val="24"/>
                <w:highlight w:val="yellow"/>
              </w:rPr>
            </w:pPr>
            <w:r>
              <w:rPr>
                <w:rFonts w:hint="eastAsia" w:ascii="宋体" w:hAnsi="宋体" w:eastAsia="宋体" w:cs="宋体"/>
                <w:color w:val="auto"/>
                <w:sz w:val="24"/>
                <w:szCs w:val="24"/>
                <w:highlight w:val="none"/>
                <w:shd w:val="clear" w:color="auto" w:fill="auto"/>
                <w:lang w:val="en-US" w:eastAsia="zh-CN"/>
              </w:rPr>
              <w:t>台</w:t>
            </w:r>
          </w:p>
        </w:tc>
        <w:tc>
          <w:tcPr>
            <w:tcW w:w="2065" w:type="dxa"/>
            <w:vAlign w:val="top"/>
          </w:tcPr>
          <w:p>
            <w:pPr>
              <w:rPr>
                <w:rFonts w:ascii="宋体" w:hAnsi="宋体" w:eastAsia="宋体" w:cs="宋体"/>
                <w:color w:val="FF0000"/>
                <w:sz w:val="24"/>
                <w:szCs w:val="24"/>
              </w:rPr>
            </w:pPr>
            <w:r>
              <w:rPr>
                <w:rFonts w:hint="eastAsia" w:ascii="宋体" w:hAnsi="宋体" w:eastAsia="宋体" w:cs="宋体"/>
                <w:color w:val="auto"/>
                <w:kern w:val="0"/>
                <w:sz w:val="18"/>
                <w:szCs w:val="18"/>
                <w:highlight w:val="none"/>
                <w:shd w:val="clear" w:color="auto" w:fill="auto"/>
              </w:rPr>
              <w:t>哈希水质分析仪器（上海）有限公司</w:t>
            </w:r>
          </w:p>
        </w:tc>
      </w:tr>
    </w:tbl>
    <w:p>
      <w:pPr>
        <w:pStyle w:val="22"/>
        <w:spacing w:line="240" w:lineRule="auto"/>
        <w:ind w:left="-420" w:leftChars="-200" w:firstLine="0" w:firstLineChars="0"/>
        <w:outlineLvl w:val="1"/>
        <w:rPr>
          <w:rFonts w:ascii="宋体" w:hAnsi="宋体"/>
          <w:sz w:val="28"/>
          <w:szCs w:val="28"/>
        </w:rPr>
      </w:pPr>
      <w:r>
        <w:rPr>
          <w:rFonts w:hint="eastAsia" w:ascii="宋体" w:hAnsi="宋体"/>
          <w:sz w:val="28"/>
          <w:szCs w:val="28"/>
        </w:rPr>
        <w:t>2、手工监测设备</w:t>
      </w:r>
    </w:p>
    <w:tbl>
      <w:tblPr>
        <w:tblStyle w:val="13"/>
        <w:tblW w:w="9848" w:type="dxa"/>
        <w:tblInd w:w="-43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98"/>
        <w:gridCol w:w="1656"/>
        <w:gridCol w:w="1964"/>
        <w:gridCol w:w="2045"/>
        <w:gridCol w:w="17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53" w:type="dxa"/>
          </w:tcPr>
          <w:p>
            <w:pPr>
              <w:jc w:val="center"/>
              <w:rPr>
                <w:rFonts w:ascii="宋体" w:hAnsi="宋体" w:eastAsia="宋体" w:cs="宋体"/>
                <w:sz w:val="24"/>
                <w:szCs w:val="24"/>
              </w:rPr>
            </w:pPr>
            <w:r>
              <w:rPr>
                <w:rFonts w:hint="eastAsia" w:ascii="宋体" w:hAnsi="宋体" w:eastAsia="宋体" w:cs="宋体"/>
                <w:sz w:val="24"/>
                <w:szCs w:val="24"/>
              </w:rPr>
              <w:t>监测设备名称</w:t>
            </w:r>
          </w:p>
        </w:tc>
        <w:tc>
          <w:tcPr>
            <w:tcW w:w="1506" w:type="dxa"/>
          </w:tcPr>
          <w:p>
            <w:pPr>
              <w:jc w:val="center"/>
              <w:rPr>
                <w:rFonts w:ascii="宋体" w:hAnsi="宋体" w:eastAsia="宋体" w:cs="宋体"/>
                <w:sz w:val="24"/>
                <w:szCs w:val="24"/>
              </w:rPr>
            </w:pPr>
            <w:r>
              <w:rPr>
                <w:rFonts w:hint="eastAsia" w:ascii="宋体" w:hAnsi="宋体" w:eastAsia="宋体" w:cs="宋体"/>
                <w:sz w:val="24"/>
                <w:szCs w:val="24"/>
              </w:rPr>
              <w:t>型号</w:t>
            </w:r>
          </w:p>
        </w:tc>
        <w:tc>
          <w:tcPr>
            <w:tcW w:w="2012" w:type="dxa"/>
          </w:tcPr>
          <w:p>
            <w:pPr>
              <w:jc w:val="center"/>
              <w:rPr>
                <w:rFonts w:ascii="宋体" w:hAnsi="宋体" w:eastAsia="宋体" w:cs="宋体"/>
                <w:sz w:val="24"/>
                <w:szCs w:val="24"/>
              </w:rPr>
            </w:pPr>
            <w:r>
              <w:rPr>
                <w:rFonts w:hint="eastAsia" w:ascii="宋体" w:hAnsi="宋体" w:eastAsia="宋体" w:cs="宋体"/>
                <w:sz w:val="24"/>
                <w:szCs w:val="24"/>
              </w:rPr>
              <w:t>数量</w:t>
            </w:r>
          </w:p>
        </w:tc>
        <w:tc>
          <w:tcPr>
            <w:tcW w:w="2088" w:type="dxa"/>
          </w:tcPr>
          <w:p>
            <w:pPr>
              <w:jc w:val="center"/>
              <w:rPr>
                <w:rFonts w:ascii="宋体" w:hAnsi="宋体" w:eastAsia="宋体" w:cs="宋体"/>
                <w:sz w:val="24"/>
                <w:szCs w:val="24"/>
              </w:rPr>
            </w:pPr>
            <w:r>
              <w:rPr>
                <w:rFonts w:hint="eastAsia" w:ascii="宋体" w:hAnsi="宋体" w:eastAsia="宋体" w:cs="宋体"/>
                <w:sz w:val="24"/>
                <w:szCs w:val="24"/>
              </w:rPr>
              <w:t>单位</w:t>
            </w:r>
          </w:p>
        </w:tc>
        <w:tc>
          <w:tcPr>
            <w:tcW w:w="1789" w:type="dxa"/>
          </w:tcPr>
          <w:p>
            <w:pPr>
              <w:jc w:val="center"/>
              <w:rPr>
                <w:rFonts w:ascii="宋体" w:hAnsi="宋体" w:eastAsia="宋体" w:cs="宋体"/>
                <w:sz w:val="24"/>
                <w:szCs w:val="24"/>
              </w:rPr>
            </w:pPr>
            <w:r>
              <w:rPr>
                <w:rFonts w:hint="eastAsia" w:ascii="宋体" w:hAnsi="宋体" w:eastAsia="宋体" w:cs="宋体"/>
                <w:sz w:val="24"/>
                <w:szCs w:val="24"/>
              </w:rPr>
              <w:t>生产厂家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53" w:type="dxa"/>
            <w:vAlign w:val="top"/>
          </w:tcPr>
          <w:p>
            <w:pPr>
              <w:rPr>
                <w:rFonts w:ascii="宋体" w:hAnsi="宋体" w:eastAsia="宋体" w:cs="宋体"/>
                <w:color w:val="FF0000"/>
                <w:sz w:val="24"/>
                <w:szCs w:val="24"/>
              </w:rPr>
            </w:pPr>
            <w:r>
              <w:rPr>
                <w:rFonts w:hint="eastAsia" w:ascii="宋体" w:hAnsi="宋体" w:eastAsia="宋体" w:cs="宋体"/>
                <w:color w:val="auto"/>
                <w:sz w:val="24"/>
                <w:szCs w:val="24"/>
                <w:highlight w:val="none"/>
                <w:shd w:val="clear" w:color="auto" w:fill="auto"/>
              </w:rPr>
              <w:t>生化培养箱</w:t>
            </w:r>
          </w:p>
        </w:tc>
        <w:tc>
          <w:tcPr>
            <w:tcW w:w="1506" w:type="dxa"/>
            <w:vAlign w:val="top"/>
          </w:tcPr>
          <w:p>
            <w:pPr>
              <w:rPr>
                <w:rFonts w:ascii="宋体" w:hAnsi="宋体" w:eastAsia="宋体" w:cs="宋体"/>
                <w:color w:val="FF0000"/>
                <w:sz w:val="24"/>
                <w:szCs w:val="24"/>
              </w:rPr>
            </w:pPr>
            <w:r>
              <w:rPr>
                <w:rFonts w:hint="eastAsia" w:ascii="宋体" w:hAnsi="宋体" w:eastAsia="宋体" w:cs="宋体"/>
                <w:color w:val="auto"/>
                <w:sz w:val="24"/>
                <w:szCs w:val="24"/>
                <w:highlight w:val="none"/>
                <w:shd w:val="clear" w:color="auto" w:fill="auto"/>
                <w:lang w:val="en-US" w:eastAsia="zh-CN"/>
              </w:rPr>
              <w:t>SHP-250</w:t>
            </w:r>
          </w:p>
        </w:tc>
        <w:tc>
          <w:tcPr>
            <w:tcW w:w="2012" w:type="dxa"/>
            <w:vAlign w:val="top"/>
          </w:tcPr>
          <w:p>
            <w:pPr>
              <w:rPr>
                <w:rFonts w:ascii="宋体" w:hAnsi="宋体" w:eastAsia="宋体" w:cs="宋体"/>
                <w:color w:val="FF0000"/>
                <w:sz w:val="24"/>
                <w:szCs w:val="24"/>
              </w:rPr>
            </w:pPr>
            <w:r>
              <w:rPr>
                <w:rFonts w:hint="eastAsia" w:ascii="宋体" w:hAnsi="宋体" w:eastAsia="宋体" w:cs="宋体"/>
                <w:color w:val="auto"/>
                <w:sz w:val="24"/>
                <w:szCs w:val="24"/>
                <w:highlight w:val="none"/>
                <w:shd w:val="clear" w:color="auto" w:fill="auto"/>
              </w:rPr>
              <w:t>上海鸿都电子科技</w:t>
            </w:r>
          </w:p>
        </w:tc>
        <w:tc>
          <w:tcPr>
            <w:tcW w:w="2088" w:type="dxa"/>
            <w:vAlign w:val="top"/>
          </w:tcPr>
          <w:p>
            <w:pPr>
              <w:rPr>
                <w:rFonts w:ascii="宋体" w:hAnsi="宋体" w:eastAsia="宋体" w:cs="宋体"/>
                <w:color w:val="FF0000"/>
                <w:kern w:val="0"/>
                <w:sz w:val="24"/>
                <w:szCs w:val="24"/>
              </w:rPr>
            </w:pPr>
            <w:r>
              <w:rPr>
                <w:rFonts w:hint="eastAsia" w:ascii="宋体" w:hAnsi="宋体" w:eastAsia="宋体" w:cs="宋体"/>
                <w:color w:val="auto"/>
                <w:sz w:val="24"/>
                <w:szCs w:val="24"/>
                <w:highlight w:val="none"/>
                <w:shd w:val="clear" w:color="auto" w:fill="auto"/>
              </w:rPr>
              <w:t>生化培养箱</w:t>
            </w:r>
          </w:p>
        </w:tc>
        <w:tc>
          <w:tcPr>
            <w:tcW w:w="1789" w:type="dxa"/>
            <w:vAlign w:val="top"/>
          </w:tcPr>
          <w:p>
            <w:pPr>
              <w:rPr>
                <w:rFonts w:ascii="宋体" w:hAnsi="宋体" w:eastAsia="宋体" w:cs="宋体"/>
                <w:color w:val="FF0000"/>
                <w:sz w:val="24"/>
                <w:szCs w:val="24"/>
              </w:rPr>
            </w:pPr>
            <w:r>
              <w:rPr>
                <w:rFonts w:hint="eastAsia" w:ascii="宋体" w:hAnsi="宋体" w:eastAsia="宋体" w:cs="宋体"/>
                <w:color w:val="auto"/>
                <w:sz w:val="24"/>
                <w:szCs w:val="24"/>
                <w:highlight w:val="none"/>
                <w:shd w:val="clear" w:color="auto" w:fill="auto"/>
                <w:lang w:val="en-US" w:eastAsia="zh-CN"/>
              </w:rPr>
              <w:t>SHP-250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53" w:type="dxa"/>
            <w:vAlign w:val="top"/>
          </w:tcPr>
          <w:p>
            <w:pPr>
              <w:rPr>
                <w:rFonts w:ascii="宋体" w:hAnsi="宋体" w:eastAsia="宋体" w:cs="宋体"/>
                <w:color w:val="FF0000"/>
                <w:sz w:val="24"/>
                <w:szCs w:val="24"/>
              </w:rPr>
            </w:pPr>
            <w:r>
              <w:rPr>
                <w:rFonts w:hint="eastAsia" w:ascii="宋体" w:hAnsi="宋体" w:eastAsia="宋体" w:cs="宋体"/>
                <w:color w:val="auto"/>
                <w:sz w:val="24"/>
                <w:szCs w:val="24"/>
                <w:highlight w:val="none"/>
                <w:shd w:val="clear" w:color="auto" w:fill="auto"/>
              </w:rPr>
              <w:t>高温灭菌器</w:t>
            </w:r>
          </w:p>
        </w:tc>
        <w:tc>
          <w:tcPr>
            <w:tcW w:w="1506" w:type="dxa"/>
            <w:vAlign w:val="top"/>
          </w:tcPr>
          <w:p>
            <w:pPr>
              <w:rPr>
                <w:rFonts w:ascii="宋体" w:hAnsi="宋体" w:eastAsia="宋体" w:cs="宋体"/>
                <w:color w:val="FF0000"/>
                <w:sz w:val="24"/>
                <w:szCs w:val="24"/>
              </w:rPr>
            </w:pPr>
            <w:r>
              <w:rPr>
                <w:rFonts w:hint="eastAsia" w:ascii="宋体" w:hAnsi="宋体" w:eastAsia="宋体" w:cs="宋体"/>
                <w:color w:val="auto"/>
                <w:sz w:val="24"/>
                <w:szCs w:val="24"/>
                <w:highlight w:val="none"/>
                <w:shd w:val="clear" w:color="auto" w:fill="auto"/>
              </w:rPr>
              <w:t>YXQ-LS-30S11</w:t>
            </w:r>
          </w:p>
        </w:tc>
        <w:tc>
          <w:tcPr>
            <w:tcW w:w="2012" w:type="dxa"/>
            <w:vAlign w:val="top"/>
          </w:tcPr>
          <w:p>
            <w:pPr>
              <w:rPr>
                <w:rFonts w:ascii="宋体" w:hAnsi="宋体" w:eastAsia="宋体" w:cs="宋体"/>
                <w:color w:val="FF0000"/>
                <w:sz w:val="24"/>
                <w:szCs w:val="24"/>
              </w:rPr>
            </w:pPr>
            <w:r>
              <w:rPr>
                <w:rFonts w:hint="eastAsia" w:ascii="宋体" w:hAnsi="宋体" w:eastAsia="宋体" w:cs="宋体"/>
                <w:color w:val="auto"/>
                <w:sz w:val="24"/>
                <w:szCs w:val="24"/>
                <w:highlight w:val="none"/>
                <w:shd w:val="clear" w:color="auto" w:fill="auto"/>
              </w:rPr>
              <w:t>上海博迅实业</w:t>
            </w:r>
          </w:p>
        </w:tc>
        <w:tc>
          <w:tcPr>
            <w:tcW w:w="2088" w:type="dxa"/>
            <w:vAlign w:val="top"/>
          </w:tcPr>
          <w:p>
            <w:pPr>
              <w:rPr>
                <w:rFonts w:ascii="宋体" w:hAnsi="宋体" w:eastAsia="宋体" w:cs="宋体"/>
                <w:color w:val="FF0000"/>
                <w:sz w:val="24"/>
                <w:szCs w:val="24"/>
              </w:rPr>
            </w:pPr>
            <w:r>
              <w:rPr>
                <w:rFonts w:hint="eastAsia" w:ascii="宋体" w:hAnsi="宋体" w:eastAsia="宋体" w:cs="宋体"/>
                <w:color w:val="auto"/>
                <w:sz w:val="24"/>
                <w:szCs w:val="24"/>
                <w:highlight w:val="none"/>
                <w:shd w:val="clear" w:color="auto" w:fill="auto"/>
              </w:rPr>
              <w:t>高温灭菌器</w:t>
            </w:r>
          </w:p>
        </w:tc>
        <w:tc>
          <w:tcPr>
            <w:tcW w:w="1789" w:type="dxa"/>
            <w:vAlign w:val="top"/>
          </w:tcPr>
          <w:p>
            <w:pPr>
              <w:rPr>
                <w:rFonts w:ascii="宋体" w:hAnsi="宋体" w:eastAsia="宋体" w:cs="宋体"/>
                <w:color w:val="FF0000"/>
                <w:sz w:val="24"/>
                <w:szCs w:val="24"/>
              </w:rPr>
            </w:pPr>
            <w:r>
              <w:rPr>
                <w:rFonts w:hint="eastAsia" w:ascii="宋体" w:hAnsi="宋体" w:eastAsia="宋体" w:cs="宋体"/>
                <w:color w:val="auto"/>
                <w:sz w:val="24"/>
                <w:szCs w:val="24"/>
                <w:highlight w:val="none"/>
                <w:shd w:val="clear" w:color="auto" w:fill="auto"/>
              </w:rPr>
              <w:t>YXQ-LS-30S11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2453" w:type="dxa"/>
            <w:vAlign w:val="top"/>
          </w:tcPr>
          <w:p>
            <w:pPr>
              <w:rPr>
                <w:rFonts w:ascii="宋体" w:hAnsi="宋体" w:eastAsia="宋体" w:cs="宋体"/>
                <w:color w:val="FF0000"/>
                <w:sz w:val="24"/>
                <w:szCs w:val="24"/>
              </w:rPr>
            </w:pPr>
            <w:r>
              <w:rPr>
                <w:rFonts w:hint="eastAsia" w:ascii="宋体" w:hAnsi="宋体" w:eastAsia="宋体" w:cs="宋体"/>
                <w:color w:val="auto"/>
                <w:sz w:val="24"/>
                <w:szCs w:val="24"/>
                <w:highlight w:val="none"/>
                <w:shd w:val="clear" w:color="auto" w:fill="auto"/>
              </w:rPr>
              <w:t>COD消解装置</w:t>
            </w:r>
          </w:p>
        </w:tc>
        <w:tc>
          <w:tcPr>
            <w:tcW w:w="1506" w:type="dxa"/>
            <w:vAlign w:val="top"/>
          </w:tcPr>
          <w:p>
            <w:pPr>
              <w:rPr>
                <w:rFonts w:ascii="宋体" w:hAnsi="宋体" w:eastAsia="宋体" w:cs="宋体"/>
                <w:color w:val="FF0000"/>
                <w:sz w:val="24"/>
                <w:szCs w:val="24"/>
              </w:rPr>
            </w:pPr>
            <w:r>
              <w:rPr>
                <w:rFonts w:hint="eastAsia" w:ascii="宋体" w:hAnsi="宋体" w:eastAsia="宋体" w:cs="宋体"/>
                <w:color w:val="auto"/>
                <w:sz w:val="24"/>
                <w:szCs w:val="24"/>
                <w:highlight w:val="none"/>
                <w:shd w:val="clear" w:color="auto" w:fill="auto"/>
                <w:lang w:val="en-US" w:eastAsia="zh-CN"/>
              </w:rPr>
              <w:t>6B</w:t>
            </w:r>
            <w:r>
              <w:rPr>
                <w:rFonts w:hint="eastAsia" w:ascii="宋体" w:hAnsi="宋体" w:eastAsia="宋体" w:cs="宋体"/>
                <w:color w:val="auto"/>
                <w:sz w:val="24"/>
                <w:szCs w:val="24"/>
                <w:highlight w:val="none"/>
                <w:shd w:val="clear" w:color="auto" w:fill="auto"/>
              </w:rPr>
              <w:t>-6C</w:t>
            </w:r>
          </w:p>
        </w:tc>
        <w:tc>
          <w:tcPr>
            <w:tcW w:w="2012" w:type="dxa"/>
            <w:vAlign w:val="top"/>
          </w:tcPr>
          <w:p>
            <w:pPr>
              <w:rPr>
                <w:rFonts w:ascii="宋体" w:hAnsi="宋体" w:eastAsia="宋体" w:cs="宋体"/>
                <w:color w:val="FF0000"/>
                <w:sz w:val="24"/>
                <w:szCs w:val="24"/>
              </w:rPr>
            </w:pPr>
            <w:r>
              <w:rPr>
                <w:rFonts w:hint="eastAsia" w:ascii="宋体" w:hAnsi="宋体" w:eastAsia="宋体" w:cs="宋体"/>
                <w:color w:val="auto"/>
                <w:sz w:val="24"/>
                <w:szCs w:val="24"/>
                <w:highlight w:val="none"/>
                <w:shd w:val="clear" w:color="auto" w:fill="auto"/>
              </w:rPr>
              <w:t>江苏盛奥华环保科技有限公司</w:t>
            </w:r>
          </w:p>
        </w:tc>
        <w:tc>
          <w:tcPr>
            <w:tcW w:w="2088" w:type="dxa"/>
            <w:vAlign w:val="top"/>
          </w:tcPr>
          <w:p>
            <w:pPr>
              <w:rPr>
                <w:rFonts w:ascii="宋体" w:hAnsi="宋体" w:eastAsia="宋体" w:cs="宋体"/>
                <w:color w:val="FF0000"/>
                <w:sz w:val="24"/>
                <w:szCs w:val="24"/>
              </w:rPr>
            </w:pPr>
            <w:r>
              <w:rPr>
                <w:rFonts w:hint="eastAsia" w:ascii="宋体" w:hAnsi="宋体" w:eastAsia="宋体" w:cs="宋体"/>
                <w:color w:val="auto"/>
                <w:sz w:val="24"/>
                <w:szCs w:val="24"/>
                <w:highlight w:val="none"/>
                <w:shd w:val="clear" w:color="auto" w:fill="auto"/>
              </w:rPr>
              <w:t>COD消解装置</w:t>
            </w:r>
          </w:p>
        </w:tc>
        <w:tc>
          <w:tcPr>
            <w:tcW w:w="1789" w:type="dxa"/>
            <w:vAlign w:val="top"/>
          </w:tcPr>
          <w:p>
            <w:pPr>
              <w:rPr>
                <w:rFonts w:ascii="宋体" w:hAnsi="宋体" w:eastAsia="宋体" w:cs="宋体"/>
                <w:color w:val="FF0000"/>
                <w:sz w:val="24"/>
                <w:szCs w:val="24"/>
              </w:rPr>
            </w:pPr>
            <w:r>
              <w:rPr>
                <w:rFonts w:hint="eastAsia" w:ascii="宋体" w:hAnsi="宋体" w:eastAsia="宋体" w:cs="宋体"/>
                <w:color w:val="auto"/>
                <w:sz w:val="24"/>
                <w:szCs w:val="24"/>
                <w:highlight w:val="none"/>
                <w:shd w:val="clear" w:color="auto" w:fill="auto"/>
                <w:lang w:val="en-US" w:eastAsia="zh-CN"/>
              </w:rPr>
              <w:t>6B</w:t>
            </w:r>
            <w:r>
              <w:rPr>
                <w:rFonts w:hint="eastAsia" w:ascii="宋体" w:hAnsi="宋体" w:eastAsia="宋体" w:cs="宋体"/>
                <w:color w:val="auto"/>
                <w:sz w:val="24"/>
                <w:szCs w:val="24"/>
                <w:highlight w:val="none"/>
                <w:shd w:val="clear" w:color="auto" w:fill="auto"/>
              </w:rPr>
              <w:t>-6C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53" w:type="dxa"/>
            <w:vAlign w:val="top"/>
          </w:tcPr>
          <w:p>
            <w:pPr>
              <w:rPr>
                <w:rFonts w:ascii="宋体" w:hAnsi="宋体" w:eastAsia="宋体" w:cs="宋体"/>
                <w:color w:val="FF0000"/>
                <w:sz w:val="24"/>
                <w:szCs w:val="24"/>
              </w:rPr>
            </w:pPr>
            <w:r>
              <w:rPr>
                <w:rFonts w:hint="eastAsia" w:ascii="宋体" w:hAnsi="宋体" w:eastAsia="宋体" w:cs="宋体"/>
                <w:color w:val="auto"/>
                <w:sz w:val="24"/>
                <w:szCs w:val="24"/>
                <w:highlight w:val="none"/>
                <w:shd w:val="clear" w:color="auto" w:fill="auto"/>
              </w:rPr>
              <w:t>显微镜（带电子镜头）</w:t>
            </w:r>
          </w:p>
        </w:tc>
        <w:tc>
          <w:tcPr>
            <w:tcW w:w="1506" w:type="dxa"/>
            <w:vAlign w:val="top"/>
          </w:tcPr>
          <w:p>
            <w:pPr>
              <w:rPr>
                <w:rFonts w:ascii="宋体" w:hAnsi="宋体" w:eastAsia="宋体" w:cs="宋体"/>
                <w:color w:val="FF0000"/>
                <w:sz w:val="24"/>
                <w:szCs w:val="24"/>
              </w:rPr>
            </w:pPr>
            <w:r>
              <w:rPr>
                <w:rFonts w:hint="eastAsia" w:ascii="宋体" w:hAnsi="宋体" w:eastAsia="宋体" w:cs="宋体"/>
                <w:color w:val="auto"/>
                <w:sz w:val="24"/>
                <w:szCs w:val="24"/>
                <w:highlight w:val="none"/>
                <w:shd w:val="clear" w:color="auto" w:fill="auto"/>
              </w:rPr>
              <w:t>XSP-2</w:t>
            </w:r>
            <w:r>
              <w:rPr>
                <w:rFonts w:hint="eastAsia" w:ascii="宋体" w:hAnsi="宋体" w:eastAsia="宋体" w:cs="宋体"/>
                <w:color w:val="auto"/>
                <w:sz w:val="24"/>
                <w:szCs w:val="24"/>
                <w:highlight w:val="none"/>
                <w:shd w:val="clear" w:color="auto" w:fill="auto"/>
                <w:lang w:val="en-US" w:eastAsia="zh-CN"/>
              </w:rPr>
              <w:t>C</w:t>
            </w:r>
            <w:r>
              <w:rPr>
                <w:rFonts w:hint="eastAsia" w:ascii="宋体" w:hAnsi="宋体" w:eastAsia="宋体" w:cs="宋体"/>
                <w:color w:val="auto"/>
                <w:sz w:val="24"/>
                <w:szCs w:val="24"/>
                <w:highlight w:val="none"/>
                <w:shd w:val="clear" w:color="auto" w:fill="auto"/>
              </w:rPr>
              <w:t>A</w:t>
            </w:r>
          </w:p>
        </w:tc>
        <w:tc>
          <w:tcPr>
            <w:tcW w:w="2012" w:type="dxa"/>
            <w:vAlign w:val="top"/>
          </w:tcPr>
          <w:p>
            <w:pPr>
              <w:rPr>
                <w:rFonts w:ascii="宋体" w:hAnsi="宋体" w:eastAsia="宋体" w:cs="宋体"/>
                <w:color w:val="FF0000"/>
                <w:sz w:val="24"/>
                <w:szCs w:val="24"/>
              </w:rPr>
            </w:pPr>
            <w:r>
              <w:rPr>
                <w:rFonts w:hint="eastAsia" w:ascii="宋体" w:hAnsi="宋体" w:eastAsia="宋体" w:cs="宋体"/>
                <w:color w:val="auto"/>
                <w:sz w:val="24"/>
                <w:szCs w:val="24"/>
                <w:highlight w:val="none"/>
                <w:shd w:val="clear" w:color="auto" w:fill="auto"/>
              </w:rPr>
              <w:t>上海光学仪器六厂</w:t>
            </w:r>
          </w:p>
        </w:tc>
        <w:tc>
          <w:tcPr>
            <w:tcW w:w="2088" w:type="dxa"/>
            <w:vAlign w:val="top"/>
          </w:tcPr>
          <w:p>
            <w:pPr>
              <w:rPr>
                <w:rFonts w:ascii="宋体" w:hAnsi="宋体" w:eastAsia="宋体" w:cs="宋体"/>
                <w:color w:val="FF0000"/>
                <w:sz w:val="24"/>
                <w:szCs w:val="24"/>
              </w:rPr>
            </w:pPr>
            <w:r>
              <w:rPr>
                <w:rFonts w:hint="eastAsia" w:ascii="宋体" w:hAnsi="宋体" w:eastAsia="宋体" w:cs="宋体"/>
                <w:color w:val="auto"/>
                <w:sz w:val="24"/>
                <w:szCs w:val="24"/>
                <w:highlight w:val="none"/>
                <w:shd w:val="clear" w:color="auto" w:fill="auto"/>
              </w:rPr>
              <w:t>显微镜（带电子镜头）</w:t>
            </w:r>
          </w:p>
        </w:tc>
        <w:tc>
          <w:tcPr>
            <w:tcW w:w="1789" w:type="dxa"/>
            <w:vAlign w:val="top"/>
          </w:tcPr>
          <w:p>
            <w:pPr>
              <w:rPr>
                <w:rFonts w:ascii="宋体" w:hAnsi="宋体" w:eastAsia="宋体" w:cs="宋体"/>
                <w:color w:val="FF0000"/>
                <w:sz w:val="24"/>
                <w:szCs w:val="24"/>
              </w:rPr>
            </w:pPr>
            <w:r>
              <w:rPr>
                <w:rFonts w:hint="eastAsia" w:ascii="宋体" w:hAnsi="宋体" w:eastAsia="宋体" w:cs="宋体"/>
                <w:color w:val="auto"/>
                <w:sz w:val="24"/>
                <w:szCs w:val="24"/>
                <w:highlight w:val="none"/>
                <w:shd w:val="clear" w:color="auto" w:fill="auto"/>
              </w:rPr>
              <w:t>XSP-2</w:t>
            </w:r>
            <w:r>
              <w:rPr>
                <w:rFonts w:hint="eastAsia" w:ascii="宋体" w:hAnsi="宋体" w:eastAsia="宋体" w:cs="宋体"/>
                <w:color w:val="auto"/>
                <w:sz w:val="24"/>
                <w:szCs w:val="24"/>
                <w:highlight w:val="none"/>
                <w:shd w:val="clear" w:color="auto" w:fill="auto"/>
                <w:lang w:val="en-US" w:eastAsia="zh-CN"/>
              </w:rPr>
              <w:t>C</w:t>
            </w:r>
            <w:r>
              <w:rPr>
                <w:rFonts w:hint="eastAsia" w:ascii="宋体" w:hAnsi="宋体" w:eastAsia="宋体" w:cs="宋体"/>
                <w:color w:val="auto"/>
                <w:sz w:val="24"/>
                <w:szCs w:val="24"/>
                <w:highlight w:val="none"/>
                <w:shd w:val="clear" w:color="auto" w:fill="auto"/>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53" w:type="dxa"/>
            <w:vAlign w:val="top"/>
          </w:tcPr>
          <w:p>
            <w:pPr>
              <w:rPr>
                <w:rFonts w:ascii="宋体" w:hAnsi="宋体" w:eastAsia="宋体" w:cs="宋体"/>
                <w:color w:val="FF0000"/>
                <w:sz w:val="24"/>
                <w:szCs w:val="24"/>
              </w:rPr>
            </w:pPr>
            <w:r>
              <w:rPr>
                <w:rFonts w:hint="eastAsia" w:ascii="宋体" w:hAnsi="宋体" w:eastAsia="宋体" w:cs="宋体"/>
                <w:color w:val="auto"/>
                <w:sz w:val="24"/>
                <w:szCs w:val="24"/>
                <w:highlight w:val="none"/>
                <w:shd w:val="clear" w:color="auto" w:fill="auto"/>
              </w:rPr>
              <w:t>紫外可见光光度计</w:t>
            </w:r>
          </w:p>
        </w:tc>
        <w:tc>
          <w:tcPr>
            <w:tcW w:w="1506" w:type="dxa"/>
            <w:vAlign w:val="top"/>
          </w:tcPr>
          <w:p>
            <w:pPr>
              <w:rPr>
                <w:rFonts w:ascii="宋体" w:hAnsi="宋体" w:eastAsia="宋体" w:cs="宋体"/>
                <w:color w:val="FF0000"/>
                <w:sz w:val="24"/>
                <w:szCs w:val="24"/>
              </w:rPr>
            </w:pPr>
            <w:r>
              <w:rPr>
                <w:rFonts w:hint="eastAsia" w:ascii="宋体" w:hAnsi="宋体" w:eastAsia="宋体" w:cs="宋体"/>
                <w:color w:val="auto"/>
                <w:sz w:val="24"/>
                <w:szCs w:val="24"/>
                <w:highlight w:val="none"/>
                <w:shd w:val="clear" w:color="auto" w:fill="auto"/>
                <w:lang w:val="en-US" w:eastAsia="zh-CN"/>
              </w:rPr>
              <w:t>752</w:t>
            </w:r>
          </w:p>
        </w:tc>
        <w:tc>
          <w:tcPr>
            <w:tcW w:w="2012" w:type="dxa"/>
            <w:vAlign w:val="top"/>
          </w:tcPr>
          <w:p>
            <w:pPr>
              <w:rPr>
                <w:rFonts w:ascii="宋体" w:hAnsi="宋体" w:eastAsia="宋体" w:cs="宋体"/>
                <w:color w:val="FF0000"/>
                <w:sz w:val="24"/>
                <w:szCs w:val="24"/>
              </w:rPr>
            </w:pPr>
            <w:r>
              <w:rPr>
                <w:rFonts w:hint="eastAsia" w:ascii="宋体" w:hAnsi="宋体" w:eastAsia="宋体" w:cs="宋体"/>
                <w:color w:val="auto"/>
                <w:sz w:val="24"/>
                <w:szCs w:val="24"/>
                <w:highlight w:val="none"/>
                <w:shd w:val="clear" w:color="auto" w:fill="auto"/>
              </w:rPr>
              <w:t>上海现科分光仪器</w:t>
            </w:r>
          </w:p>
        </w:tc>
        <w:tc>
          <w:tcPr>
            <w:tcW w:w="2088" w:type="dxa"/>
            <w:vAlign w:val="top"/>
          </w:tcPr>
          <w:p>
            <w:pPr>
              <w:rPr>
                <w:rFonts w:ascii="宋体" w:hAnsi="宋体" w:eastAsia="宋体" w:cs="宋体"/>
                <w:color w:val="FF0000"/>
                <w:sz w:val="24"/>
                <w:szCs w:val="24"/>
              </w:rPr>
            </w:pPr>
            <w:r>
              <w:rPr>
                <w:rFonts w:hint="eastAsia" w:ascii="宋体" w:hAnsi="宋体" w:eastAsia="宋体" w:cs="宋体"/>
                <w:color w:val="auto"/>
                <w:sz w:val="24"/>
                <w:szCs w:val="24"/>
                <w:highlight w:val="none"/>
                <w:shd w:val="clear" w:color="auto" w:fill="auto"/>
              </w:rPr>
              <w:t>紫外可见光光度计</w:t>
            </w:r>
          </w:p>
        </w:tc>
        <w:tc>
          <w:tcPr>
            <w:tcW w:w="1789" w:type="dxa"/>
            <w:vAlign w:val="top"/>
          </w:tcPr>
          <w:p>
            <w:pPr>
              <w:rPr>
                <w:rFonts w:ascii="宋体" w:hAnsi="宋体" w:eastAsia="宋体" w:cs="宋体"/>
                <w:color w:val="FF0000"/>
                <w:sz w:val="24"/>
                <w:szCs w:val="24"/>
              </w:rPr>
            </w:pPr>
            <w:r>
              <w:rPr>
                <w:rFonts w:hint="eastAsia" w:ascii="宋体" w:hAnsi="宋体" w:eastAsia="宋体" w:cs="宋体"/>
                <w:color w:val="auto"/>
                <w:sz w:val="24"/>
                <w:szCs w:val="24"/>
                <w:highlight w:val="none"/>
                <w:shd w:val="clear" w:color="auto" w:fill="auto"/>
                <w:lang w:val="en-US" w:eastAsia="zh-CN"/>
              </w:rPr>
              <w:t>752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53" w:type="dxa"/>
            <w:vAlign w:val="top"/>
          </w:tcPr>
          <w:p>
            <w:pPr>
              <w:rPr>
                <w:rFonts w:ascii="宋体" w:hAnsi="宋体" w:eastAsia="宋体" w:cs="宋体"/>
                <w:color w:val="FF0000"/>
                <w:sz w:val="24"/>
                <w:szCs w:val="24"/>
              </w:rPr>
            </w:pPr>
            <w:r>
              <w:rPr>
                <w:rFonts w:hint="eastAsia" w:ascii="宋体" w:hAnsi="宋体" w:eastAsia="宋体" w:cs="宋体"/>
                <w:color w:val="auto"/>
                <w:sz w:val="24"/>
                <w:szCs w:val="24"/>
                <w:highlight w:val="none"/>
                <w:shd w:val="clear" w:color="auto" w:fill="auto"/>
                <w:lang w:val="en-US" w:eastAsia="zh-CN"/>
              </w:rPr>
              <w:t>电子</w:t>
            </w:r>
            <w:r>
              <w:rPr>
                <w:rFonts w:hint="eastAsia" w:ascii="宋体" w:hAnsi="宋体" w:eastAsia="宋体" w:cs="宋体"/>
                <w:color w:val="auto"/>
                <w:sz w:val="24"/>
                <w:szCs w:val="24"/>
                <w:highlight w:val="none"/>
                <w:shd w:val="clear" w:color="auto" w:fill="auto"/>
              </w:rPr>
              <w:t>天平</w:t>
            </w:r>
            <w:r>
              <w:rPr>
                <w:rFonts w:hint="eastAsia" w:ascii="宋体" w:hAnsi="宋体" w:eastAsia="宋体" w:cs="宋体"/>
                <w:color w:val="auto"/>
                <w:sz w:val="24"/>
                <w:szCs w:val="24"/>
                <w:highlight w:val="none"/>
                <w:shd w:val="clear" w:color="auto" w:fill="auto"/>
                <w:lang w:eastAsia="zh-CN"/>
              </w:rPr>
              <w:t>（</w:t>
            </w:r>
            <w:r>
              <w:rPr>
                <w:rFonts w:hint="eastAsia" w:ascii="宋体" w:hAnsi="宋体" w:eastAsia="宋体" w:cs="宋体"/>
                <w:color w:val="auto"/>
                <w:sz w:val="24"/>
                <w:szCs w:val="24"/>
                <w:highlight w:val="none"/>
                <w:shd w:val="clear" w:color="auto" w:fill="auto"/>
                <w:lang w:val="en-US" w:eastAsia="zh-CN"/>
              </w:rPr>
              <w:t>万分之一</w:t>
            </w:r>
            <w:r>
              <w:rPr>
                <w:rFonts w:hint="eastAsia" w:ascii="宋体" w:hAnsi="宋体" w:eastAsia="宋体" w:cs="宋体"/>
                <w:color w:val="auto"/>
                <w:sz w:val="24"/>
                <w:szCs w:val="24"/>
                <w:highlight w:val="none"/>
                <w:shd w:val="clear" w:color="auto" w:fill="auto"/>
                <w:lang w:eastAsia="zh-CN"/>
              </w:rPr>
              <w:t>）</w:t>
            </w:r>
          </w:p>
        </w:tc>
        <w:tc>
          <w:tcPr>
            <w:tcW w:w="1506" w:type="dxa"/>
            <w:vAlign w:val="top"/>
          </w:tcPr>
          <w:p>
            <w:pPr>
              <w:rPr>
                <w:rFonts w:ascii="宋体" w:hAnsi="宋体" w:eastAsia="宋体" w:cs="宋体"/>
                <w:color w:val="FF0000"/>
                <w:sz w:val="24"/>
                <w:szCs w:val="24"/>
              </w:rPr>
            </w:pPr>
            <w:r>
              <w:rPr>
                <w:rFonts w:hint="eastAsia" w:ascii="宋体" w:hAnsi="宋体" w:eastAsia="宋体" w:cs="宋体"/>
                <w:color w:val="auto"/>
                <w:sz w:val="24"/>
                <w:szCs w:val="24"/>
                <w:highlight w:val="none"/>
                <w:shd w:val="clear" w:color="auto" w:fill="auto"/>
                <w:lang w:val="en-US" w:eastAsia="zh-CN"/>
              </w:rPr>
              <w:t>JY2003</w:t>
            </w:r>
          </w:p>
        </w:tc>
        <w:tc>
          <w:tcPr>
            <w:tcW w:w="2012" w:type="dxa"/>
            <w:vAlign w:val="top"/>
          </w:tcPr>
          <w:p>
            <w:pPr>
              <w:rPr>
                <w:rFonts w:ascii="宋体" w:hAnsi="宋体" w:eastAsia="宋体" w:cs="宋体"/>
                <w:color w:val="FF0000"/>
                <w:sz w:val="24"/>
                <w:szCs w:val="24"/>
              </w:rPr>
            </w:pPr>
            <w:r>
              <w:rPr>
                <w:rFonts w:hint="eastAsia" w:ascii="宋体" w:hAnsi="宋体" w:eastAsia="宋体" w:cs="宋体"/>
                <w:color w:val="auto"/>
                <w:sz w:val="24"/>
                <w:szCs w:val="24"/>
                <w:highlight w:val="none"/>
                <w:shd w:val="clear" w:color="auto" w:fill="auto"/>
              </w:rPr>
              <w:t>福州闽衡电子仪表</w:t>
            </w:r>
          </w:p>
        </w:tc>
        <w:tc>
          <w:tcPr>
            <w:tcW w:w="2088" w:type="dxa"/>
            <w:vAlign w:val="top"/>
          </w:tcPr>
          <w:p>
            <w:pPr>
              <w:rPr>
                <w:rFonts w:ascii="宋体" w:hAnsi="宋体" w:eastAsia="宋体" w:cs="宋体"/>
                <w:color w:val="FF0000"/>
                <w:sz w:val="24"/>
                <w:szCs w:val="24"/>
              </w:rPr>
            </w:pPr>
            <w:r>
              <w:rPr>
                <w:rFonts w:hint="eastAsia" w:ascii="宋体" w:hAnsi="宋体" w:eastAsia="宋体" w:cs="宋体"/>
                <w:color w:val="auto"/>
                <w:sz w:val="24"/>
                <w:szCs w:val="24"/>
                <w:highlight w:val="none"/>
                <w:shd w:val="clear" w:color="auto" w:fill="auto"/>
                <w:lang w:val="en-US" w:eastAsia="zh-CN"/>
              </w:rPr>
              <w:t>电子</w:t>
            </w:r>
            <w:r>
              <w:rPr>
                <w:rFonts w:hint="eastAsia" w:ascii="宋体" w:hAnsi="宋体" w:eastAsia="宋体" w:cs="宋体"/>
                <w:color w:val="auto"/>
                <w:sz w:val="24"/>
                <w:szCs w:val="24"/>
                <w:highlight w:val="none"/>
                <w:shd w:val="clear" w:color="auto" w:fill="auto"/>
              </w:rPr>
              <w:t>天平</w:t>
            </w:r>
          </w:p>
        </w:tc>
        <w:tc>
          <w:tcPr>
            <w:tcW w:w="1789" w:type="dxa"/>
            <w:vAlign w:val="top"/>
          </w:tcPr>
          <w:p>
            <w:pPr>
              <w:rPr>
                <w:rFonts w:ascii="宋体" w:hAnsi="宋体" w:eastAsia="宋体" w:cs="宋体"/>
                <w:color w:val="FF0000"/>
                <w:sz w:val="24"/>
                <w:szCs w:val="24"/>
              </w:rPr>
            </w:pPr>
            <w:r>
              <w:rPr>
                <w:rFonts w:hint="eastAsia" w:ascii="宋体" w:hAnsi="宋体" w:eastAsia="宋体" w:cs="宋体"/>
                <w:color w:val="auto"/>
                <w:sz w:val="24"/>
                <w:szCs w:val="24"/>
                <w:highlight w:val="none"/>
                <w:shd w:val="clear" w:color="auto" w:fill="auto"/>
                <w:lang w:val="en-US" w:eastAsia="zh-CN"/>
              </w:rPr>
              <w:t>JY2003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53" w:type="dxa"/>
            <w:vAlign w:val="top"/>
          </w:tcPr>
          <w:p>
            <w:pPr>
              <w:rPr>
                <w:rFonts w:ascii="宋体" w:hAnsi="宋体" w:eastAsia="宋体" w:cs="宋体"/>
                <w:color w:val="FF0000"/>
                <w:sz w:val="24"/>
                <w:szCs w:val="24"/>
              </w:rPr>
            </w:pPr>
            <w:r>
              <w:rPr>
                <w:rFonts w:hint="eastAsia" w:ascii="宋体" w:hAnsi="宋体" w:eastAsia="宋体" w:cs="宋体"/>
                <w:color w:val="auto"/>
                <w:sz w:val="24"/>
                <w:szCs w:val="24"/>
                <w:highlight w:val="none"/>
                <w:shd w:val="clear" w:color="auto" w:fill="auto"/>
              </w:rPr>
              <w:t>电热恒温干燥箱</w:t>
            </w:r>
          </w:p>
        </w:tc>
        <w:tc>
          <w:tcPr>
            <w:tcW w:w="1506" w:type="dxa"/>
            <w:vAlign w:val="top"/>
          </w:tcPr>
          <w:p>
            <w:pPr>
              <w:rPr>
                <w:rFonts w:ascii="宋体" w:hAnsi="宋体" w:eastAsia="宋体" w:cs="宋体"/>
                <w:color w:val="FF0000"/>
                <w:sz w:val="24"/>
                <w:szCs w:val="24"/>
              </w:rPr>
            </w:pPr>
            <w:r>
              <w:rPr>
                <w:rFonts w:hint="eastAsia" w:ascii="宋体" w:hAnsi="宋体" w:eastAsia="宋体" w:cs="宋体"/>
                <w:color w:val="auto"/>
                <w:sz w:val="24"/>
                <w:szCs w:val="24"/>
                <w:highlight w:val="none"/>
                <w:shd w:val="clear" w:color="auto" w:fill="auto"/>
              </w:rPr>
              <w:t>DHG-9202-1</w:t>
            </w:r>
          </w:p>
        </w:tc>
        <w:tc>
          <w:tcPr>
            <w:tcW w:w="2012" w:type="dxa"/>
            <w:vAlign w:val="top"/>
          </w:tcPr>
          <w:p>
            <w:pPr>
              <w:rPr>
                <w:rFonts w:ascii="宋体" w:hAnsi="宋体" w:eastAsia="宋体" w:cs="宋体"/>
                <w:color w:val="FF0000"/>
                <w:sz w:val="24"/>
                <w:szCs w:val="24"/>
              </w:rPr>
            </w:pPr>
            <w:r>
              <w:rPr>
                <w:rFonts w:hint="eastAsia" w:ascii="宋体" w:hAnsi="宋体" w:eastAsia="宋体" w:cs="宋体"/>
                <w:color w:val="auto"/>
                <w:sz w:val="24"/>
                <w:szCs w:val="24"/>
                <w:highlight w:val="none"/>
                <w:shd w:val="clear" w:color="auto" w:fill="auto"/>
              </w:rPr>
              <w:t>上海鸿都电子科技</w:t>
            </w:r>
          </w:p>
        </w:tc>
        <w:tc>
          <w:tcPr>
            <w:tcW w:w="2088" w:type="dxa"/>
            <w:vAlign w:val="top"/>
          </w:tcPr>
          <w:p>
            <w:pPr>
              <w:rPr>
                <w:rFonts w:ascii="宋体" w:hAnsi="宋体" w:eastAsia="宋体" w:cs="宋体"/>
                <w:color w:val="FF0000"/>
                <w:sz w:val="24"/>
                <w:szCs w:val="24"/>
              </w:rPr>
            </w:pPr>
            <w:r>
              <w:rPr>
                <w:rFonts w:hint="eastAsia" w:ascii="宋体" w:hAnsi="宋体" w:eastAsia="宋体" w:cs="宋体"/>
                <w:color w:val="auto"/>
                <w:sz w:val="24"/>
                <w:szCs w:val="24"/>
                <w:highlight w:val="none"/>
                <w:shd w:val="clear" w:color="auto" w:fill="auto"/>
              </w:rPr>
              <w:t>电热恒温干燥箱</w:t>
            </w:r>
          </w:p>
        </w:tc>
        <w:tc>
          <w:tcPr>
            <w:tcW w:w="1789" w:type="dxa"/>
            <w:vAlign w:val="top"/>
          </w:tcPr>
          <w:p>
            <w:pPr>
              <w:rPr>
                <w:rFonts w:ascii="宋体" w:hAnsi="宋体" w:eastAsia="宋体" w:cs="宋体"/>
                <w:color w:val="FF0000"/>
                <w:sz w:val="24"/>
                <w:szCs w:val="24"/>
              </w:rPr>
            </w:pPr>
            <w:r>
              <w:rPr>
                <w:rFonts w:hint="eastAsia" w:ascii="宋体" w:hAnsi="宋体" w:eastAsia="宋体" w:cs="宋体"/>
                <w:color w:val="auto"/>
                <w:sz w:val="24"/>
                <w:szCs w:val="24"/>
                <w:highlight w:val="none"/>
                <w:shd w:val="clear" w:color="auto" w:fill="auto"/>
              </w:rPr>
              <w:t>DHG-9202-1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53" w:type="dxa"/>
            <w:vAlign w:val="top"/>
          </w:tcPr>
          <w:p>
            <w:pPr>
              <w:rPr>
                <w:rFonts w:ascii="宋体" w:hAnsi="宋体" w:eastAsia="宋体" w:cs="宋体"/>
                <w:color w:val="FF0000"/>
                <w:sz w:val="24"/>
                <w:szCs w:val="24"/>
              </w:rPr>
            </w:pPr>
            <w:r>
              <w:rPr>
                <w:rFonts w:hint="eastAsia" w:ascii="宋体" w:hAnsi="宋体" w:eastAsia="宋体" w:cs="宋体"/>
                <w:color w:val="auto"/>
                <w:sz w:val="24"/>
                <w:szCs w:val="24"/>
                <w:highlight w:val="none"/>
                <w:shd w:val="clear" w:color="auto" w:fill="auto"/>
              </w:rPr>
              <w:t>pH计</w:t>
            </w:r>
          </w:p>
        </w:tc>
        <w:tc>
          <w:tcPr>
            <w:tcW w:w="1506" w:type="dxa"/>
            <w:vAlign w:val="top"/>
          </w:tcPr>
          <w:p>
            <w:pPr>
              <w:rPr>
                <w:rFonts w:ascii="宋体" w:hAnsi="宋体" w:eastAsia="宋体" w:cs="宋体"/>
                <w:color w:val="FF0000"/>
                <w:sz w:val="24"/>
                <w:szCs w:val="24"/>
              </w:rPr>
            </w:pPr>
            <w:r>
              <w:rPr>
                <w:rFonts w:hint="eastAsia" w:ascii="宋体" w:hAnsi="宋体" w:eastAsia="宋体" w:cs="宋体"/>
                <w:color w:val="auto"/>
                <w:sz w:val="24"/>
                <w:szCs w:val="24"/>
                <w:highlight w:val="none"/>
                <w:shd w:val="clear" w:color="auto" w:fill="auto"/>
                <w:lang w:val="en-US" w:eastAsia="zh-CN"/>
              </w:rPr>
              <w:t>PHS-3C</w:t>
            </w:r>
          </w:p>
        </w:tc>
        <w:tc>
          <w:tcPr>
            <w:tcW w:w="2012" w:type="dxa"/>
            <w:vAlign w:val="top"/>
          </w:tcPr>
          <w:p>
            <w:pPr>
              <w:rPr>
                <w:rFonts w:ascii="宋体" w:hAnsi="宋体" w:eastAsia="宋体" w:cs="宋体"/>
                <w:color w:val="FF0000"/>
                <w:sz w:val="24"/>
                <w:szCs w:val="24"/>
              </w:rPr>
            </w:pPr>
            <w:r>
              <w:rPr>
                <w:rFonts w:hint="eastAsia" w:ascii="宋体" w:hAnsi="宋体" w:eastAsia="宋体" w:cs="宋体"/>
                <w:color w:val="auto"/>
                <w:sz w:val="24"/>
                <w:szCs w:val="24"/>
                <w:highlight w:val="none"/>
                <w:shd w:val="clear" w:color="auto" w:fill="auto"/>
              </w:rPr>
              <w:t>上海</w:t>
            </w:r>
            <w:r>
              <w:rPr>
                <w:rFonts w:hint="eastAsia" w:ascii="宋体" w:hAnsi="宋体" w:eastAsia="宋体" w:cs="宋体"/>
                <w:color w:val="auto"/>
                <w:sz w:val="24"/>
                <w:szCs w:val="24"/>
                <w:highlight w:val="none"/>
                <w:shd w:val="clear" w:color="auto" w:fill="auto"/>
                <w:lang w:val="en-US" w:eastAsia="zh-CN"/>
              </w:rPr>
              <w:t>仪电科学仪器股份</w:t>
            </w:r>
          </w:p>
        </w:tc>
        <w:tc>
          <w:tcPr>
            <w:tcW w:w="2088" w:type="dxa"/>
            <w:vAlign w:val="top"/>
          </w:tcPr>
          <w:p>
            <w:pPr>
              <w:rPr>
                <w:rFonts w:ascii="宋体" w:hAnsi="宋体" w:eastAsia="宋体" w:cs="宋体"/>
                <w:color w:val="FF0000"/>
                <w:sz w:val="24"/>
                <w:szCs w:val="24"/>
              </w:rPr>
            </w:pPr>
            <w:r>
              <w:rPr>
                <w:rFonts w:hint="eastAsia" w:ascii="宋体" w:hAnsi="宋体" w:eastAsia="宋体" w:cs="宋体"/>
                <w:color w:val="auto"/>
                <w:sz w:val="24"/>
                <w:szCs w:val="24"/>
                <w:highlight w:val="none"/>
                <w:shd w:val="clear" w:color="auto" w:fill="auto"/>
              </w:rPr>
              <w:t>pH计</w:t>
            </w:r>
          </w:p>
        </w:tc>
        <w:tc>
          <w:tcPr>
            <w:tcW w:w="1789" w:type="dxa"/>
            <w:vAlign w:val="top"/>
          </w:tcPr>
          <w:p>
            <w:pPr>
              <w:rPr>
                <w:rFonts w:ascii="宋体" w:hAnsi="宋体" w:eastAsia="宋体" w:cs="宋体"/>
                <w:color w:val="FF0000"/>
                <w:sz w:val="24"/>
                <w:szCs w:val="24"/>
              </w:rPr>
            </w:pPr>
            <w:r>
              <w:rPr>
                <w:rFonts w:hint="eastAsia" w:ascii="宋体" w:hAnsi="宋体" w:eastAsia="宋体" w:cs="宋体"/>
                <w:color w:val="auto"/>
                <w:sz w:val="24"/>
                <w:szCs w:val="24"/>
                <w:highlight w:val="none"/>
                <w:shd w:val="clear" w:color="auto" w:fill="auto"/>
                <w:lang w:val="en-US" w:eastAsia="zh-CN"/>
              </w:rPr>
              <w:t>PHS-3C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53" w:type="dxa"/>
            <w:vAlign w:val="top"/>
          </w:tcPr>
          <w:p>
            <w:pPr>
              <w:rPr>
                <w:rFonts w:ascii="宋体" w:hAnsi="宋体" w:eastAsia="宋体" w:cs="宋体"/>
                <w:color w:val="FF0000"/>
                <w:sz w:val="24"/>
                <w:szCs w:val="24"/>
              </w:rPr>
            </w:pPr>
            <w:r>
              <w:rPr>
                <w:rFonts w:hint="eastAsia" w:ascii="宋体" w:hAnsi="宋体" w:eastAsia="宋体" w:cs="宋体"/>
                <w:color w:val="auto"/>
                <w:sz w:val="24"/>
                <w:szCs w:val="24"/>
                <w:highlight w:val="none"/>
                <w:shd w:val="clear" w:color="auto" w:fill="auto"/>
              </w:rPr>
              <w:t>箱式电阻炉</w:t>
            </w:r>
          </w:p>
        </w:tc>
        <w:tc>
          <w:tcPr>
            <w:tcW w:w="1506" w:type="dxa"/>
            <w:vAlign w:val="top"/>
          </w:tcPr>
          <w:p>
            <w:pPr>
              <w:rPr>
                <w:rFonts w:ascii="宋体" w:hAnsi="宋体" w:eastAsia="宋体" w:cs="宋体"/>
                <w:color w:val="FF0000"/>
                <w:sz w:val="24"/>
                <w:szCs w:val="24"/>
              </w:rPr>
            </w:pPr>
            <w:r>
              <w:rPr>
                <w:rFonts w:hint="eastAsia" w:ascii="宋体" w:hAnsi="宋体" w:eastAsia="宋体" w:cs="宋体"/>
                <w:color w:val="auto"/>
                <w:sz w:val="24"/>
                <w:szCs w:val="24"/>
                <w:highlight w:val="none"/>
                <w:shd w:val="clear" w:color="auto" w:fill="auto"/>
              </w:rPr>
              <w:t>SX24-10</w:t>
            </w:r>
          </w:p>
        </w:tc>
        <w:tc>
          <w:tcPr>
            <w:tcW w:w="2012" w:type="dxa"/>
            <w:vAlign w:val="top"/>
          </w:tcPr>
          <w:p>
            <w:pPr>
              <w:rPr>
                <w:rFonts w:ascii="宋体" w:hAnsi="宋体" w:eastAsia="宋体" w:cs="宋体"/>
                <w:color w:val="FF0000"/>
                <w:sz w:val="24"/>
                <w:szCs w:val="24"/>
              </w:rPr>
            </w:pPr>
            <w:r>
              <w:rPr>
                <w:rFonts w:hint="eastAsia" w:ascii="宋体" w:hAnsi="宋体" w:eastAsia="宋体" w:cs="宋体"/>
                <w:color w:val="auto"/>
                <w:sz w:val="24"/>
                <w:szCs w:val="24"/>
                <w:highlight w:val="none"/>
                <w:shd w:val="clear" w:color="auto" w:fill="auto"/>
              </w:rPr>
              <w:t>龙口市文太电炉</w:t>
            </w:r>
          </w:p>
        </w:tc>
        <w:tc>
          <w:tcPr>
            <w:tcW w:w="2088" w:type="dxa"/>
            <w:vAlign w:val="top"/>
          </w:tcPr>
          <w:p>
            <w:pPr>
              <w:rPr>
                <w:rFonts w:ascii="宋体" w:hAnsi="宋体" w:eastAsia="宋体" w:cs="宋体"/>
                <w:color w:val="FF0000"/>
                <w:sz w:val="24"/>
                <w:szCs w:val="24"/>
              </w:rPr>
            </w:pPr>
            <w:r>
              <w:rPr>
                <w:rFonts w:hint="eastAsia" w:ascii="宋体" w:hAnsi="宋体" w:eastAsia="宋体" w:cs="宋体"/>
                <w:color w:val="auto"/>
                <w:sz w:val="24"/>
                <w:szCs w:val="24"/>
                <w:highlight w:val="none"/>
                <w:shd w:val="clear" w:color="auto" w:fill="auto"/>
              </w:rPr>
              <w:t>箱式电阻炉</w:t>
            </w:r>
          </w:p>
        </w:tc>
        <w:tc>
          <w:tcPr>
            <w:tcW w:w="1789" w:type="dxa"/>
            <w:vAlign w:val="top"/>
          </w:tcPr>
          <w:p>
            <w:pPr>
              <w:rPr>
                <w:rFonts w:ascii="宋体" w:hAnsi="宋体" w:eastAsia="宋体" w:cs="宋体"/>
                <w:color w:val="FF0000"/>
                <w:sz w:val="24"/>
                <w:szCs w:val="24"/>
              </w:rPr>
            </w:pPr>
            <w:r>
              <w:rPr>
                <w:rFonts w:hint="eastAsia" w:ascii="宋体" w:hAnsi="宋体" w:eastAsia="宋体" w:cs="宋体"/>
                <w:color w:val="auto"/>
                <w:sz w:val="24"/>
                <w:szCs w:val="24"/>
                <w:highlight w:val="none"/>
                <w:shd w:val="clear" w:color="auto" w:fill="auto"/>
              </w:rPr>
              <w:t>SX24-10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53" w:type="dxa"/>
            <w:vAlign w:val="top"/>
          </w:tcPr>
          <w:p>
            <w:pPr>
              <w:rPr>
                <w:rFonts w:ascii="宋体" w:hAnsi="宋体" w:eastAsia="宋体" w:cs="宋体"/>
                <w:color w:val="FF0000"/>
                <w:kern w:val="0"/>
                <w:sz w:val="24"/>
                <w:szCs w:val="24"/>
              </w:rPr>
            </w:pPr>
            <w:r>
              <w:rPr>
                <w:rFonts w:hint="eastAsia" w:ascii="宋体" w:hAnsi="宋体" w:eastAsia="宋体" w:cs="宋体"/>
                <w:color w:val="auto"/>
                <w:kern w:val="0"/>
                <w:sz w:val="24"/>
                <w:szCs w:val="24"/>
                <w:highlight w:val="none"/>
                <w:shd w:val="clear" w:color="auto" w:fill="auto"/>
                <w:lang w:val="en-US" w:eastAsia="zh-CN"/>
              </w:rPr>
              <w:t>电子天平（千分之一）</w:t>
            </w:r>
          </w:p>
        </w:tc>
        <w:tc>
          <w:tcPr>
            <w:tcW w:w="1506" w:type="dxa"/>
            <w:vAlign w:val="top"/>
          </w:tcPr>
          <w:p>
            <w:pPr>
              <w:rPr>
                <w:rFonts w:ascii="宋体" w:hAnsi="宋体" w:eastAsia="宋体" w:cs="宋体"/>
                <w:color w:val="FF0000"/>
                <w:sz w:val="24"/>
                <w:szCs w:val="24"/>
              </w:rPr>
            </w:pPr>
            <w:r>
              <w:rPr>
                <w:rFonts w:hint="eastAsia" w:ascii="宋体" w:hAnsi="宋体" w:eastAsia="宋体" w:cs="宋体"/>
                <w:color w:val="auto"/>
                <w:sz w:val="24"/>
                <w:szCs w:val="24"/>
                <w:highlight w:val="none"/>
                <w:shd w:val="clear" w:color="auto" w:fill="auto"/>
                <w:lang w:val="en-US" w:eastAsia="zh-CN"/>
              </w:rPr>
              <w:t>FA2104</w:t>
            </w:r>
          </w:p>
        </w:tc>
        <w:tc>
          <w:tcPr>
            <w:tcW w:w="2012" w:type="dxa"/>
            <w:vAlign w:val="top"/>
          </w:tcPr>
          <w:p>
            <w:pPr>
              <w:rPr>
                <w:rFonts w:ascii="宋体" w:hAnsi="宋体" w:eastAsia="宋体" w:cs="宋体"/>
                <w:color w:val="FF0000"/>
                <w:sz w:val="24"/>
                <w:szCs w:val="24"/>
              </w:rPr>
            </w:pPr>
            <w:r>
              <w:rPr>
                <w:rFonts w:hint="eastAsia" w:ascii="宋体" w:hAnsi="宋体" w:eastAsia="宋体" w:cs="宋体"/>
                <w:color w:val="auto"/>
                <w:sz w:val="24"/>
                <w:szCs w:val="24"/>
                <w:highlight w:val="none"/>
                <w:shd w:val="clear" w:color="auto" w:fill="auto"/>
                <w:lang w:val="en-US" w:eastAsia="zh-CN"/>
              </w:rPr>
              <w:t>上海舜宇恒平科学仪器</w:t>
            </w:r>
          </w:p>
        </w:tc>
        <w:tc>
          <w:tcPr>
            <w:tcW w:w="2088" w:type="dxa"/>
            <w:vAlign w:val="top"/>
          </w:tcPr>
          <w:p>
            <w:pPr>
              <w:rPr>
                <w:rFonts w:ascii="宋体" w:hAnsi="宋体" w:eastAsia="宋体" w:cs="宋体"/>
                <w:color w:val="FF0000"/>
                <w:sz w:val="24"/>
                <w:szCs w:val="24"/>
              </w:rPr>
            </w:pPr>
            <w:r>
              <w:rPr>
                <w:rFonts w:hint="eastAsia" w:ascii="宋体" w:hAnsi="宋体" w:eastAsia="宋体" w:cs="宋体"/>
                <w:color w:val="auto"/>
                <w:kern w:val="0"/>
                <w:sz w:val="24"/>
                <w:szCs w:val="24"/>
                <w:highlight w:val="none"/>
                <w:shd w:val="clear" w:color="auto" w:fill="auto"/>
                <w:lang w:val="en-US" w:eastAsia="zh-CN"/>
              </w:rPr>
              <w:t>电子天平</w:t>
            </w:r>
          </w:p>
        </w:tc>
        <w:tc>
          <w:tcPr>
            <w:tcW w:w="1789" w:type="dxa"/>
            <w:vAlign w:val="top"/>
          </w:tcPr>
          <w:p>
            <w:pPr>
              <w:rPr>
                <w:rFonts w:ascii="宋体" w:hAnsi="宋体" w:eastAsia="宋体" w:cs="宋体"/>
                <w:color w:val="FF0000"/>
                <w:sz w:val="24"/>
                <w:szCs w:val="24"/>
              </w:rPr>
            </w:pPr>
            <w:r>
              <w:rPr>
                <w:rFonts w:hint="eastAsia" w:ascii="宋体" w:hAnsi="宋体" w:eastAsia="宋体" w:cs="宋体"/>
                <w:color w:val="auto"/>
                <w:sz w:val="24"/>
                <w:szCs w:val="24"/>
                <w:highlight w:val="none"/>
                <w:shd w:val="clear" w:color="auto" w:fill="auto"/>
                <w:lang w:val="en-US" w:eastAsia="zh-CN"/>
              </w:rPr>
              <w:t>FA2104</w:t>
            </w:r>
          </w:p>
        </w:tc>
      </w:tr>
    </w:tbl>
    <w:p>
      <w:pPr>
        <w:pStyle w:val="22"/>
        <w:spacing w:line="240" w:lineRule="auto"/>
        <w:ind w:firstLine="0" w:firstLineChars="0"/>
        <w:outlineLvl w:val="0"/>
        <w:rPr>
          <w:rFonts w:ascii="宋体" w:hAnsi="宋体"/>
          <w:b/>
          <w:bCs/>
          <w:sz w:val="28"/>
          <w:szCs w:val="28"/>
        </w:rPr>
      </w:pPr>
      <w:r>
        <w:rPr>
          <w:rFonts w:hint="eastAsia" w:ascii="宋体" w:hAnsi="宋体"/>
          <w:b/>
          <w:bCs/>
          <w:sz w:val="28"/>
          <w:szCs w:val="28"/>
          <w:lang w:val="en-US"/>
        </w:rPr>
        <w:t>五、</w:t>
      </w:r>
      <w:r>
        <w:rPr>
          <w:rFonts w:hint="eastAsia" w:ascii="宋体" w:hAnsi="宋体"/>
          <w:b/>
          <w:bCs/>
          <w:sz w:val="28"/>
          <w:szCs w:val="28"/>
        </w:rPr>
        <w:t>企业治理设施</w:t>
      </w:r>
    </w:p>
    <w:p>
      <w:pPr>
        <w:outlineLvl w:val="1"/>
        <w:rPr>
          <w:rFonts w:ascii="宋体" w:hAnsi="宋体" w:eastAsia="宋体" w:cs="宋体"/>
          <w:sz w:val="28"/>
          <w:szCs w:val="28"/>
          <w:lang w:val="zh-CN"/>
        </w:rPr>
      </w:pPr>
      <w:r>
        <w:rPr>
          <w:rFonts w:hint="eastAsia" w:ascii="宋体" w:hAnsi="宋体" w:eastAsia="宋体" w:cs="宋体"/>
          <w:sz w:val="28"/>
          <w:szCs w:val="28"/>
        </w:rPr>
        <w:t>1、</w:t>
      </w:r>
      <w:r>
        <w:rPr>
          <w:rFonts w:hint="eastAsia" w:ascii="宋体" w:hAnsi="宋体" w:eastAsia="宋体" w:cs="宋体"/>
          <w:sz w:val="28"/>
          <w:szCs w:val="28"/>
          <w:lang w:val="zh-CN"/>
        </w:rPr>
        <w:t>废气治理设施</w:t>
      </w:r>
    </w:p>
    <w:tbl>
      <w:tblPr>
        <w:tblStyle w:val="13"/>
        <w:tblW w:w="92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44"/>
        <w:gridCol w:w="1675"/>
        <w:gridCol w:w="1675"/>
        <w:gridCol w:w="23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44" w:type="dxa"/>
          </w:tcPr>
          <w:p>
            <w:pPr>
              <w:rPr>
                <w:rFonts w:ascii="宋体" w:hAnsi="宋体" w:eastAsia="宋体" w:cs="宋体"/>
                <w:sz w:val="24"/>
                <w:szCs w:val="24"/>
              </w:rPr>
            </w:pPr>
            <w:r>
              <w:rPr>
                <w:rFonts w:hint="eastAsia" w:ascii="宋体" w:hAnsi="宋体" w:eastAsia="宋体" w:cs="宋体"/>
                <w:sz w:val="24"/>
                <w:szCs w:val="24"/>
              </w:rPr>
              <w:t>设施名称</w:t>
            </w:r>
          </w:p>
        </w:tc>
        <w:tc>
          <w:tcPr>
            <w:tcW w:w="1675" w:type="dxa"/>
          </w:tcPr>
          <w:p>
            <w:pPr>
              <w:rPr>
                <w:rFonts w:ascii="宋体" w:hAnsi="宋体" w:eastAsia="宋体" w:cs="宋体"/>
                <w:sz w:val="24"/>
                <w:szCs w:val="24"/>
              </w:rPr>
            </w:pPr>
            <w:r>
              <w:rPr>
                <w:rFonts w:hint="eastAsia" w:ascii="宋体" w:hAnsi="宋体" w:eastAsia="宋体" w:cs="宋体"/>
                <w:sz w:val="24"/>
                <w:szCs w:val="24"/>
              </w:rPr>
              <w:t>所在排放设备</w:t>
            </w:r>
          </w:p>
        </w:tc>
        <w:tc>
          <w:tcPr>
            <w:tcW w:w="1675" w:type="dxa"/>
          </w:tcPr>
          <w:p>
            <w:pPr>
              <w:rPr>
                <w:rFonts w:ascii="宋体" w:hAnsi="宋体" w:eastAsia="宋体" w:cs="宋体"/>
                <w:sz w:val="24"/>
                <w:szCs w:val="24"/>
              </w:rPr>
            </w:pPr>
            <w:r>
              <w:rPr>
                <w:rFonts w:hint="eastAsia" w:ascii="宋体" w:hAnsi="宋体" w:eastAsia="宋体" w:cs="宋体"/>
                <w:sz w:val="24"/>
                <w:szCs w:val="24"/>
              </w:rPr>
              <w:t>设施类别</w:t>
            </w:r>
          </w:p>
        </w:tc>
        <w:tc>
          <w:tcPr>
            <w:tcW w:w="2347" w:type="dxa"/>
          </w:tcPr>
          <w:p>
            <w:pPr>
              <w:rPr>
                <w:rFonts w:ascii="宋体" w:hAnsi="宋体" w:eastAsia="宋体" w:cs="宋体"/>
                <w:sz w:val="24"/>
                <w:szCs w:val="24"/>
              </w:rPr>
            </w:pPr>
            <w:r>
              <w:rPr>
                <w:rFonts w:hint="eastAsia" w:ascii="宋体" w:hAnsi="宋体" w:eastAsia="宋体" w:cs="宋体"/>
                <w:sz w:val="24"/>
                <w:szCs w:val="24"/>
              </w:rPr>
              <w:t>处理工艺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44" w:type="dxa"/>
            <w:vAlign w:val="top"/>
          </w:tcPr>
          <w:p>
            <w:pPr>
              <w:rPr>
                <w:rFonts w:ascii="宋体" w:hAnsi="宋体" w:eastAsia="宋体" w:cs="宋体"/>
                <w:color w:val="FF0000"/>
                <w:sz w:val="24"/>
                <w:szCs w:val="24"/>
              </w:rPr>
            </w:pPr>
            <w:r>
              <w:rPr>
                <w:rFonts w:hint="eastAsia" w:ascii="宋体" w:hAnsi="宋体" w:eastAsia="宋体" w:cs="宋体"/>
                <w:color w:val="auto"/>
                <w:sz w:val="24"/>
                <w:szCs w:val="24"/>
                <w:highlight w:val="none"/>
                <w:shd w:val="clear" w:color="auto" w:fill="auto"/>
                <w:lang w:val="en-US" w:eastAsia="zh-CN"/>
              </w:rPr>
              <w:t>厂区除臭系统</w:t>
            </w:r>
          </w:p>
        </w:tc>
        <w:tc>
          <w:tcPr>
            <w:tcW w:w="1675" w:type="dxa"/>
            <w:vAlign w:val="top"/>
          </w:tcPr>
          <w:p>
            <w:pPr>
              <w:rPr>
                <w:rFonts w:ascii="宋体" w:hAnsi="宋体" w:eastAsia="宋体" w:cs="宋体"/>
                <w:color w:val="FF0000"/>
                <w:sz w:val="24"/>
                <w:szCs w:val="24"/>
              </w:rPr>
            </w:pPr>
            <w:r>
              <w:rPr>
                <w:rFonts w:hint="eastAsia" w:ascii="宋体" w:hAnsi="宋体" w:eastAsia="宋体" w:cs="宋体"/>
                <w:color w:val="auto"/>
                <w:sz w:val="24"/>
                <w:szCs w:val="24"/>
                <w:highlight w:val="none"/>
                <w:shd w:val="clear" w:color="auto" w:fill="auto"/>
                <w:lang w:val="en-US" w:eastAsia="zh-CN"/>
              </w:rPr>
              <w:t>厂区除臭系统</w:t>
            </w:r>
          </w:p>
        </w:tc>
        <w:tc>
          <w:tcPr>
            <w:tcW w:w="1675" w:type="dxa"/>
            <w:vAlign w:val="top"/>
          </w:tcPr>
          <w:p>
            <w:pPr>
              <w:rPr>
                <w:rFonts w:ascii="宋体" w:hAnsi="宋体" w:eastAsia="宋体" w:cs="宋体"/>
                <w:color w:val="FF0000"/>
                <w:sz w:val="24"/>
                <w:szCs w:val="24"/>
              </w:rPr>
            </w:pPr>
          </w:p>
        </w:tc>
        <w:tc>
          <w:tcPr>
            <w:tcW w:w="2347" w:type="dxa"/>
            <w:vAlign w:val="top"/>
          </w:tcPr>
          <w:p>
            <w:pPr>
              <w:rPr>
                <w:rFonts w:ascii="宋体" w:hAnsi="宋体" w:eastAsia="宋体" w:cs="宋体"/>
                <w:color w:val="FF0000"/>
                <w:sz w:val="24"/>
                <w:szCs w:val="24"/>
              </w:rPr>
            </w:pPr>
            <w:r>
              <w:rPr>
                <w:rFonts w:hint="eastAsia" w:ascii="宋体" w:hAnsi="宋体" w:eastAsia="宋体" w:cs="宋体"/>
                <w:color w:val="auto"/>
                <w:sz w:val="24"/>
                <w:szCs w:val="24"/>
                <w:highlight w:val="none"/>
                <w:shd w:val="clear" w:color="auto" w:fill="auto"/>
                <w:lang w:val="en-US" w:eastAsia="zh-CN"/>
              </w:rPr>
              <w:t>生物滤池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44" w:type="dxa"/>
          </w:tcPr>
          <w:p>
            <w:pPr>
              <w:rPr>
                <w:rFonts w:ascii="宋体" w:hAnsi="宋体" w:eastAsia="宋体" w:cs="宋体"/>
                <w:color w:val="FF0000"/>
                <w:sz w:val="24"/>
                <w:szCs w:val="24"/>
              </w:rPr>
            </w:pPr>
          </w:p>
        </w:tc>
        <w:tc>
          <w:tcPr>
            <w:tcW w:w="1675" w:type="dxa"/>
          </w:tcPr>
          <w:p>
            <w:pPr>
              <w:rPr>
                <w:rFonts w:ascii="宋体" w:hAnsi="宋体" w:eastAsia="宋体" w:cs="宋体"/>
                <w:color w:val="FF0000"/>
                <w:sz w:val="24"/>
                <w:szCs w:val="24"/>
              </w:rPr>
            </w:pPr>
          </w:p>
        </w:tc>
        <w:tc>
          <w:tcPr>
            <w:tcW w:w="1675" w:type="dxa"/>
          </w:tcPr>
          <w:p>
            <w:pPr>
              <w:rPr>
                <w:rFonts w:ascii="宋体" w:hAnsi="宋体" w:eastAsia="宋体" w:cs="宋体"/>
                <w:color w:val="FF0000"/>
                <w:sz w:val="24"/>
                <w:szCs w:val="24"/>
              </w:rPr>
            </w:pPr>
          </w:p>
        </w:tc>
        <w:tc>
          <w:tcPr>
            <w:tcW w:w="2347" w:type="dxa"/>
          </w:tcPr>
          <w:p>
            <w:pPr>
              <w:rPr>
                <w:rFonts w:ascii="宋体" w:hAnsi="宋体" w:eastAsia="宋体" w:cs="宋体"/>
                <w:color w:val="FF0000"/>
                <w:sz w:val="24"/>
                <w:szCs w:val="24"/>
              </w:rPr>
            </w:pPr>
          </w:p>
        </w:tc>
      </w:tr>
    </w:tbl>
    <w:p>
      <w:pPr>
        <w:pStyle w:val="9"/>
        <w:spacing w:line="240" w:lineRule="auto"/>
        <w:jc w:val="both"/>
        <w:rPr>
          <w:rFonts w:ascii="宋体" w:hAnsi="宋体" w:eastAsia="宋体" w:cs="宋体"/>
          <w:b w:val="0"/>
          <w:bCs w:val="0"/>
          <w:sz w:val="28"/>
          <w:szCs w:val="28"/>
        </w:rPr>
      </w:pPr>
      <w:r>
        <w:rPr>
          <w:rFonts w:hint="eastAsia" w:ascii="宋体" w:hAnsi="宋体" w:eastAsia="宋体" w:cs="宋体"/>
          <w:b w:val="0"/>
          <w:bCs w:val="0"/>
          <w:sz w:val="28"/>
          <w:szCs w:val="28"/>
        </w:rPr>
        <w:t>2、废水治理设施</w:t>
      </w:r>
    </w:p>
    <w:tbl>
      <w:tblPr>
        <w:tblStyle w:val="13"/>
        <w:tblW w:w="9252" w:type="dxa"/>
        <w:tblInd w:w="-37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71"/>
        <w:gridCol w:w="2020"/>
        <w:gridCol w:w="1875"/>
        <w:gridCol w:w="32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1" w:type="dxa"/>
            <w:vAlign w:val="center"/>
          </w:tcPr>
          <w:p>
            <w:pPr>
              <w:jc w:val="center"/>
              <w:rPr>
                <w:rFonts w:ascii="宋体" w:hAnsi="宋体" w:eastAsia="宋体" w:cs="宋体"/>
                <w:sz w:val="24"/>
                <w:szCs w:val="24"/>
              </w:rPr>
            </w:pPr>
            <w:r>
              <w:rPr>
                <w:rFonts w:hint="eastAsia" w:ascii="宋体" w:hAnsi="宋体" w:eastAsia="宋体" w:cs="宋体"/>
                <w:sz w:val="24"/>
                <w:szCs w:val="24"/>
              </w:rPr>
              <w:t>设施名称</w:t>
            </w:r>
          </w:p>
        </w:tc>
        <w:tc>
          <w:tcPr>
            <w:tcW w:w="2020" w:type="dxa"/>
            <w:vAlign w:val="center"/>
          </w:tcPr>
          <w:p>
            <w:pPr>
              <w:jc w:val="center"/>
              <w:rPr>
                <w:rFonts w:ascii="宋体" w:hAnsi="宋体" w:eastAsia="宋体" w:cs="宋体"/>
                <w:sz w:val="24"/>
                <w:szCs w:val="24"/>
              </w:rPr>
            </w:pPr>
            <w:r>
              <w:rPr>
                <w:rFonts w:hint="eastAsia" w:ascii="宋体" w:hAnsi="宋体" w:eastAsia="宋体" w:cs="宋体"/>
                <w:sz w:val="24"/>
                <w:szCs w:val="24"/>
              </w:rPr>
              <w:t>处理方法</w:t>
            </w:r>
          </w:p>
        </w:tc>
        <w:tc>
          <w:tcPr>
            <w:tcW w:w="1875" w:type="dxa"/>
            <w:vAlign w:val="center"/>
          </w:tcPr>
          <w:p>
            <w:pPr>
              <w:jc w:val="center"/>
              <w:rPr>
                <w:rFonts w:ascii="宋体" w:hAnsi="宋体" w:eastAsia="宋体" w:cs="宋体"/>
                <w:sz w:val="24"/>
                <w:szCs w:val="24"/>
              </w:rPr>
            </w:pPr>
            <w:r>
              <w:rPr>
                <w:rFonts w:hint="eastAsia" w:ascii="宋体" w:hAnsi="宋体" w:eastAsia="宋体" w:cs="宋体"/>
                <w:sz w:val="24"/>
                <w:szCs w:val="24"/>
              </w:rPr>
              <w:t>处理能力</w:t>
            </w:r>
          </w:p>
        </w:tc>
        <w:tc>
          <w:tcPr>
            <w:tcW w:w="3286" w:type="dxa"/>
            <w:vAlign w:val="center"/>
          </w:tcPr>
          <w:p>
            <w:pPr>
              <w:jc w:val="center"/>
              <w:rPr>
                <w:rFonts w:ascii="宋体" w:hAnsi="宋体" w:eastAsia="宋体" w:cs="宋体"/>
                <w:sz w:val="24"/>
                <w:szCs w:val="24"/>
              </w:rPr>
            </w:pPr>
            <w:r>
              <w:rPr>
                <w:rFonts w:hint="eastAsia" w:ascii="宋体" w:hAnsi="宋体" w:eastAsia="宋体" w:cs="宋体"/>
                <w:sz w:val="24"/>
                <w:szCs w:val="24"/>
              </w:rPr>
              <w:t>处理工艺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1" w:type="dxa"/>
            <w:vAlign w:val="center"/>
          </w:tcPr>
          <w:p>
            <w:pPr>
              <w:jc w:val="center"/>
              <w:rPr>
                <w:rFonts w:ascii="宋体" w:hAnsi="宋体" w:eastAsia="宋体" w:cs="宋体"/>
                <w:color w:val="FF0000"/>
                <w:sz w:val="24"/>
                <w:szCs w:val="24"/>
              </w:rPr>
            </w:pPr>
            <w:r>
              <w:rPr>
                <w:rFonts w:hint="eastAsia" w:ascii="宋体" w:hAnsi="宋体" w:eastAsia="宋体" w:cs="宋体"/>
                <w:color w:val="auto"/>
                <w:sz w:val="24"/>
                <w:szCs w:val="24"/>
                <w:highlight w:val="none"/>
                <w:shd w:val="clear" w:color="auto" w:fill="auto"/>
              </w:rPr>
              <w:t>粗格栅、提升泵房、细格栅、沉砂池、氧化沟、二沉池、配水排泥井、污泥浓缩脱水及高温发酵车间、配电房、综合加药间、二次提升泵房、高效沉淀池、连续砂滤池、接触消毒池</w:t>
            </w:r>
            <w:r>
              <w:rPr>
                <w:rFonts w:hint="eastAsia" w:ascii="宋体" w:hAnsi="宋体" w:eastAsia="宋体" w:cs="宋体"/>
                <w:color w:val="auto"/>
                <w:sz w:val="24"/>
                <w:szCs w:val="24"/>
                <w:highlight w:val="none"/>
                <w:shd w:val="clear" w:color="auto" w:fill="auto"/>
                <w:lang w:eastAsia="zh-CN"/>
              </w:rPr>
              <w:t>、</w:t>
            </w:r>
            <w:r>
              <w:rPr>
                <w:rFonts w:hint="eastAsia" w:ascii="宋体" w:hAnsi="宋体" w:eastAsia="宋体" w:cs="宋体"/>
                <w:color w:val="auto"/>
                <w:sz w:val="24"/>
                <w:szCs w:val="24"/>
                <w:highlight w:val="none"/>
                <w:shd w:val="clear" w:color="auto" w:fill="auto"/>
                <w:lang w:val="en-US" w:eastAsia="zh-CN"/>
              </w:rPr>
              <w:t>板框压滤</w:t>
            </w:r>
            <w:r>
              <w:rPr>
                <w:rFonts w:hint="eastAsia" w:ascii="宋体" w:hAnsi="宋体" w:eastAsia="宋体" w:cs="宋体"/>
                <w:color w:val="auto"/>
                <w:sz w:val="24"/>
                <w:szCs w:val="24"/>
                <w:highlight w:val="none"/>
                <w:shd w:val="clear" w:color="auto" w:fill="auto"/>
              </w:rPr>
              <w:t>等</w:t>
            </w:r>
            <w:r>
              <w:rPr>
                <w:rFonts w:hint="eastAsia" w:ascii="宋体" w:hAnsi="宋体" w:eastAsia="宋体" w:cs="宋体"/>
                <w:color w:val="auto"/>
                <w:sz w:val="24"/>
                <w:szCs w:val="24"/>
                <w:highlight w:val="none"/>
                <w:shd w:val="clear" w:color="auto" w:fill="auto"/>
                <w:lang w:eastAsia="zh-CN"/>
              </w:rPr>
              <w:t>设备设施</w:t>
            </w:r>
          </w:p>
        </w:tc>
        <w:tc>
          <w:tcPr>
            <w:tcW w:w="2020" w:type="dxa"/>
            <w:vAlign w:val="center"/>
          </w:tcPr>
          <w:p>
            <w:pPr>
              <w:jc w:val="both"/>
              <w:rPr>
                <w:rFonts w:ascii="宋体" w:hAnsi="宋体" w:eastAsia="宋体" w:cs="宋体"/>
                <w:color w:val="FF0000"/>
                <w:sz w:val="24"/>
                <w:szCs w:val="24"/>
              </w:rPr>
            </w:pPr>
            <w:r>
              <w:rPr>
                <w:rFonts w:hint="eastAsia" w:ascii="宋体" w:hAnsi="宋体" w:eastAsia="宋体" w:cs="宋体"/>
                <w:color w:val="auto"/>
                <w:sz w:val="24"/>
                <w:szCs w:val="24"/>
                <w:highlight w:val="none"/>
                <w:shd w:val="clear" w:color="auto" w:fill="auto"/>
                <w:lang w:val="en-US" w:eastAsia="zh-CN"/>
              </w:rPr>
              <w:t>物理处理法+活性污泥法+化学处理法</w:t>
            </w:r>
          </w:p>
        </w:tc>
        <w:tc>
          <w:tcPr>
            <w:tcW w:w="1875" w:type="dxa"/>
            <w:vAlign w:val="center"/>
          </w:tcPr>
          <w:p>
            <w:pPr>
              <w:jc w:val="center"/>
              <w:rPr>
                <w:rFonts w:ascii="宋体" w:hAnsi="宋体" w:eastAsia="宋体" w:cs="宋体"/>
                <w:color w:val="FF0000"/>
                <w:sz w:val="24"/>
                <w:szCs w:val="24"/>
              </w:rPr>
            </w:pPr>
            <w:r>
              <w:rPr>
                <w:rFonts w:hint="eastAsia" w:ascii="宋体" w:hAnsi="宋体" w:eastAsia="宋体" w:cs="宋体"/>
                <w:color w:val="auto"/>
                <w:sz w:val="24"/>
                <w:szCs w:val="24"/>
                <w:highlight w:val="none"/>
                <w:shd w:val="clear" w:color="auto" w:fill="auto"/>
                <w:lang w:val="en-US" w:eastAsia="zh-CN"/>
              </w:rPr>
              <w:t>2万吨</w:t>
            </w:r>
          </w:p>
        </w:tc>
        <w:tc>
          <w:tcPr>
            <w:tcW w:w="3286" w:type="dxa"/>
            <w:vAlign w:val="center"/>
          </w:tcPr>
          <w:p>
            <w:pPr>
              <w:jc w:val="center"/>
              <w:rPr>
                <w:rFonts w:ascii="宋体" w:hAnsi="宋体" w:eastAsia="宋体" w:cs="宋体"/>
                <w:color w:val="FF0000"/>
                <w:sz w:val="24"/>
                <w:szCs w:val="24"/>
              </w:rPr>
            </w:pPr>
            <w:r>
              <w:rPr>
                <w:rFonts w:hint="eastAsia" w:ascii="宋体" w:hAnsi="宋体" w:eastAsia="宋体" w:cs="宋体"/>
                <w:color w:val="auto"/>
                <w:sz w:val="24"/>
                <w:szCs w:val="24"/>
                <w:highlight w:val="none"/>
                <w:shd w:val="clear" w:color="auto" w:fill="auto"/>
                <w:lang w:eastAsia="zh-CN"/>
              </w:rPr>
              <w:t>污水处理工艺为“沉砂池+改良型氧化沟工艺+二沉池+</w:t>
            </w:r>
            <w:r>
              <w:rPr>
                <w:rFonts w:hint="eastAsia" w:ascii="宋体" w:hAnsi="宋体" w:eastAsia="宋体" w:cs="宋体"/>
                <w:color w:val="auto"/>
                <w:sz w:val="24"/>
                <w:szCs w:val="24"/>
                <w:highlight w:val="none"/>
                <w:shd w:val="clear" w:color="auto" w:fill="auto"/>
              </w:rPr>
              <w:t>高效沉淀＋连续砂滤＋</w:t>
            </w:r>
            <w:r>
              <w:rPr>
                <w:rFonts w:hint="eastAsia" w:ascii="宋体" w:hAnsi="宋体" w:eastAsia="宋体" w:cs="宋体"/>
                <w:color w:val="auto"/>
                <w:sz w:val="24"/>
                <w:szCs w:val="24"/>
                <w:highlight w:val="none"/>
                <w:shd w:val="clear" w:color="auto" w:fill="auto"/>
                <w:lang w:val="en-US" w:eastAsia="zh-CN"/>
              </w:rPr>
              <w:t>接触</w:t>
            </w:r>
            <w:r>
              <w:rPr>
                <w:rFonts w:hint="eastAsia" w:ascii="宋体" w:hAnsi="宋体" w:eastAsia="宋体" w:cs="宋体"/>
                <w:color w:val="auto"/>
                <w:sz w:val="24"/>
                <w:szCs w:val="24"/>
                <w:highlight w:val="none"/>
                <w:shd w:val="clear" w:color="auto" w:fill="auto"/>
              </w:rPr>
              <w:t>消毒工艺</w:t>
            </w:r>
            <w:r>
              <w:rPr>
                <w:rFonts w:hint="eastAsia" w:ascii="宋体" w:hAnsi="宋体" w:eastAsia="宋体" w:cs="宋体"/>
                <w:color w:val="auto"/>
                <w:sz w:val="24"/>
                <w:szCs w:val="24"/>
                <w:highlight w:val="none"/>
                <w:shd w:val="clear" w:color="auto" w:fill="auto"/>
                <w:lang w:eastAsia="zh-CN"/>
              </w:rPr>
              <w:t>”</w:t>
            </w:r>
          </w:p>
        </w:tc>
      </w:tr>
    </w:tbl>
    <w:p>
      <w:pPr>
        <w:ind w:firstLine="560" w:firstLineChars="200"/>
        <w:jc w:val="center"/>
        <w:outlineLvl w:val="1"/>
        <w:rPr>
          <w:rFonts w:ascii="宋体" w:hAnsi="宋体" w:eastAsia="宋体" w:cs="宋体"/>
          <w:sz w:val="28"/>
          <w:szCs w:val="28"/>
          <w:highlight w:val="yellow"/>
          <w:lang w:val="zh-CN"/>
        </w:rPr>
      </w:pPr>
    </w:p>
    <w:p>
      <w:pPr>
        <w:pStyle w:val="22"/>
        <w:spacing w:line="240" w:lineRule="auto"/>
        <w:ind w:left="-420" w:leftChars="-200" w:firstLine="560"/>
        <w:outlineLvl w:val="1"/>
        <w:rPr>
          <w:rFonts w:ascii="宋体" w:hAnsi="宋体"/>
          <w:sz w:val="28"/>
          <w:szCs w:val="28"/>
          <w:highlight w:val="none"/>
          <w:lang w:val="en-US"/>
        </w:rPr>
      </w:pPr>
      <w:r>
        <w:rPr>
          <w:rFonts w:hint="eastAsia" w:ascii="宋体" w:hAnsi="宋体"/>
          <w:sz w:val="28"/>
          <w:szCs w:val="28"/>
          <w:highlight w:val="none"/>
          <w:lang w:val="en-US"/>
        </w:rPr>
        <w:t>六、样品采集和保存</w:t>
      </w:r>
    </w:p>
    <w:p>
      <w:pPr>
        <w:pStyle w:val="22"/>
        <w:spacing w:line="240" w:lineRule="auto"/>
        <w:ind w:left="-420" w:leftChars="-200" w:firstLine="560"/>
        <w:outlineLvl w:val="1"/>
        <w:rPr>
          <w:rFonts w:ascii="宋体" w:hAnsi="宋体"/>
          <w:sz w:val="28"/>
          <w:szCs w:val="28"/>
          <w:highlight w:val="none"/>
          <w:lang w:val="en-US"/>
        </w:rPr>
      </w:pPr>
      <w:r>
        <w:rPr>
          <w:rFonts w:hint="eastAsia" w:ascii="宋体" w:hAnsi="宋体"/>
          <w:sz w:val="28"/>
          <w:szCs w:val="28"/>
          <w:highlight w:val="none"/>
          <w:lang w:val="en-US"/>
        </w:rPr>
        <w:t>1、样品的采样按照《污水监测技术规范》HJ91.1-2019执行。</w:t>
      </w:r>
    </w:p>
    <w:p>
      <w:pPr>
        <w:pStyle w:val="22"/>
        <w:spacing w:line="240" w:lineRule="auto"/>
        <w:ind w:left="-420" w:leftChars="-200" w:firstLine="560"/>
        <w:outlineLvl w:val="1"/>
        <w:rPr>
          <w:rFonts w:ascii="宋体" w:hAnsi="宋体"/>
          <w:sz w:val="28"/>
          <w:szCs w:val="28"/>
          <w:highlight w:val="none"/>
          <w:lang w:val="en-US"/>
        </w:rPr>
      </w:pPr>
      <w:r>
        <w:rPr>
          <w:rFonts w:hint="eastAsia" w:ascii="宋体" w:hAnsi="宋体"/>
          <w:sz w:val="28"/>
          <w:szCs w:val="28"/>
          <w:highlight w:val="none"/>
          <w:lang w:val="en-US"/>
        </w:rPr>
        <w:t>1.1采样时应保证采样点的位置准确。</w:t>
      </w:r>
    </w:p>
    <w:p>
      <w:pPr>
        <w:pStyle w:val="22"/>
        <w:spacing w:line="240" w:lineRule="auto"/>
        <w:ind w:left="-420" w:leftChars="-200" w:firstLine="560"/>
        <w:outlineLvl w:val="1"/>
        <w:rPr>
          <w:rFonts w:ascii="宋体" w:hAnsi="宋体"/>
          <w:sz w:val="28"/>
          <w:szCs w:val="28"/>
          <w:highlight w:val="none"/>
          <w:lang w:val="en-US"/>
        </w:rPr>
      </w:pPr>
      <w:r>
        <w:rPr>
          <w:rFonts w:hint="eastAsia" w:ascii="宋体" w:hAnsi="宋体"/>
          <w:sz w:val="28"/>
          <w:szCs w:val="28"/>
          <w:highlight w:val="none"/>
          <w:lang w:val="en-US"/>
        </w:rPr>
        <w:t>1.2认真填写采样记录表，字迹应端正清晰，保证采样按时、准确、安全。</w:t>
      </w:r>
    </w:p>
    <w:p>
      <w:pPr>
        <w:pStyle w:val="22"/>
        <w:spacing w:line="240" w:lineRule="auto"/>
        <w:ind w:left="-420" w:leftChars="-200" w:firstLine="560"/>
        <w:outlineLvl w:val="1"/>
        <w:rPr>
          <w:rFonts w:ascii="宋体" w:hAnsi="宋体"/>
          <w:sz w:val="28"/>
          <w:szCs w:val="28"/>
          <w:highlight w:val="none"/>
          <w:lang w:val="en-US"/>
        </w:rPr>
      </w:pPr>
      <w:r>
        <w:rPr>
          <w:rFonts w:hint="eastAsia" w:ascii="宋体" w:hAnsi="宋体"/>
          <w:sz w:val="28"/>
          <w:szCs w:val="28"/>
          <w:highlight w:val="none"/>
          <w:lang w:val="en-US"/>
        </w:rPr>
        <w:t>1.3测定油类的水样，应在水面至水面下300 毫米采集柱状水样，并单独采样，全部用于测定。采样瓶不能用采集的水样冲洗。</w:t>
      </w:r>
    </w:p>
    <w:p>
      <w:pPr>
        <w:pStyle w:val="22"/>
        <w:spacing w:line="240" w:lineRule="auto"/>
        <w:ind w:left="-420" w:leftChars="-200" w:firstLine="560"/>
        <w:outlineLvl w:val="1"/>
        <w:rPr>
          <w:rFonts w:ascii="宋体" w:hAnsi="宋体"/>
          <w:sz w:val="28"/>
          <w:szCs w:val="28"/>
          <w:highlight w:val="none"/>
          <w:lang w:val="en-US"/>
        </w:rPr>
      </w:pPr>
      <w:r>
        <w:rPr>
          <w:rFonts w:hint="eastAsia" w:ascii="宋体" w:hAnsi="宋体"/>
          <w:sz w:val="28"/>
          <w:szCs w:val="28"/>
          <w:highlight w:val="none"/>
          <w:lang w:val="en-US"/>
        </w:rPr>
        <w:t>1.4测溶解氧、五日生化需氧量和有机污染物等项目时的水样，必须注满容器，不留空间，并用蒸馏水封口。</w:t>
      </w:r>
    </w:p>
    <w:p>
      <w:pPr>
        <w:pStyle w:val="22"/>
        <w:spacing w:line="240" w:lineRule="auto"/>
        <w:ind w:left="-420" w:leftChars="-200" w:firstLine="560"/>
        <w:outlineLvl w:val="1"/>
        <w:rPr>
          <w:rFonts w:hint="eastAsia" w:ascii="宋体" w:hAnsi="宋体"/>
          <w:sz w:val="28"/>
          <w:szCs w:val="28"/>
          <w:highlight w:val="none"/>
          <w:lang w:val="en-US"/>
        </w:rPr>
      </w:pPr>
      <w:r>
        <w:rPr>
          <w:rFonts w:hint="eastAsia" w:ascii="宋体" w:hAnsi="宋体"/>
          <w:sz w:val="28"/>
          <w:szCs w:val="28"/>
          <w:highlight w:val="none"/>
          <w:lang w:val="en-US"/>
        </w:rPr>
        <w:t>1.5测定</w:t>
      </w:r>
      <w:r>
        <w:rPr>
          <w:rFonts w:hint="eastAsia" w:ascii="宋体" w:hAnsi="宋体"/>
          <w:sz w:val="28"/>
          <w:szCs w:val="28"/>
          <w:highlight w:val="none"/>
          <w:lang w:val="en-US" w:eastAsia="zh-CN"/>
        </w:rPr>
        <w:t>水温、pH值、色度、</w:t>
      </w:r>
      <w:r>
        <w:rPr>
          <w:rFonts w:hint="eastAsia" w:ascii="宋体" w:hAnsi="宋体"/>
          <w:sz w:val="28"/>
          <w:szCs w:val="28"/>
          <w:highlight w:val="none"/>
          <w:lang w:val="en-US"/>
        </w:rPr>
        <w:t>油类、五日生化需氧量、溶解氧、硫化物、余氯、粪大肠菌群、悬浮物、放射性等项目要单独采样。</w:t>
      </w:r>
    </w:p>
    <w:p>
      <w:pPr>
        <w:pStyle w:val="22"/>
        <w:spacing w:line="240" w:lineRule="auto"/>
        <w:ind w:left="-420" w:leftChars="-200" w:firstLine="560"/>
        <w:outlineLvl w:val="1"/>
        <w:rPr>
          <w:rFonts w:ascii="宋体" w:hAnsi="宋体"/>
          <w:sz w:val="28"/>
          <w:szCs w:val="28"/>
          <w:highlight w:val="none"/>
          <w:lang w:val="en-US"/>
        </w:rPr>
      </w:pPr>
      <w:r>
        <w:rPr>
          <w:rFonts w:hint="eastAsia" w:ascii="宋体" w:hAnsi="宋体"/>
          <w:sz w:val="28"/>
          <w:szCs w:val="28"/>
          <w:highlight w:val="none"/>
          <w:lang w:val="en-US"/>
        </w:rPr>
        <w:t>1.6在采样期间必须避免样品受到污染。应该考虑到所有可能的污染来源，必须采取适当的控制措施以避免污染。</w:t>
      </w:r>
    </w:p>
    <w:p>
      <w:pPr>
        <w:pStyle w:val="22"/>
        <w:spacing w:line="240" w:lineRule="auto"/>
        <w:ind w:left="-420" w:leftChars="-200" w:firstLine="560"/>
        <w:outlineLvl w:val="1"/>
        <w:rPr>
          <w:rFonts w:ascii="宋体" w:hAnsi="宋体"/>
          <w:sz w:val="28"/>
          <w:szCs w:val="28"/>
          <w:highlight w:val="none"/>
          <w:lang w:val="en-US"/>
        </w:rPr>
      </w:pPr>
      <w:r>
        <w:rPr>
          <w:rFonts w:hint="eastAsia" w:ascii="宋体" w:hAnsi="宋体"/>
          <w:sz w:val="28"/>
          <w:szCs w:val="28"/>
          <w:highlight w:val="none"/>
          <w:lang w:val="en-US"/>
        </w:rPr>
        <w:t>2、样品的保存按照HJ91.1-2019执行。</w:t>
      </w:r>
    </w:p>
    <w:p>
      <w:pPr>
        <w:pStyle w:val="22"/>
        <w:spacing w:line="240" w:lineRule="auto"/>
        <w:ind w:left="-420" w:leftChars="-200" w:firstLine="560"/>
        <w:outlineLvl w:val="1"/>
        <w:rPr>
          <w:rFonts w:ascii="宋体" w:hAnsi="宋体"/>
          <w:sz w:val="28"/>
          <w:szCs w:val="28"/>
          <w:highlight w:val="none"/>
          <w:lang w:val="en-US"/>
        </w:rPr>
      </w:pPr>
      <w:r>
        <w:rPr>
          <w:rFonts w:hint="eastAsia" w:ascii="宋体" w:hAnsi="宋体"/>
          <w:sz w:val="28"/>
          <w:szCs w:val="28"/>
          <w:highlight w:val="none"/>
          <w:lang w:val="en-US"/>
        </w:rPr>
        <w:t>2.1各种水质的水样，从采集到分析这段时间内，由于物理的、化学的、生物的作用会发生不同程度的变化，这些变化使得进行分析时的样品已不再是采样时的样品，为了使这种变化降低到最小的程度，必须在采样时对样品加以保护。</w:t>
      </w:r>
    </w:p>
    <w:p>
      <w:pPr>
        <w:pStyle w:val="22"/>
        <w:spacing w:line="240" w:lineRule="auto"/>
        <w:ind w:left="-420" w:leftChars="-200" w:firstLine="560"/>
        <w:outlineLvl w:val="1"/>
        <w:rPr>
          <w:rFonts w:ascii="宋体" w:hAnsi="宋体"/>
          <w:sz w:val="28"/>
          <w:szCs w:val="28"/>
          <w:highlight w:val="none"/>
          <w:lang w:val="en-US"/>
        </w:rPr>
      </w:pPr>
      <w:r>
        <w:rPr>
          <w:rFonts w:hint="eastAsia" w:ascii="宋体" w:hAnsi="宋体"/>
          <w:sz w:val="28"/>
          <w:szCs w:val="28"/>
          <w:highlight w:val="none"/>
          <w:lang w:val="en-US"/>
        </w:rPr>
        <w:t>2.2最大限度地防止容器及瓶塞对样品的污染。</w:t>
      </w:r>
    </w:p>
    <w:p>
      <w:pPr>
        <w:pStyle w:val="22"/>
        <w:spacing w:line="240" w:lineRule="auto"/>
        <w:ind w:left="-420" w:leftChars="-200" w:firstLine="560"/>
        <w:outlineLvl w:val="1"/>
        <w:rPr>
          <w:rFonts w:ascii="宋体" w:hAnsi="宋体"/>
          <w:sz w:val="28"/>
          <w:szCs w:val="28"/>
          <w:highlight w:val="none"/>
          <w:lang w:val="en-US"/>
        </w:rPr>
      </w:pPr>
      <w:r>
        <w:rPr>
          <w:rFonts w:hint="eastAsia" w:ascii="宋体" w:hAnsi="宋体"/>
          <w:sz w:val="28"/>
          <w:szCs w:val="28"/>
          <w:highlight w:val="none"/>
          <w:lang w:val="en-US"/>
        </w:rPr>
        <w:t>2.3容器壁应易于清洗、处理，以减少如重金属或放射性核类的微量元素对容器的表面污染。</w:t>
      </w:r>
    </w:p>
    <w:p>
      <w:pPr>
        <w:pStyle w:val="22"/>
        <w:spacing w:line="240" w:lineRule="auto"/>
        <w:ind w:left="-420" w:leftChars="-200" w:firstLine="560"/>
        <w:outlineLvl w:val="1"/>
        <w:rPr>
          <w:rFonts w:ascii="宋体" w:hAnsi="宋体"/>
          <w:sz w:val="28"/>
          <w:szCs w:val="28"/>
          <w:highlight w:val="none"/>
          <w:lang w:val="en-US"/>
        </w:rPr>
      </w:pPr>
      <w:r>
        <w:rPr>
          <w:rFonts w:hint="eastAsia" w:ascii="宋体" w:hAnsi="宋体"/>
          <w:sz w:val="28"/>
          <w:szCs w:val="28"/>
          <w:highlight w:val="none"/>
          <w:lang w:val="en-US"/>
        </w:rPr>
        <w:t>2.4容器或容器塞的化学和生物性质应该是惰性的，以防止容器与样品组分发生反应。如测氟时，水样不能贮于玻璃瓶中，因为玻璃与氟化物发生反应。</w:t>
      </w:r>
    </w:p>
    <w:p>
      <w:pPr>
        <w:pStyle w:val="22"/>
        <w:spacing w:line="240" w:lineRule="auto"/>
        <w:ind w:left="-420" w:leftChars="-200" w:firstLine="560"/>
        <w:outlineLvl w:val="1"/>
        <w:rPr>
          <w:rFonts w:ascii="宋体" w:hAnsi="宋体"/>
          <w:sz w:val="28"/>
          <w:szCs w:val="28"/>
          <w:highlight w:val="none"/>
          <w:lang w:val="en-US"/>
        </w:rPr>
      </w:pPr>
      <w:r>
        <w:rPr>
          <w:rFonts w:hint="eastAsia" w:ascii="宋体" w:hAnsi="宋体"/>
          <w:sz w:val="28"/>
          <w:szCs w:val="28"/>
          <w:highlight w:val="none"/>
          <w:lang w:val="en-US"/>
        </w:rPr>
        <w:t>2.5防止容器吸收或吸附待测组分，引起待测组分浓度的变化。微量金属易于受这些因素的影响，其他如清洁剂、杀虫剂、磷酸盐同样也受到影响。</w:t>
      </w:r>
    </w:p>
    <w:p>
      <w:pPr>
        <w:pStyle w:val="22"/>
        <w:spacing w:line="240" w:lineRule="auto"/>
        <w:ind w:left="-420" w:leftChars="-200" w:firstLine="560"/>
        <w:outlineLvl w:val="1"/>
        <w:rPr>
          <w:rFonts w:ascii="宋体" w:hAnsi="宋体"/>
          <w:sz w:val="28"/>
          <w:szCs w:val="28"/>
          <w:highlight w:val="none"/>
          <w:lang w:val="en-US"/>
        </w:rPr>
      </w:pPr>
      <w:r>
        <w:rPr>
          <w:rFonts w:hint="eastAsia" w:ascii="宋体" w:hAnsi="宋体"/>
          <w:sz w:val="28"/>
          <w:szCs w:val="28"/>
          <w:highlight w:val="none"/>
          <w:lang w:val="en-US"/>
        </w:rPr>
        <w:t>3、地表水与废气的采集及保存方法</w:t>
      </w:r>
    </w:p>
    <w:p>
      <w:pPr>
        <w:pStyle w:val="22"/>
        <w:spacing w:line="240" w:lineRule="auto"/>
        <w:ind w:left="-420" w:leftChars="-200" w:firstLine="560"/>
        <w:outlineLvl w:val="1"/>
        <w:rPr>
          <w:rFonts w:ascii="宋体" w:hAnsi="宋体"/>
          <w:sz w:val="28"/>
          <w:szCs w:val="28"/>
          <w:highlight w:val="none"/>
        </w:rPr>
      </w:pPr>
      <w:r>
        <w:rPr>
          <w:rFonts w:hint="eastAsia" w:ascii="宋体" w:hAnsi="宋体"/>
          <w:sz w:val="28"/>
          <w:szCs w:val="28"/>
          <w:highlight w:val="none"/>
          <w:lang w:val="en-US"/>
        </w:rPr>
        <w:t>3.1、地表水的采集按照《地表水</w:t>
      </w:r>
      <w:r>
        <w:rPr>
          <w:rFonts w:hint="eastAsia" w:ascii="宋体" w:hAnsi="宋体"/>
          <w:sz w:val="28"/>
          <w:szCs w:val="28"/>
          <w:highlight w:val="none"/>
          <w:lang w:val="en-US" w:eastAsia="zh-CN"/>
        </w:rPr>
        <w:t>环境质量监测技术规范</w:t>
      </w:r>
      <w:r>
        <w:rPr>
          <w:rFonts w:hint="eastAsia" w:ascii="宋体" w:hAnsi="宋体"/>
          <w:sz w:val="28"/>
          <w:szCs w:val="28"/>
          <w:highlight w:val="none"/>
          <w:lang w:val="en-US"/>
        </w:rPr>
        <w:t>》HJ 91</w:t>
      </w:r>
      <w:r>
        <w:rPr>
          <w:rFonts w:hint="eastAsia" w:ascii="宋体" w:hAnsi="宋体"/>
          <w:sz w:val="28"/>
          <w:szCs w:val="28"/>
          <w:highlight w:val="none"/>
          <w:lang w:val="en-US" w:eastAsia="zh-CN"/>
        </w:rPr>
        <w:t>.2</w:t>
      </w:r>
      <w:r>
        <w:rPr>
          <w:rFonts w:hint="eastAsia" w:ascii="宋体" w:hAnsi="宋体"/>
          <w:sz w:val="28"/>
          <w:szCs w:val="28"/>
          <w:highlight w:val="none"/>
          <w:lang w:val="en-US"/>
        </w:rPr>
        <w:t>-20</w:t>
      </w:r>
      <w:r>
        <w:rPr>
          <w:rFonts w:hint="eastAsia" w:ascii="宋体" w:hAnsi="宋体"/>
          <w:sz w:val="28"/>
          <w:szCs w:val="28"/>
          <w:highlight w:val="none"/>
          <w:lang w:val="en-US" w:eastAsia="zh-CN"/>
        </w:rPr>
        <w:t>2</w:t>
      </w:r>
      <w:r>
        <w:rPr>
          <w:rFonts w:hint="eastAsia" w:ascii="宋体" w:hAnsi="宋体"/>
          <w:sz w:val="28"/>
          <w:szCs w:val="28"/>
          <w:highlight w:val="none"/>
          <w:lang w:val="en-US"/>
        </w:rPr>
        <w:t>2</w:t>
      </w:r>
      <w:r>
        <w:rPr>
          <w:rFonts w:hint="eastAsia" w:ascii="宋体" w:hAnsi="宋体"/>
          <w:sz w:val="28"/>
          <w:szCs w:val="28"/>
          <w:highlight w:val="none"/>
        </w:rPr>
        <w:t xml:space="preserve"> 执行，采样方法按照以下要求执行。</w:t>
      </w:r>
    </w:p>
    <w:p>
      <w:pPr>
        <w:pStyle w:val="22"/>
        <w:spacing w:line="240" w:lineRule="auto"/>
        <w:ind w:left="-420" w:leftChars="-200" w:firstLine="560"/>
        <w:outlineLvl w:val="1"/>
        <w:rPr>
          <w:rFonts w:ascii="宋体" w:hAnsi="宋体"/>
          <w:sz w:val="28"/>
          <w:szCs w:val="28"/>
          <w:highlight w:val="none"/>
        </w:rPr>
      </w:pPr>
      <w:r>
        <w:rPr>
          <w:rFonts w:hint="eastAsia" w:ascii="宋体" w:hAnsi="宋体"/>
          <w:sz w:val="28"/>
          <w:szCs w:val="28"/>
          <w:highlight w:val="none"/>
          <w:lang w:val="en-US"/>
        </w:rPr>
        <w:t>3.1.1、</w:t>
      </w:r>
      <w:r>
        <w:rPr>
          <w:rFonts w:hint="eastAsia" w:ascii="宋体" w:hAnsi="宋体"/>
          <w:sz w:val="28"/>
          <w:szCs w:val="28"/>
          <w:highlight w:val="none"/>
        </w:rPr>
        <w:t>在同一监测断面分层采样时，应自上而下进行，避免不同层次水体混扰；</w:t>
      </w:r>
    </w:p>
    <w:p>
      <w:pPr>
        <w:pStyle w:val="22"/>
        <w:spacing w:line="240" w:lineRule="auto"/>
        <w:ind w:left="-420" w:leftChars="-200" w:firstLine="560"/>
        <w:outlineLvl w:val="1"/>
        <w:rPr>
          <w:rFonts w:ascii="宋体" w:hAnsi="宋体"/>
          <w:sz w:val="28"/>
          <w:szCs w:val="28"/>
          <w:highlight w:val="none"/>
        </w:rPr>
      </w:pPr>
      <w:r>
        <w:rPr>
          <w:rFonts w:hint="eastAsia" w:ascii="宋体" w:hAnsi="宋体"/>
          <w:sz w:val="28"/>
          <w:szCs w:val="28"/>
          <w:highlight w:val="none"/>
          <w:lang w:val="en-US"/>
        </w:rPr>
        <w:t>3.1.2、</w:t>
      </w:r>
      <w:r>
        <w:rPr>
          <w:rFonts w:hint="eastAsia" w:ascii="宋体" w:hAnsi="宋体"/>
          <w:sz w:val="28"/>
          <w:szCs w:val="28"/>
          <w:highlight w:val="none"/>
        </w:rPr>
        <w:t>除标准分析方法有特殊要求的监测项目外，采样器、静置容器和样品瓶在使用前应先用水样分别荡洗2～3次；</w:t>
      </w:r>
    </w:p>
    <w:p>
      <w:pPr>
        <w:pStyle w:val="22"/>
        <w:spacing w:line="240" w:lineRule="auto"/>
        <w:ind w:left="-420" w:leftChars="-200" w:firstLine="560"/>
        <w:outlineLvl w:val="1"/>
        <w:rPr>
          <w:rFonts w:ascii="宋体" w:hAnsi="宋体"/>
          <w:sz w:val="28"/>
          <w:szCs w:val="28"/>
          <w:highlight w:val="none"/>
        </w:rPr>
      </w:pPr>
      <w:r>
        <w:rPr>
          <w:rFonts w:hint="eastAsia" w:ascii="宋体" w:hAnsi="宋体"/>
          <w:sz w:val="28"/>
          <w:szCs w:val="28"/>
          <w:highlight w:val="none"/>
          <w:lang w:val="en-US"/>
        </w:rPr>
        <w:t>3.1.3、</w:t>
      </w:r>
      <w:r>
        <w:rPr>
          <w:rFonts w:hint="eastAsia" w:ascii="宋体" w:hAnsi="宋体"/>
          <w:sz w:val="28"/>
          <w:szCs w:val="28"/>
          <w:highlight w:val="none"/>
        </w:rPr>
        <w:t>采样时不可搅动水底的沉积物。除标准分析方法有特殊要求的监测项目外，采集的水样倒入静置容器中，保证足够用量，自然静置30 min。自然静置时，使用防尘盖遮挡，避免灰尘污染；</w:t>
      </w:r>
    </w:p>
    <w:p>
      <w:pPr>
        <w:pStyle w:val="22"/>
        <w:spacing w:line="240" w:lineRule="auto"/>
        <w:ind w:left="-420" w:leftChars="-200" w:firstLine="560"/>
        <w:outlineLvl w:val="1"/>
        <w:rPr>
          <w:rFonts w:ascii="宋体" w:hAnsi="宋体"/>
          <w:sz w:val="28"/>
          <w:szCs w:val="28"/>
          <w:highlight w:val="none"/>
        </w:rPr>
      </w:pPr>
      <w:r>
        <w:rPr>
          <w:rFonts w:hint="eastAsia" w:ascii="宋体" w:hAnsi="宋体"/>
          <w:sz w:val="28"/>
          <w:szCs w:val="28"/>
          <w:highlight w:val="none"/>
          <w:lang w:val="en-US"/>
        </w:rPr>
        <w:t>3.1.4、</w:t>
      </w:r>
      <w:r>
        <w:rPr>
          <w:rFonts w:hint="eastAsia" w:ascii="宋体" w:hAnsi="宋体"/>
          <w:sz w:val="28"/>
          <w:szCs w:val="28"/>
          <w:highlight w:val="none"/>
        </w:rPr>
        <w:t>使用虹吸装置取上层不含沉降性固体的水样，移入样品瓶，虹吸装置进水尖嘴应保持插至水样表层50 mm以下位置。</w:t>
      </w:r>
    </w:p>
    <w:p>
      <w:pPr>
        <w:pStyle w:val="22"/>
        <w:spacing w:line="240" w:lineRule="auto"/>
        <w:ind w:left="-420" w:leftChars="-200" w:firstLine="560"/>
        <w:outlineLvl w:val="1"/>
        <w:rPr>
          <w:rFonts w:ascii="宋体" w:hAnsi="宋体"/>
          <w:sz w:val="28"/>
          <w:szCs w:val="28"/>
          <w:highlight w:val="none"/>
        </w:rPr>
      </w:pPr>
      <w:r>
        <w:rPr>
          <w:rFonts w:hint="eastAsia" w:ascii="宋体" w:hAnsi="宋体"/>
          <w:sz w:val="28"/>
          <w:szCs w:val="28"/>
          <w:highlight w:val="none"/>
        </w:rPr>
        <w:t>3.2、废气采集方法。</w:t>
      </w:r>
    </w:p>
    <w:p>
      <w:pPr>
        <w:pStyle w:val="22"/>
        <w:spacing w:line="240" w:lineRule="auto"/>
        <w:ind w:left="-420" w:leftChars="-200" w:firstLine="560"/>
        <w:outlineLvl w:val="1"/>
        <w:rPr>
          <w:rFonts w:ascii="宋体" w:hAnsi="宋体"/>
          <w:sz w:val="28"/>
          <w:szCs w:val="28"/>
          <w:highlight w:val="none"/>
          <w:lang w:val="en-US"/>
        </w:rPr>
      </w:pPr>
      <w:r>
        <w:rPr>
          <w:rFonts w:hint="eastAsia" w:ascii="宋体" w:hAnsi="宋体"/>
          <w:sz w:val="28"/>
          <w:szCs w:val="28"/>
          <w:highlight w:val="none"/>
          <w:lang w:val="en-US"/>
        </w:rPr>
        <w:t>3.2.1、有组织排放废气采样</w:t>
      </w:r>
    </w:p>
    <w:p>
      <w:pPr>
        <w:pStyle w:val="22"/>
        <w:spacing w:line="240" w:lineRule="auto"/>
        <w:ind w:left="-420" w:leftChars="-200" w:firstLine="560"/>
        <w:outlineLvl w:val="1"/>
        <w:rPr>
          <w:rFonts w:ascii="宋体" w:hAnsi="宋体"/>
          <w:sz w:val="28"/>
          <w:szCs w:val="28"/>
          <w:highlight w:val="none"/>
          <w:lang w:val="en-US"/>
        </w:rPr>
      </w:pPr>
      <w:r>
        <w:rPr>
          <w:rFonts w:hint="eastAsia" w:ascii="宋体" w:hAnsi="宋体"/>
          <w:sz w:val="28"/>
          <w:szCs w:val="28"/>
          <w:highlight w:val="none"/>
          <w:lang w:val="en-US"/>
        </w:rPr>
        <w:t>3.2.1.1、采样位置</w:t>
      </w:r>
    </w:p>
    <w:p>
      <w:pPr>
        <w:pStyle w:val="22"/>
        <w:spacing w:line="240" w:lineRule="auto"/>
        <w:ind w:left="-420" w:leftChars="-200" w:firstLine="560"/>
        <w:outlineLvl w:val="1"/>
        <w:rPr>
          <w:rFonts w:ascii="宋体" w:hAnsi="宋体"/>
          <w:sz w:val="28"/>
          <w:szCs w:val="28"/>
          <w:highlight w:val="none"/>
          <w:lang w:val="en-US"/>
        </w:rPr>
      </w:pPr>
      <w:r>
        <w:rPr>
          <w:rFonts w:hint="eastAsia" w:ascii="宋体" w:hAnsi="宋体"/>
          <w:sz w:val="28"/>
          <w:szCs w:val="28"/>
          <w:highlight w:val="none"/>
          <w:lang w:val="en-US"/>
        </w:rPr>
        <w:t>3.2.1.1.1、采样位置应避开对测试人员操作有危险的场所。</w:t>
      </w:r>
    </w:p>
    <w:p>
      <w:pPr>
        <w:pStyle w:val="22"/>
        <w:spacing w:line="240" w:lineRule="auto"/>
        <w:ind w:left="-420" w:leftChars="-200" w:firstLine="560"/>
        <w:outlineLvl w:val="1"/>
        <w:rPr>
          <w:rFonts w:ascii="宋体" w:hAnsi="宋体"/>
          <w:sz w:val="28"/>
          <w:szCs w:val="28"/>
          <w:highlight w:val="none"/>
          <w:lang w:val="en-US"/>
        </w:rPr>
      </w:pPr>
      <w:r>
        <w:rPr>
          <w:rFonts w:hint="eastAsia" w:ascii="宋体" w:hAnsi="宋体"/>
          <w:sz w:val="28"/>
          <w:szCs w:val="28"/>
          <w:highlight w:val="none"/>
          <w:lang w:val="en-US"/>
        </w:rPr>
        <w:t>3.2.1.1.2、采样位置应优先选择在垂直管段，应避开气道弯头和断面急剧变化的部位。采样位置应设置在距弯头、阀门、变径管下游方向不小于6倍直径，和距上述部件上游方向不小于3倍直径处。采样断面的气流速度最好在5m/s以上。</w:t>
      </w:r>
    </w:p>
    <w:p>
      <w:pPr>
        <w:pStyle w:val="22"/>
        <w:spacing w:line="240" w:lineRule="auto"/>
        <w:ind w:left="-420" w:leftChars="-200" w:firstLine="560"/>
        <w:outlineLvl w:val="1"/>
        <w:rPr>
          <w:rFonts w:ascii="宋体" w:hAnsi="宋体"/>
          <w:sz w:val="28"/>
          <w:szCs w:val="28"/>
          <w:highlight w:val="none"/>
          <w:lang w:val="en-US"/>
        </w:rPr>
      </w:pPr>
      <w:r>
        <w:rPr>
          <w:rFonts w:hint="eastAsia" w:ascii="宋体" w:hAnsi="宋体"/>
          <w:sz w:val="28"/>
          <w:szCs w:val="28"/>
          <w:highlight w:val="none"/>
          <w:lang w:val="en-US"/>
        </w:rPr>
        <w:t>3.2.1.1.3、测试现场空间位置有限，很难满足上述要求时，可选比较适宜的管段采样，但采样断面与弯头等的距离至少是气道直径的1.5倍。</w:t>
      </w:r>
    </w:p>
    <w:p>
      <w:pPr>
        <w:pStyle w:val="22"/>
        <w:spacing w:line="240" w:lineRule="auto"/>
        <w:ind w:left="-420" w:leftChars="-200" w:firstLine="560"/>
        <w:outlineLvl w:val="1"/>
        <w:rPr>
          <w:rFonts w:ascii="宋体" w:hAnsi="宋体"/>
          <w:sz w:val="28"/>
          <w:szCs w:val="28"/>
          <w:highlight w:val="none"/>
          <w:lang w:val="en-US"/>
        </w:rPr>
      </w:pPr>
      <w:r>
        <w:rPr>
          <w:rFonts w:hint="eastAsia" w:ascii="宋体" w:hAnsi="宋体"/>
          <w:sz w:val="28"/>
          <w:szCs w:val="28"/>
          <w:highlight w:val="none"/>
          <w:lang w:val="en-US"/>
        </w:rPr>
        <w:t>3.2.1.1.4、对气态污染物，由于混合比较均匀，其采样位置可不受上述规定限制，但应避开涡流区。如果同时测定排气流量，采样位置仍按3.2.1.1.2选取位置。</w:t>
      </w:r>
    </w:p>
    <w:p>
      <w:pPr>
        <w:pStyle w:val="22"/>
        <w:spacing w:line="240" w:lineRule="auto"/>
        <w:ind w:left="-420" w:leftChars="-200" w:firstLine="560"/>
        <w:outlineLvl w:val="1"/>
        <w:rPr>
          <w:rFonts w:ascii="宋体" w:hAnsi="宋体"/>
          <w:sz w:val="28"/>
          <w:szCs w:val="28"/>
          <w:highlight w:val="none"/>
          <w:lang w:val="en-US"/>
        </w:rPr>
      </w:pPr>
      <w:r>
        <w:rPr>
          <w:rFonts w:hint="eastAsia" w:ascii="宋体" w:hAnsi="宋体"/>
          <w:sz w:val="28"/>
          <w:szCs w:val="28"/>
          <w:highlight w:val="none"/>
          <w:lang w:val="en-US"/>
        </w:rPr>
        <w:t>3.2.1.1.5、必要时应设置采样平台，采样平台应有足够的工作面积使工作人员安全、方便地操作。平台面积应不小于1.5m</w:t>
      </w:r>
      <w:r>
        <w:rPr>
          <w:rFonts w:hint="eastAsia" w:ascii="宋体" w:hAnsi="宋体"/>
          <w:sz w:val="28"/>
          <w:szCs w:val="28"/>
          <w:highlight w:val="none"/>
          <w:vertAlign w:val="superscript"/>
          <w:lang w:val="en-US"/>
        </w:rPr>
        <w:t>2</w:t>
      </w:r>
      <w:r>
        <w:rPr>
          <w:rFonts w:hint="eastAsia" w:ascii="宋体" w:hAnsi="宋体"/>
          <w:sz w:val="28"/>
          <w:szCs w:val="28"/>
          <w:highlight w:val="none"/>
          <w:lang w:val="en-US"/>
        </w:rPr>
        <w:t>，并设有高1.1 m的护栏和不低于10cm的脚部挡板，采样平台的承重应不小于200kg/m</w:t>
      </w:r>
      <w:r>
        <w:rPr>
          <w:rFonts w:hint="eastAsia" w:ascii="宋体" w:hAnsi="宋体"/>
          <w:sz w:val="28"/>
          <w:szCs w:val="28"/>
          <w:highlight w:val="none"/>
          <w:vertAlign w:val="superscript"/>
          <w:lang w:val="en-US"/>
        </w:rPr>
        <w:t>2</w:t>
      </w:r>
      <w:r>
        <w:rPr>
          <w:rFonts w:hint="eastAsia" w:ascii="宋体" w:hAnsi="宋体"/>
          <w:sz w:val="28"/>
          <w:szCs w:val="28"/>
          <w:highlight w:val="none"/>
          <w:lang w:val="en-US"/>
        </w:rPr>
        <w:t>，采样孔距平台面约为1.2m-1.3m。</w:t>
      </w:r>
    </w:p>
    <w:p>
      <w:pPr>
        <w:pStyle w:val="22"/>
        <w:spacing w:line="240" w:lineRule="auto"/>
        <w:ind w:left="-420" w:leftChars="-200" w:firstLine="560"/>
        <w:outlineLvl w:val="1"/>
        <w:rPr>
          <w:rFonts w:ascii="宋体" w:hAnsi="宋体"/>
          <w:sz w:val="28"/>
          <w:szCs w:val="28"/>
          <w:highlight w:val="none"/>
          <w:lang w:val="en-US"/>
        </w:rPr>
      </w:pPr>
      <w:r>
        <w:rPr>
          <w:rFonts w:hint="eastAsia" w:ascii="宋体" w:hAnsi="宋体"/>
          <w:sz w:val="28"/>
          <w:szCs w:val="28"/>
          <w:highlight w:val="none"/>
          <w:lang w:val="en-US"/>
        </w:rPr>
        <w:t>3.2.1.2、采样孔</w:t>
      </w:r>
    </w:p>
    <w:p>
      <w:pPr>
        <w:pStyle w:val="22"/>
        <w:spacing w:line="240" w:lineRule="auto"/>
        <w:ind w:left="-420" w:leftChars="-200" w:firstLine="560"/>
        <w:outlineLvl w:val="1"/>
        <w:rPr>
          <w:rFonts w:ascii="宋体" w:hAnsi="宋体"/>
          <w:sz w:val="28"/>
          <w:szCs w:val="28"/>
          <w:highlight w:val="none"/>
          <w:lang w:val="en-US"/>
        </w:rPr>
      </w:pPr>
      <w:r>
        <w:rPr>
          <w:rFonts w:hint="eastAsia" w:ascii="宋体" w:hAnsi="宋体"/>
          <w:sz w:val="28"/>
          <w:szCs w:val="28"/>
          <w:highlight w:val="none"/>
          <w:lang w:val="en-US"/>
        </w:rPr>
        <w:t>3.2.1.2.1、在选定的测定位置上开设采样孔，采样孔的内径应不小于80毫米，采样孔管长应不大于50毫米，不使用时应用盖板、堵管或管帽封闭。当采样孔仅用于采集气态污染物时，其内径应不小于40毫米。</w:t>
      </w:r>
    </w:p>
    <w:p>
      <w:pPr>
        <w:pStyle w:val="22"/>
        <w:spacing w:line="240" w:lineRule="auto"/>
        <w:ind w:left="-420" w:leftChars="-200" w:firstLine="560"/>
        <w:outlineLvl w:val="1"/>
        <w:rPr>
          <w:rFonts w:ascii="宋体" w:hAnsi="宋体"/>
          <w:sz w:val="28"/>
          <w:szCs w:val="28"/>
          <w:highlight w:val="none"/>
          <w:lang w:val="en-US"/>
        </w:rPr>
      </w:pPr>
      <w:r>
        <w:rPr>
          <w:rFonts w:hint="eastAsia" w:ascii="宋体" w:hAnsi="宋体"/>
          <w:sz w:val="28"/>
          <w:szCs w:val="28"/>
          <w:highlight w:val="none"/>
          <w:lang w:val="en-US"/>
        </w:rPr>
        <w:t>3.2.1.2.2、对正压下输送高温或有毒气体的气道，应采用带有闸板阀的密封采样孔。</w:t>
      </w:r>
    </w:p>
    <w:p>
      <w:pPr>
        <w:pStyle w:val="22"/>
        <w:spacing w:line="240" w:lineRule="auto"/>
        <w:ind w:left="-420" w:leftChars="-200" w:firstLine="560"/>
        <w:outlineLvl w:val="1"/>
        <w:rPr>
          <w:rFonts w:ascii="宋体" w:hAnsi="宋体"/>
          <w:sz w:val="28"/>
          <w:szCs w:val="28"/>
          <w:highlight w:val="none"/>
          <w:lang w:val="en-US"/>
        </w:rPr>
      </w:pPr>
      <w:r>
        <w:rPr>
          <w:rFonts w:hint="eastAsia" w:ascii="宋体" w:hAnsi="宋体"/>
          <w:sz w:val="28"/>
          <w:szCs w:val="28"/>
          <w:highlight w:val="none"/>
          <w:lang w:val="en-US"/>
        </w:rPr>
        <w:t>3.2.1.3、采样要求</w:t>
      </w:r>
    </w:p>
    <w:p>
      <w:pPr>
        <w:pStyle w:val="22"/>
        <w:spacing w:line="240" w:lineRule="auto"/>
        <w:ind w:left="-420" w:leftChars="-200" w:firstLine="560"/>
        <w:outlineLvl w:val="1"/>
        <w:rPr>
          <w:rFonts w:ascii="宋体" w:hAnsi="宋体"/>
          <w:sz w:val="28"/>
          <w:szCs w:val="28"/>
          <w:highlight w:val="none"/>
        </w:rPr>
      </w:pPr>
      <w:r>
        <w:rPr>
          <w:rFonts w:hint="eastAsia" w:ascii="宋体" w:hAnsi="宋体"/>
          <w:sz w:val="28"/>
          <w:szCs w:val="28"/>
          <w:highlight w:val="none"/>
          <w:lang w:val="en-US"/>
        </w:rPr>
        <w:t>3.2.1.3</w:t>
      </w:r>
      <w:r>
        <w:rPr>
          <w:rFonts w:hint="eastAsia" w:ascii="宋体" w:hAnsi="宋体"/>
          <w:sz w:val="28"/>
          <w:szCs w:val="28"/>
          <w:highlight w:val="none"/>
        </w:rPr>
        <w:t>.1、采样前检查气密性时要接干燥瓶，吸收瓶不能接以防倒吸。</w:t>
      </w:r>
    </w:p>
    <w:p>
      <w:pPr>
        <w:pStyle w:val="22"/>
        <w:spacing w:line="240" w:lineRule="auto"/>
        <w:ind w:left="-420" w:leftChars="-200" w:firstLine="560"/>
        <w:outlineLvl w:val="1"/>
        <w:rPr>
          <w:rFonts w:ascii="宋体" w:hAnsi="宋体"/>
          <w:sz w:val="28"/>
          <w:szCs w:val="28"/>
          <w:highlight w:val="none"/>
        </w:rPr>
      </w:pPr>
      <w:r>
        <w:rPr>
          <w:rFonts w:hint="eastAsia" w:ascii="宋体" w:hAnsi="宋体"/>
          <w:sz w:val="28"/>
          <w:szCs w:val="28"/>
          <w:highlight w:val="none"/>
          <w:lang w:val="en-US"/>
        </w:rPr>
        <w:t>3.2.1.3</w:t>
      </w:r>
      <w:r>
        <w:rPr>
          <w:rFonts w:hint="eastAsia" w:ascii="宋体" w:hAnsi="宋体"/>
          <w:sz w:val="28"/>
          <w:szCs w:val="28"/>
          <w:highlight w:val="none"/>
        </w:rPr>
        <w:t>.2、采样结束后，取下样品，将气体吸收装置进、出口密封，按相应项目的标准监测分析方法要求运送和保存待测样品。</w:t>
      </w:r>
    </w:p>
    <w:p>
      <w:pPr>
        <w:pStyle w:val="22"/>
        <w:spacing w:line="240" w:lineRule="auto"/>
        <w:ind w:left="-420" w:leftChars="-200" w:firstLine="560"/>
        <w:outlineLvl w:val="1"/>
        <w:rPr>
          <w:rFonts w:ascii="宋体" w:hAnsi="宋体"/>
          <w:sz w:val="28"/>
          <w:szCs w:val="28"/>
          <w:highlight w:val="none"/>
        </w:rPr>
      </w:pPr>
      <w:r>
        <w:rPr>
          <w:rFonts w:hint="eastAsia" w:ascii="宋体" w:hAnsi="宋体"/>
          <w:sz w:val="28"/>
          <w:szCs w:val="28"/>
          <w:highlight w:val="none"/>
          <w:lang w:val="en-US"/>
        </w:rPr>
        <w:t>3.2.1.3</w:t>
      </w:r>
      <w:r>
        <w:rPr>
          <w:rFonts w:hint="eastAsia" w:ascii="宋体" w:hAnsi="宋体"/>
          <w:sz w:val="28"/>
          <w:szCs w:val="28"/>
          <w:highlight w:val="none"/>
        </w:rPr>
        <w:t>.3、用超细玻璃纤维滤膜采样时，应对光线检查滤膜是否有损坏，如有损坏，停止使用。</w:t>
      </w:r>
    </w:p>
    <w:p>
      <w:pPr>
        <w:pStyle w:val="22"/>
        <w:spacing w:line="240" w:lineRule="auto"/>
        <w:ind w:left="-420" w:leftChars="-200" w:firstLine="560"/>
        <w:outlineLvl w:val="1"/>
        <w:rPr>
          <w:rFonts w:ascii="宋体" w:hAnsi="宋体"/>
          <w:sz w:val="28"/>
          <w:szCs w:val="28"/>
          <w:highlight w:val="none"/>
        </w:rPr>
      </w:pPr>
      <w:r>
        <w:rPr>
          <w:rFonts w:hint="eastAsia" w:ascii="宋体" w:hAnsi="宋体"/>
          <w:sz w:val="28"/>
          <w:szCs w:val="28"/>
          <w:highlight w:val="none"/>
          <w:lang w:val="en-US"/>
        </w:rPr>
        <w:t>3.2.1.3</w:t>
      </w:r>
      <w:r>
        <w:rPr>
          <w:rFonts w:hint="eastAsia" w:ascii="宋体" w:hAnsi="宋体"/>
          <w:sz w:val="28"/>
          <w:szCs w:val="28"/>
          <w:highlight w:val="none"/>
        </w:rPr>
        <w:t>.4、采集气体样品时，注意吸收瓶溶液的颜色，如果未采样已变色，则该样品作废。</w:t>
      </w:r>
    </w:p>
    <w:p>
      <w:pPr>
        <w:pStyle w:val="22"/>
        <w:spacing w:line="240" w:lineRule="auto"/>
        <w:ind w:left="-420" w:leftChars="-200" w:firstLine="560"/>
        <w:outlineLvl w:val="1"/>
        <w:rPr>
          <w:rFonts w:ascii="宋体" w:hAnsi="宋体"/>
          <w:sz w:val="28"/>
          <w:szCs w:val="28"/>
          <w:highlight w:val="none"/>
        </w:rPr>
      </w:pPr>
      <w:r>
        <w:rPr>
          <w:rFonts w:hint="eastAsia" w:ascii="宋体" w:hAnsi="宋体"/>
          <w:sz w:val="28"/>
          <w:szCs w:val="28"/>
          <w:highlight w:val="none"/>
          <w:lang w:val="en-US"/>
        </w:rPr>
        <w:t>3.2.1.3</w:t>
      </w:r>
      <w:r>
        <w:rPr>
          <w:rFonts w:hint="eastAsia" w:ascii="宋体" w:hAnsi="宋体"/>
          <w:sz w:val="28"/>
          <w:szCs w:val="28"/>
          <w:highlight w:val="none"/>
        </w:rPr>
        <w:t>.5、现场空白样的放置：启动采样气路时，同时将空白样的吸收瓶封口膜打开，气路采样结束时，同时将空白样封口；准备空白滤膜装入切割头中放置在空气中，采样后结束后按照滤膜采样同样方法放入滤膜袋中，运回实验室检测，空白滤膜前后两次称量质量之差应远小于采样滤膜上的颗粒物负载量，否则次批次采样监测数据无效。</w:t>
      </w:r>
    </w:p>
    <w:p>
      <w:pPr>
        <w:pStyle w:val="22"/>
        <w:spacing w:line="240" w:lineRule="auto"/>
        <w:ind w:left="-420" w:leftChars="-200" w:firstLine="560"/>
        <w:outlineLvl w:val="1"/>
        <w:rPr>
          <w:rFonts w:ascii="宋体" w:hAnsi="宋体"/>
          <w:sz w:val="28"/>
          <w:szCs w:val="28"/>
          <w:highlight w:val="none"/>
        </w:rPr>
      </w:pPr>
      <w:r>
        <w:rPr>
          <w:rFonts w:hint="eastAsia" w:ascii="宋体" w:hAnsi="宋体"/>
          <w:sz w:val="28"/>
          <w:szCs w:val="28"/>
          <w:highlight w:val="none"/>
          <w:lang w:val="en-US"/>
        </w:rPr>
        <w:t>3.2.1.3</w:t>
      </w:r>
      <w:r>
        <w:rPr>
          <w:rFonts w:hint="eastAsia" w:ascii="宋体" w:hAnsi="宋体"/>
          <w:sz w:val="28"/>
          <w:szCs w:val="28"/>
          <w:highlight w:val="none"/>
        </w:rPr>
        <w:t>.6、向采样器中放置和取出滤膜时，应佩戴聚乙烯手套等实验室专用手套（和实验室人员称量滤膜所带的手套相同），使用无锯齿状镊子。</w:t>
      </w:r>
    </w:p>
    <w:p>
      <w:pPr>
        <w:pStyle w:val="22"/>
        <w:spacing w:line="240" w:lineRule="auto"/>
        <w:ind w:left="-420" w:leftChars="-200" w:firstLine="560"/>
        <w:outlineLvl w:val="1"/>
        <w:rPr>
          <w:rFonts w:ascii="宋体" w:hAnsi="宋体"/>
          <w:sz w:val="28"/>
          <w:szCs w:val="28"/>
          <w:highlight w:val="none"/>
        </w:rPr>
      </w:pPr>
      <w:r>
        <w:rPr>
          <w:rFonts w:hint="eastAsia" w:ascii="宋体" w:hAnsi="宋体"/>
          <w:sz w:val="28"/>
          <w:szCs w:val="28"/>
          <w:highlight w:val="none"/>
          <w:lang w:val="en-US"/>
        </w:rPr>
        <w:t>3.2.1.3</w:t>
      </w:r>
      <w:r>
        <w:rPr>
          <w:rFonts w:hint="eastAsia" w:ascii="宋体" w:hAnsi="宋体"/>
          <w:sz w:val="28"/>
          <w:szCs w:val="28"/>
          <w:highlight w:val="none"/>
        </w:rPr>
        <w:t>.7、采样进气口必须暴露在空气中（箱体盖子可以不盖，几乎不影响吸收液温度）。</w:t>
      </w:r>
    </w:p>
    <w:p>
      <w:pPr>
        <w:pStyle w:val="22"/>
        <w:spacing w:line="240" w:lineRule="auto"/>
        <w:ind w:left="-420" w:leftChars="-200" w:firstLine="560"/>
        <w:outlineLvl w:val="1"/>
        <w:rPr>
          <w:rFonts w:ascii="宋体" w:hAnsi="宋体"/>
          <w:sz w:val="28"/>
          <w:szCs w:val="28"/>
          <w:highlight w:val="none"/>
        </w:rPr>
      </w:pPr>
      <w:r>
        <w:rPr>
          <w:rFonts w:hint="eastAsia" w:ascii="宋体" w:hAnsi="宋体"/>
          <w:sz w:val="28"/>
          <w:szCs w:val="28"/>
          <w:highlight w:val="none"/>
          <w:lang w:val="en-US"/>
        </w:rPr>
        <w:t>3.2.1.3</w:t>
      </w:r>
      <w:r>
        <w:rPr>
          <w:rFonts w:hint="eastAsia" w:ascii="宋体" w:hAnsi="宋体"/>
          <w:sz w:val="28"/>
          <w:szCs w:val="28"/>
          <w:highlight w:val="none"/>
        </w:rPr>
        <w:t>.8、夏天仪器应尽量避免放置在太阳下暴晒，以防止吸收液蒸发，可将仪器放置于树荫处或适当遮盖。</w:t>
      </w:r>
    </w:p>
    <w:p>
      <w:pPr>
        <w:pStyle w:val="22"/>
        <w:spacing w:line="240" w:lineRule="auto"/>
        <w:ind w:left="-420" w:leftChars="-200" w:firstLine="560"/>
        <w:outlineLvl w:val="1"/>
        <w:rPr>
          <w:rFonts w:ascii="宋体" w:hAnsi="宋体"/>
          <w:sz w:val="28"/>
          <w:szCs w:val="28"/>
          <w:highlight w:val="none"/>
        </w:rPr>
      </w:pPr>
      <w:r>
        <w:rPr>
          <w:rFonts w:hint="eastAsia" w:ascii="宋体" w:hAnsi="宋体"/>
          <w:sz w:val="28"/>
          <w:szCs w:val="28"/>
          <w:highlight w:val="none"/>
          <w:lang w:val="en-US"/>
        </w:rPr>
        <w:t>3.2.1.3</w:t>
      </w:r>
      <w:r>
        <w:rPr>
          <w:rFonts w:hint="eastAsia" w:ascii="宋体" w:hAnsi="宋体"/>
          <w:sz w:val="28"/>
          <w:szCs w:val="28"/>
          <w:highlight w:val="none"/>
        </w:rPr>
        <w:t>.9、采样器显示的气温和气压未经过校准，不能直接读取，现场气温、气压应由校准过的设备读取。</w:t>
      </w:r>
    </w:p>
    <w:p>
      <w:pPr>
        <w:pStyle w:val="22"/>
        <w:spacing w:line="240" w:lineRule="auto"/>
        <w:ind w:left="-420" w:leftChars="-200" w:firstLine="560"/>
        <w:outlineLvl w:val="1"/>
        <w:rPr>
          <w:rFonts w:ascii="宋体" w:hAnsi="宋体"/>
          <w:sz w:val="28"/>
          <w:szCs w:val="28"/>
          <w:highlight w:val="none"/>
        </w:rPr>
      </w:pPr>
      <w:r>
        <w:rPr>
          <w:rFonts w:hint="eastAsia" w:ascii="宋体" w:hAnsi="宋体"/>
          <w:sz w:val="28"/>
          <w:szCs w:val="28"/>
          <w:highlight w:val="none"/>
          <w:lang w:val="en-US"/>
        </w:rPr>
        <w:t>3.2.1.3</w:t>
      </w:r>
      <w:r>
        <w:rPr>
          <w:rFonts w:hint="eastAsia" w:ascii="宋体" w:hAnsi="宋体"/>
          <w:sz w:val="28"/>
          <w:szCs w:val="28"/>
          <w:highlight w:val="none"/>
        </w:rPr>
        <w:t>.10、现场记录实况，标况需根据实况计算，实况和标况都要在原始记录中体现。</w:t>
      </w:r>
    </w:p>
    <w:p>
      <w:pPr>
        <w:pStyle w:val="22"/>
        <w:spacing w:line="240" w:lineRule="auto"/>
        <w:ind w:left="-420" w:leftChars="-200" w:firstLine="560"/>
        <w:outlineLvl w:val="1"/>
        <w:rPr>
          <w:rFonts w:ascii="宋体" w:hAnsi="宋体"/>
          <w:sz w:val="28"/>
          <w:szCs w:val="28"/>
          <w:highlight w:val="none"/>
        </w:rPr>
      </w:pPr>
      <w:r>
        <w:rPr>
          <w:rFonts w:hint="eastAsia" w:ascii="宋体" w:hAnsi="宋体"/>
          <w:sz w:val="28"/>
          <w:szCs w:val="28"/>
          <w:highlight w:val="none"/>
          <w:lang w:val="en-US"/>
        </w:rPr>
        <w:t>3.2.1.3</w:t>
      </w:r>
      <w:r>
        <w:rPr>
          <w:rFonts w:hint="eastAsia" w:ascii="宋体" w:hAnsi="宋体"/>
          <w:sz w:val="28"/>
          <w:szCs w:val="28"/>
          <w:highlight w:val="none"/>
        </w:rPr>
        <w:t>.11、采样记录单上采样人员签字应为2人，其中1人为监督人员。</w:t>
      </w:r>
    </w:p>
    <w:p>
      <w:pPr>
        <w:pStyle w:val="22"/>
        <w:spacing w:line="240" w:lineRule="auto"/>
        <w:ind w:left="-420" w:leftChars="-200" w:firstLine="560"/>
        <w:outlineLvl w:val="1"/>
        <w:rPr>
          <w:rFonts w:ascii="宋体" w:hAnsi="宋体"/>
          <w:sz w:val="28"/>
          <w:szCs w:val="28"/>
          <w:highlight w:val="none"/>
          <w:lang w:val="en-US"/>
        </w:rPr>
      </w:pPr>
      <w:r>
        <w:rPr>
          <w:rFonts w:hint="eastAsia" w:ascii="宋体" w:hAnsi="宋体"/>
          <w:sz w:val="28"/>
          <w:szCs w:val="28"/>
          <w:highlight w:val="none"/>
          <w:lang w:val="en-US"/>
        </w:rPr>
        <w:t>3.2.2、</w:t>
      </w:r>
      <w:r>
        <w:rPr>
          <w:rFonts w:hint="eastAsia" w:ascii="宋体" w:hAnsi="宋体"/>
          <w:sz w:val="28"/>
          <w:szCs w:val="28"/>
          <w:highlight w:val="none"/>
        </w:rPr>
        <w:t>无组织废气采样按《</w:t>
      </w:r>
      <w:r>
        <w:rPr>
          <w:rFonts w:hint="eastAsia" w:ascii="宋体" w:hAnsi="宋体"/>
          <w:sz w:val="28"/>
          <w:szCs w:val="28"/>
          <w:highlight w:val="none"/>
          <w:lang w:val="en-US"/>
        </w:rPr>
        <w:t>大气污染物无组织排放监测技术导则</w:t>
      </w:r>
      <w:r>
        <w:rPr>
          <w:rFonts w:hint="eastAsia" w:ascii="宋体" w:hAnsi="宋体"/>
          <w:sz w:val="28"/>
          <w:szCs w:val="28"/>
          <w:highlight w:val="none"/>
        </w:rPr>
        <w:t>》HJ/T 55—2000执行。</w:t>
      </w:r>
    </w:p>
    <w:p>
      <w:pPr>
        <w:pStyle w:val="22"/>
        <w:spacing w:line="240" w:lineRule="auto"/>
        <w:ind w:left="-420" w:leftChars="-200" w:firstLine="560"/>
        <w:outlineLvl w:val="1"/>
        <w:rPr>
          <w:rFonts w:ascii="宋体" w:hAnsi="宋体"/>
          <w:sz w:val="28"/>
          <w:szCs w:val="28"/>
          <w:highlight w:val="none"/>
          <w:lang w:val="en-US"/>
        </w:rPr>
      </w:pPr>
      <w:r>
        <w:rPr>
          <w:rFonts w:hint="eastAsia" w:ascii="宋体" w:hAnsi="宋体"/>
          <w:sz w:val="28"/>
          <w:szCs w:val="28"/>
          <w:highlight w:val="none"/>
        </w:rPr>
        <w:t>3.3、</w:t>
      </w:r>
      <w:r>
        <w:rPr>
          <w:rFonts w:hint="eastAsia" w:ascii="宋体" w:hAnsi="宋体"/>
          <w:sz w:val="28"/>
          <w:szCs w:val="28"/>
          <w:highlight w:val="none"/>
          <w:lang w:val="en-US"/>
        </w:rPr>
        <w:t>地表水与废气的保存方法</w:t>
      </w:r>
    </w:p>
    <w:tbl>
      <w:tblPr>
        <w:tblStyle w:val="12"/>
        <w:tblW w:w="8100" w:type="dxa"/>
        <w:tblInd w:w="93" w:type="dxa"/>
        <w:tblLayout w:type="autofit"/>
        <w:tblCellMar>
          <w:top w:w="0" w:type="dxa"/>
          <w:left w:w="108" w:type="dxa"/>
          <w:bottom w:w="0" w:type="dxa"/>
          <w:right w:w="108" w:type="dxa"/>
        </w:tblCellMar>
      </w:tblPr>
      <w:tblGrid>
        <w:gridCol w:w="1796"/>
        <w:gridCol w:w="2391"/>
        <w:gridCol w:w="3913"/>
      </w:tblGrid>
      <w:tr>
        <w:tblPrEx>
          <w:tblCellMar>
            <w:top w:w="0" w:type="dxa"/>
            <w:left w:w="108" w:type="dxa"/>
            <w:bottom w:w="0" w:type="dxa"/>
            <w:right w:w="108" w:type="dxa"/>
          </w:tblCellMar>
        </w:tblPrEx>
        <w:trPr>
          <w:trHeight w:val="285" w:hRule="atLeast"/>
        </w:trPr>
        <w:tc>
          <w:tcPr>
            <w:tcW w:w="1796" w:type="dxa"/>
            <w:tcBorders>
              <w:top w:val="single" w:color="000000" w:sz="8" w:space="0"/>
              <w:left w:val="single" w:color="000000" w:sz="8" w:space="0"/>
              <w:bottom w:val="nil"/>
              <w:right w:val="single" w:color="000000" w:sz="8" w:space="0"/>
            </w:tcBorders>
            <w:shd w:val="clear" w:color="auto" w:fill="auto"/>
            <w:vAlign w:val="center"/>
          </w:tcPr>
          <w:p>
            <w:pPr>
              <w:widowControl/>
              <w:jc w:val="center"/>
              <w:textAlignment w:val="center"/>
              <w:rPr>
                <w:rFonts w:ascii="宋体" w:hAnsi="宋体" w:eastAsia="宋体" w:cs="宋体"/>
                <w:color w:val="000000"/>
                <w:sz w:val="24"/>
                <w:szCs w:val="24"/>
                <w:highlight w:val="none"/>
              </w:rPr>
            </w:pPr>
            <w:r>
              <w:rPr>
                <w:rFonts w:hint="eastAsia" w:ascii="宋体" w:hAnsi="宋体" w:eastAsia="宋体" w:cs="宋体"/>
                <w:color w:val="000000"/>
                <w:kern w:val="0"/>
                <w:sz w:val="24"/>
                <w:szCs w:val="24"/>
                <w:highlight w:val="none"/>
              </w:rPr>
              <w:t>样品类别</w:t>
            </w:r>
          </w:p>
        </w:tc>
        <w:tc>
          <w:tcPr>
            <w:tcW w:w="2391" w:type="dxa"/>
            <w:tcBorders>
              <w:top w:val="single" w:color="000000" w:sz="8" w:space="0"/>
              <w:left w:val="single" w:color="000000" w:sz="8" w:space="0"/>
              <w:bottom w:val="nil"/>
              <w:right w:val="single" w:color="000000" w:sz="8" w:space="0"/>
            </w:tcBorders>
            <w:shd w:val="clear" w:color="auto" w:fill="auto"/>
            <w:vAlign w:val="center"/>
          </w:tcPr>
          <w:p>
            <w:pPr>
              <w:widowControl/>
              <w:ind w:firstLine="480" w:firstLineChars="200"/>
              <w:jc w:val="center"/>
              <w:textAlignment w:val="center"/>
              <w:rPr>
                <w:rFonts w:ascii="宋体" w:hAnsi="宋体" w:eastAsia="宋体" w:cs="宋体"/>
                <w:color w:val="000000"/>
                <w:sz w:val="24"/>
                <w:szCs w:val="24"/>
                <w:highlight w:val="none"/>
              </w:rPr>
            </w:pPr>
            <w:r>
              <w:rPr>
                <w:rFonts w:hint="eastAsia" w:ascii="宋体" w:hAnsi="宋体" w:eastAsia="宋体" w:cs="宋体"/>
                <w:color w:val="000000"/>
                <w:kern w:val="0"/>
                <w:sz w:val="24"/>
                <w:szCs w:val="24"/>
                <w:highlight w:val="none"/>
              </w:rPr>
              <w:t>检测项目</w:t>
            </w:r>
          </w:p>
        </w:tc>
        <w:tc>
          <w:tcPr>
            <w:tcW w:w="3913" w:type="dxa"/>
            <w:tcBorders>
              <w:top w:val="single" w:color="000000" w:sz="8" w:space="0"/>
              <w:left w:val="single" w:color="000000" w:sz="8" w:space="0"/>
              <w:bottom w:val="nil"/>
              <w:right w:val="single" w:color="000000" w:sz="8" w:space="0"/>
            </w:tcBorders>
            <w:shd w:val="clear" w:color="auto" w:fill="auto"/>
          </w:tcPr>
          <w:p>
            <w:pPr>
              <w:widowControl/>
              <w:ind w:firstLine="480" w:firstLineChars="200"/>
              <w:jc w:val="center"/>
              <w:textAlignment w:val="top"/>
              <w:rPr>
                <w:rFonts w:ascii="宋体" w:hAnsi="宋体" w:eastAsia="宋体" w:cs="宋体"/>
                <w:color w:val="000000"/>
                <w:sz w:val="24"/>
                <w:szCs w:val="24"/>
                <w:highlight w:val="none"/>
              </w:rPr>
            </w:pPr>
            <w:r>
              <w:rPr>
                <w:rFonts w:hint="eastAsia" w:ascii="宋体" w:hAnsi="宋体" w:eastAsia="宋体" w:cs="宋体"/>
                <w:color w:val="000000"/>
                <w:kern w:val="0"/>
                <w:sz w:val="24"/>
                <w:szCs w:val="24"/>
                <w:highlight w:val="none"/>
              </w:rPr>
              <w:t>保存方式</w:t>
            </w:r>
          </w:p>
        </w:tc>
      </w:tr>
      <w:tr>
        <w:tblPrEx>
          <w:tblCellMar>
            <w:top w:w="0" w:type="dxa"/>
            <w:left w:w="108" w:type="dxa"/>
            <w:bottom w:w="0" w:type="dxa"/>
            <w:right w:w="108" w:type="dxa"/>
          </w:tblCellMar>
        </w:tblPrEx>
        <w:trPr>
          <w:trHeight w:val="285" w:hRule="atLeast"/>
        </w:trPr>
        <w:tc>
          <w:tcPr>
            <w:tcW w:w="179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szCs w:val="24"/>
                <w:highlight w:val="none"/>
              </w:rPr>
            </w:pPr>
            <w:r>
              <w:rPr>
                <w:rFonts w:hint="eastAsia" w:ascii="宋体" w:hAnsi="宋体" w:eastAsia="宋体" w:cs="宋体"/>
                <w:color w:val="000000"/>
                <w:kern w:val="0"/>
                <w:sz w:val="24"/>
                <w:szCs w:val="24"/>
                <w:highlight w:val="none"/>
              </w:rPr>
              <w:t>地表水</w:t>
            </w:r>
          </w:p>
        </w:tc>
        <w:tc>
          <w:tcPr>
            <w:tcW w:w="239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480" w:firstLineChars="200"/>
              <w:jc w:val="center"/>
              <w:textAlignment w:val="center"/>
              <w:rPr>
                <w:rFonts w:ascii="宋体" w:hAnsi="宋体" w:eastAsia="宋体" w:cs="宋体"/>
                <w:color w:val="000000"/>
                <w:sz w:val="24"/>
                <w:szCs w:val="24"/>
                <w:highlight w:val="none"/>
              </w:rPr>
            </w:pPr>
            <w:r>
              <w:rPr>
                <w:rFonts w:hint="eastAsia" w:ascii="宋体" w:hAnsi="宋体" w:eastAsia="宋体" w:cs="宋体"/>
                <w:color w:val="000000"/>
                <w:kern w:val="0"/>
                <w:sz w:val="24"/>
                <w:szCs w:val="24"/>
                <w:highlight w:val="none"/>
              </w:rPr>
              <w:t>PH值</w:t>
            </w:r>
          </w:p>
        </w:tc>
        <w:tc>
          <w:tcPr>
            <w:tcW w:w="3913" w:type="dxa"/>
            <w:tcBorders>
              <w:top w:val="single" w:color="000000" w:sz="4" w:space="0"/>
              <w:left w:val="single" w:color="000000" w:sz="4" w:space="0"/>
              <w:bottom w:val="single" w:color="000000" w:sz="4" w:space="0"/>
              <w:right w:val="single" w:color="000000" w:sz="4" w:space="0"/>
            </w:tcBorders>
            <w:shd w:val="clear" w:color="auto" w:fill="auto"/>
          </w:tcPr>
          <w:p>
            <w:pPr>
              <w:widowControl/>
              <w:ind w:firstLine="480" w:firstLineChars="200"/>
              <w:jc w:val="center"/>
              <w:textAlignment w:val="top"/>
              <w:rPr>
                <w:rFonts w:ascii="宋体" w:hAnsi="宋体" w:eastAsia="宋体" w:cs="宋体"/>
                <w:color w:val="000000"/>
                <w:sz w:val="24"/>
                <w:szCs w:val="24"/>
                <w:highlight w:val="none"/>
              </w:rPr>
            </w:pPr>
            <w:r>
              <w:rPr>
                <w:rFonts w:hint="eastAsia" w:ascii="宋体" w:hAnsi="宋体" w:eastAsia="宋体" w:cs="宋体"/>
                <w:color w:val="000000"/>
                <w:kern w:val="0"/>
                <w:sz w:val="24"/>
                <w:szCs w:val="24"/>
                <w:highlight w:val="none"/>
              </w:rPr>
              <w:t>采集后立即密封保存，尽量现场测定</w:t>
            </w:r>
          </w:p>
        </w:tc>
      </w:tr>
      <w:tr>
        <w:tblPrEx>
          <w:tblCellMar>
            <w:top w:w="0" w:type="dxa"/>
            <w:left w:w="108" w:type="dxa"/>
            <w:bottom w:w="0" w:type="dxa"/>
            <w:right w:w="108" w:type="dxa"/>
          </w:tblCellMar>
        </w:tblPrEx>
        <w:trPr>
          <w:trHeight w:val="285" w:hRule="atLeast"/>
        </w:trPr>
        <w:tc>
          <w:tcPr>
            <w:tcW w:w="17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480" w:firstLineChars="200"/>
              <w:jc w:val="center"/>
              <w:rPr>
                <w:rFonts w:ascii="宋体" w:hAnsi="宋体" w:eastAsia="宋体" w:cs="宋体"/>
                <w:color w:val="000000"/>
                <w:sz w:val="24"/>
                <w:szCs w:val="24"/>
                <w:highlight w:val="none"/>
              </w:rPr>
            </w:pPr>
          </w:p>
        </w:tc>
        <w:tc>
          <w:tcPr>
            <w:tcW w:w="239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480" w:firstLineChars="200"/>
              <w:jc w:val="center"/>
              <w:textAlignment w:val="center"/>
              <w:rPr>
                <w:rFonts w:ascii="宋体" w:hAnsi="宋体" w:eastAsia="宋体" w:cs="宋体"/>
                <w:color w:val="000000"/>
                <w:sz w:val="24"/>
                <w:szCs w:val="24"/>
                <w:highlight w:val="none"/>
              </w:rPr>
            </w:pPr>
            <w:r>
              <w:rPr>
                <w:rFonts w:hint="eastAsia" w:ascii="宋体" w:hAnsi="宋体" w:eastAsia="宋体" w:cs="宋体"/>
                <w:color w:val="000000"/>
                <w:kern w:val="0"/>
                <w:sz w:val="24"/>
                <w:szCs w:val="24"/>
                <w:highlight w:val="none"/>
              </w:rPr>
              <w:t>悬浮物</w:t>
            </w:r>
          </w:p>
        </w:tc>
        <w:tc>
          <w:tcPr>
            <w:tcW w:w="3913" w:type="dxa"/>
            <w:tcBorders>
              <w:top w:val="single" w:color="000000" w:sz="4" w:space="0"/>
              <w:left w:val="single" w:color="000000" w:sz="4" w:space="0"/>
              <w:bottom w:val="single" w:color="000000" w:sz="4" w:space="0"/>
              <w:right w:val="single" w:color="000000" w:sz="4" w:space="0"/>
            </w:tcBorders>
            <w:shd w:val="clear" w:color="auto" w:fill="auto"/>
          </w:tcPr>
          <w:p>
            <w:pPr>
              <w:widowControl/>
              <w:ind w:firstLine="480" w:firstLineChars="200"/>
              <w:jc w:val="center"/>
              <w:textAlignment w:val="top"/>
              <w:rPr>
                <w:rFonts w:ascii="宋体" w:hAnsi="宋体" w:eastAsia="宋体" w:cs="宋体"/>
                <w:color w:val="000000"/>
                <w:sz w:val="24"/>
                <w:szCs w:val="24"/>
                <w:highlight w:val="none"/>
              </w:rPr>
            </w:pPr>
            <w:r>
              <w:rPr>
                <w:rFonts w:hint="eastAsia" w:ascii="宋体" w:hAnsi="宋体" w:eastAsia="宋体" w:cs="宋体"/>
                <w:color w:val="000000"/>
                <w:kern w:val="0"/>
                <w:sz w:val="24"/>
                <w:szCs w:val="24"/>
                <w:highlight w:val="none"/>
              </w:rPr>
              <w:t>冷藏，避光</w:t>
            </w:r>
          </w:p>
        </w:tc>
      </w:tr>
      <w:tr>
        <w:tblPrEx>
          <w:tblCellMar>
            <w:top w:w="0" w:type="dxa"/>
            <w:left w:w="108" w:type="dxa"/>
            <w:bottom w:w="0" w:type="dxa"/>
            <w:right w:w="108" w:type="dxa"/>
          </w:tblCellMar>
        </w:tblPrEx>
        <w:trPr>
          <w:trHeight w:val="315" w:hRule="atLeast"/>
        </w:trPr>
        <w:tc>
          <w:tcPr>
            <w:tcW w:w="17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480" w:firstLineChars="200"/>
              <w:jc w:val="center"/>
              <w:rPr>
                <w:rFonts w:ascii="宋体" w:hAnsi="宋体" w:eastAsia="宋体" w:cs="宋体"/>
                <w:color w:val="000000"/>
                <w:sz w:val="24"/>
                <w:szCs w:val="24"/>
                <w:highlight w:val="none"/>
              </w:rPr>
            </w:pPr>
          </w:p>
        </w:tc>
        <w:tc>
          <w:tcPr>
            <w:tcW w:w="239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480" w:firstLineChars="200"/>
              <w:jc w:val="center"/>
              <w:textAlignment w:val="center"/>
              <w:rPr>
                <w:rFonts w:ascii="宋体" w:hAnsi="宋体" w:eastAsia="宋体" w:cs="宋体"/>
                <w:color w:val="000000"/>
                <w:sz w:val="24"/>
                <w:szCs w:val="24"/>
                <w:highlight w:val="none"/>
              </w:rPr>
            </w:pPr>
            <w:r>
              <w:rPr>
                <w:rFonts w:hint="eastAsia" w:ascii="宋体" w:hAnsi="宋体" w:eastAsia="宋体" w:cs="宋体"/>
                <w:color w:val="000000"/>
                <w:kern w:val="0"/>
                <w:sz w:val="24"/>
                <w:szCs w:val="24"/>
                <w:highlight w:val="none"/>
              </w:rPr>
              <w:t>化学需氧量</w:t>
            </w:r>
          </w:p>
        </w:tc>
        <w:tc>
          <w:tcPr>
            <w:tcW w:w="3913" w:type="dxa"/>
            <w:tcBorders>
              <w:top w:val="single" w:color="000000" w:sz="4" w:space="0"/>
              <w:left w:val="single" w:color="000000" w:sz="4" w:space="0"/>
              <w:bottom w:val="single" w:color="000000" w:sz="4" w:space="0"/>
              <w:right w:val="single" w:color="000000" w:sz="4" w:space="0"/>
            </w:tcBorders>
            <w:shd w:val="clear" w:color="auto" w:fill="auto"/>
          </w:tcPr>
          <w:p>
            <w:pPr>
              <w:widowControl/>
              <w:ind w:firstLine="480" w:firstLineChars="200"/>
              <w:jc w:val="center"/>
              <w:textAlignment w:val="top"/>
              <w:rPr>
                <w:rFonts w:ascii="宋体" w:hAnsi="宋体" w:eastAsia="宋体" w:cs="宋体"/>
                <w:color w:val="000000"/>
                <w:sz w:val="24"/>
                <w:szCs w:val="24"/>
                <w:highlight w:val="none"/>
              </w:rPr>
            </w:pPr>
            <w:r>
              <w:rPr>
                <w:rFonts w:hint="eastAsia" w:ascii="宋体" w:hAnsi="宋体" w:eastAsia="宋体" w:cs="宋体"/>
                <w:color w:val="000000"/>
                <w:kern w:val="0"/>
                <w:sz w:val="24"/>
                <w:szCs w:val="24"/>
                <w:highlight w:val="none"/>
              </w:rPr>
              <w:t>用硫酸酸化，</w:t>
            </w:r>
            <w:r>
              <w:rPr>
                <w:rFonts w:ascii="Calibri" w:hAnsi="Calibri" w:eastAsia="宋体" w:cs="Calibri"/>
                <w:color w:val="000000"/>
                <w:kern w:val="0"/>
                <w:sz w:val="24"/>
                <w:szCs w:val="24"/>
                <w:highlight w:val="none"/>
              </w:rPr>
              <w:t>pH</w:t>
            </w:r>
            <w:r>
              <w:rPr>
                <w:rFonts w:hint="eastAsia" w:ascii="宋体" w:hAnsi="宋体" w:eastAsia="宋体" w:cs="宋体"/>
                <w:color w:val="000000"/>
                <w:kern w:val="0"/>
                <w:sz w:val="24"/>
                <w:szCs w:val="24"/>
                <w:highlight w:val="none"/>
              </w:rPr>
              <w:t>≤</w:t>
            </w:r>
            <w:r>
              <w:rPr>
                <w:rFonts w:ascii="Calibri" w:hAnsi="Calibri" w:eastAsia="宋体" w:cs="Calibri"/>
                <w:color w:val="000000"/>
                <w:kern w:val="0"/>
                <w:sz w:val="24"/>
                <w:szCs w:val="24"/>
                <w:highlight w:val="none"/>
              </w:rPr>
              <w:t>2</w:t>
            </w:r>
          </w:p>
        </w:tc>
      </w:tr>
      <w:tr>
        <w:tblPrEx>
          <w:tblCellMar>
            <w:top w:w="0" w:type="dxa"/>
            <w:left w:w="108" w:type="dxa"/>
            <w:bottom w:w="0" w:type="dxa"/>
            <w:right w:w="108" w:type="dxa"/>
          </w:tblCellMar>
        </w:tblPrEx>
        <w:trPr>
          <w:trHeight w:val="315" w:hRule="atLeast"/>
        </w:trPr>
        <w:tc>
          <w:tcPr>
            <w:tcW w:w="17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480" w:firstLineChars="200"/>
              <w:jc w:val="center"/>
              <w:rPr>
                <w:rFonts w:ascii="宋体" w:hAnsi="宋体" w:eastAsia="宋体" w:cs="宋体"/>
                <w:color w:val="000000"/>
                <w:sz w:val="24"/>
                <w:szCs w:val="24"/>
                <w:highlight w:val="none"/>
              </w:rPr>
            </w:pPr>
          </w:p>
        </w:tc>
        <w:tc>
          <w:tcPr>
            <w:tcW w:w="239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480" w:firstLineChars="200"/>
              <w:jc w:val="center"/>
              <w:textAlignment w:val="center"/>
              <w:rPr>
                <w:rFonts w:ascii="宋体" w:hAnsi="宋体" w:eastAsia="宋体" w:cs="宋体"/>
                <w:color w:val="000000"/>
                <w:sz w:val="24"/>
                <w:szCs w:val="24"/>
                <w:highlight w:val="none"/>
              </w:rPr>
            </w:pPr>
            <w:r>
              <w:rPr>
                <w:rFonts w:hint="eastAsia" w:ascii="宋体" w:hAnsi="宋体" w:eastAsia="宋体" w:cs="宋体"/>
                <w:color w:val="000000"/>
                <w:kern w:val="0"/>
                <w:sz w:val="24"/>
                <w:szCs w:val="24"/>
                <w:highlight w:val="none"/>
              </w:rPr>
              <w:t>五日生化需氧量</w:t>
            </w:r>
          </w:p>
        </w:tc>
        <w:tc>
          <w:tcPr>
            <w:tcW w:w="3913" w:type="dxa"/>
            <w:tcBorders>
              <w:top w:val="single" w:color="000000" w:sz="4" w:space="0"/>
              <w:left w:val="single" w:color="000000" w:sz="4" w:space="0"/>
              <w:bottom w:val="single" w:color="000000" w:sz="4" w:space="0"/>
              <w:right w:val="single" w:color="000000" w:sz="4" w:space="0"/>
            </w:tcBorders>
            <w:shd w:val="clear" w:color="auto" w:fill="auto"/>
          </w:tcPr>
          <w:p>
            <w:pPr>
              <w:widowControl/>
              <w:ind w:firstLine="480" w:firstLineChars="200"/>
              <w:jc w:val="center"/>
              <w:textAlignment w:val="top"/>
              <w:rPr>
                <w:rFonts w:ascii="Calibri" w:hAnsi="Calibri" w:eastAsia="宋体" w:cs="Calibri"/>
                <w:color w:val="000000"/>
                <w:sz w:val="24"/>
                <w:szCs w:val="24"/>
                <w:highlight w:val="none"/>
              </w:rPr>
            </w:pPr>
            <w:r>
              <w:rPr>
                <w:rFonts w:ascii="Calibri" w:hAnsi="Calibri" w:eastAsia="宋体" w:cs="Calibri"/>
                <w:color w:val="000000"/>
                <w:kern w:val="0"/>
                <w:sz w:val="24"/>
                <w:szCs w:val="24"/>
                <w:highlight w:val="none"/>
              </w:rPr>
              <w:t>1</w:t>
            </w:r>
            <w:r>
              <w:rPr>
                <w:rFonts w:hint="eastAsia" w:ascii="宋体" w:hAnsi="宋体" w:eastAsia="宋体" w:cs="宋体"/>
                <w:color w:val="000000"/>
                <w:kern w:val="0"/>
                <w:sz w:val="24"/>
                <w:szCs w:val="24"/>
                <w:highlight w:val="none"/>
              </w:rPr>
              <w:t>～</w:t>
            </w:r>
            <w:r>
              <w:rPr>
                <w:rFonts w:ascii="Calibri" w:hAnsi="Calibri" w:eastAsia="宋体" w:cs="Calibri"/>
                <w:color w:val="000000"/>
                <w:kern w:val="0"/>
                <w:sz w:val="24"/>
                <w:szCs w:val="24"/>
                <w:highlight w:val="none"/>
              </w:rPr>
              <w:t>5</w:t>
            </w:r>
            <w:r>
              <w:rPr>
                <w:rFonts w:hint="eastAsia" w:ascii="宋体" w:hAnsi="宋体" w:eastAsia="宋体" w:cs="宋体"/>
                <w:color w:val="000000"/>
                <w:kern w:val="0"/>
                <w:sz w:val="24"/>
                <w:szCs w:val="24"/>
                <w:highlight w:val="none"/>
              </w:rPr>
              <w:t>℃暗处冷藏</w:t>
            </w:r>
          </w:p>
        </w:tc>
      </w:tr>
      <w:tr>
        <w:tblPrEx>
          <w:tblCellMar>
            <w:top w:w="0" w:type="dxa"/>
            <w:left w:w="108" w:type="dxa"/>
            <w:bottom w:w="0" w:type="dxa"/>
            <w:right w:w="108" w:type="dxa"/>
          </w:tblCellMar>
        </w:tblPrEx>
        <w:trPr>
          <w:trHeight w:val="315" w:hRule="atLeast"/>
        </w:trPr>
        <w:tc>
          <w:tcPr>
            <w:tcW w:w="17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480" w:firstLineChars="200"/>
              <w:jc w:val="center"/>
              <w:rPr>
                <w:rFonts w:ascii="宋体" w:hAnsi="宋体" w:eastAsia="宋体" w:cs="宋体"/>
                <w:color w:val="000000"/>
                <w:sz w:val="24"/>
                <w:szCs w:val="24"/>
                <w:highlight w:val="none"/>
              </w:rPr>
            </w:pPr>
          </w:p>
        </w:tc>
        <w:tc>
          <w:tcPr>
            <w:tcW w:w="239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480" w:firstLineChars="200"/>
              <w:jc w:val="center"/>
              <w:textAlignment w:val="center"/>
              <w:rPr>
                <w:rFonts w:ascii="宋体" w:hAnsi="宋体" w:eastAsia="宋体" w:cs="宋体"/>
                <w:color w:val="000000"/>
                <w:sz w:val="24"/>
                <w:szCs w:val="24"/>
                <w:highlight w:val="none"/>
              </w:rPr>
            </w:pPr>
            <w:r>
              <w:rPr>
                <w:rFonts w:hint="eastAsia" w:ascii="宋体" w:hAnsi="宋体" w:eastAsia="宋体" w:cs="宋体"/>
                <w:color w:val="000000"/>
                <w:kern w:val="0"/>
                <w:sz w:val="24"/>
                <w:szCs w:val="24"/>
                <w:highlight w:val="none"/>
              </w:rPr>
              <w:t>氨氮</w:t>
            </w:r>
          </w:p>
        </w:tc>
        <w:tc>
          <w:tcPr>
            <w:tcW w:w="3913" w:type="dxa"/>
            <w:tcBorders>
              <w:top w:val="single" w:color="000000" w:sz="4" w:space="0"/>
              <w:left w:val="single" w:color="000000" w:sz="4" w:space="0"/>
              <w:bottom w:val="single" w:color="000000" w:sz="4" w:space="0"/>
              <w:right w:val="single" w:color="000000" w:sz="4" w:space="0"/>
            </w:tcBorders>
            <w:shd w:val="clear" w:color="auto" w:fill="auto"/>
          </w:tcPr>
          <w:p>
            <w:pPr>
              <w:widowControl/>
              <w:ind w:firstLine="480" w:firstLineChars="200"/>
              <w:jc w:val="center"/>
              <w:textAlignment w:val="top"/>
              <w:rPr>
                <w:rFonts w:ascii="宋体" w:hAnsi="宋体" w:eastAsia="宋体" w:cs="宋体"/>
                <w:color w:val="000000"/>
                <w:sz w:val="24"/>
                <w:szCs w:val="24"/>
                <w:highlight w:val="none"/>
              </w:rPr>
            </w:pPr>
            <w:r>
              <w:rPr>
                <w:rFonts w:hint="eastAsia" w:ascii="宋体" w:hAnsi="宋体" w:eastAsia="宋体" w:cs="宋体"/>
                <w:color w:val="000000"/>
                <w:kern w:val="0"/>
                <w:sz w:val="24"/>
                <w:szCs w:val="24"/>
                <w:highlight w:val="none"/>
              </w:rPr>
              <w:t>用硫酸酸化，</w:t>
            </w:r>
            <w:r>
              <w:rPr>
                <w:rFonts w:ascii="Calibri" w:hAnsi="Calibri" w:eastAsia="宋体" w:cs="Calibri"/>
                <w:color w:val="000000"/>
                <w:kern w:val="0"/>
                <w:sz w:val="24"/>
                <w:szCs w:val="24"/>
                <w:highlight w:val="none"/>
              </w:rPr>
              <w:t>pH</w:t>
            </w:r>
            <w:r>
              <w:rPr>
                <w:rFonts w:hint="eastAsia" w:ascii="宋体" w:hAnsi="宋体" w:eastAsia="宋体" w:cs="宋体"/>
                <w:color w:val="000000"/>
                <w:kern w:val="0"/>
                <w:sz w:val="24"/>
                <w:szCs w:val="24"/>
                <w:highlight w:val="none"/>
              </w:rPr>
              <w:t>≤</w:t>
            </w:r>
            <w:r>
              <w:rPr>
                <w:rFonts w:ascii="Calibri" w:hAnsi="Calibri" w:eastAsia="宋体" w:cs="Calibri"/>
                <w:color w:val="000000"/>
                <w:kern w:val="0"/>
                <w:sz w:val="24"/>
                <w:szCs w:val="24"/>
                <w:highlight w:val="none"/>
              </w:rPr>
              <w:t>2</w:t>
            </w:r>
          </w:p>
        </w:tc>
      </w:tr>
      <w:tr>
        <w:tblPrEx>
          <w:tblCellMar>
            <w:top w:w="0" w:type="dxa"/>
            <w:left w:w="108" w:type="dxa"/>
            <w:bottom w:w="0" w:type="dxa"/>
            <w:right w:w="108" w:type="dxa"/>
          </w:tblCellMar>
        </w:tblPrEx>
        <w:trPr>
          <w:trHeight w:val="315" w:hRule="atLeast"/>
        </w:trPr>
        <w:tc>
          <w:tcPr>
            <w:tcW w:w="17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480" w:firstLineChars="200"/>
              <w:jc w:val="center"/>
              <w:rPr>
                <w:rFonts w:ascii="宋体" w:hAnsi="宋体" w:eastAsia="宋体" w:cs="宋体"/>
                <w:color w:val="000000"/>
                <w:sz w:val="24"/>
                <w:szCs w:val="24"/>
                <w:highlight w:val="none"/>
              </w:rPr>
            </w:pPr>
          </w:p>
        </w:tc>
        <w:tc>
          <w:tcPr>
            <w:tcW w:w="239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480" w:firstLineChars="200"/>
              <w:jc w:val="center"/>
              <w:textAlignment w:val="center"/>
              <w:rPr>
                <w:rFonts w:ascii="宋体" w:hAnsi="宋体" w:eastAsia="宋体" w:cs="宋体"/>
                <w:color w:val="000000"/>
                <w:sz w:val="24"/>
                <w:szCs w:val="24"/>
                <w:highlight w:val="none"/>
              </w:rPr>
            </w:pPr>
            <w:r>
              <w:rPr>
                <w:rFonts w:hint="eastAsia" w:ascii="宋体" w:hAnsi="宋体" w:eastAsia="宋体" w:cs="宋体"/>
                <w:color w:val="000000"/>
                <w:kern w:val="0"/>
                <w:sz w:val="24"/>
                <w:szCs w:val="24"/>
                <w:highlight w:val="none"/>
              </w:rPr>
              <w:t>总磷</w:t>
            </w:r>
          </w:p>
        </w:tc>
        <w:tc>
          <w:tcPr>
            <w:tcW w:w="3913" w:type="dxa"/>
            <w:tcBorders>
              <w:top w:val="single" w:color="000000" w:sz="4" w:space="0"/>
              <w:left w:val="single" w:color="000000" w:sz="4" w:space="0"/>
              <w:bottom w:val="single" w:color="000000" w:sz="4" w:space="0"/>
              <w:right w:val="single" w:color="000000" w:sz="4" w:space="0"/>
            </w:tcBorders>
            <w:shd w:val="clear" w:color="auto" w:fill="auto"/>
          </w:tcPr>
          <w:p>
            <w:pPr>
              <w:widowControl/>
              <w:ind w:firstLine="480" w:firstLineChars="200"/>
              <w:jc w:val="center"/>
              <w:textAlignment w:val="top"/>
              <w:rPr>
                <w:rFonts w:ascii="宋体" w:hAnsi="宋体" w:eastAsia="宋体" w:cs="宋体"/>
                <w:color w:val="000000"/>
                <w:sz w:val="24"/>
                <w:szCs w:val="24"/>
                <w:highlight w:val="none"/>
              </w:rPr>
            </w:pPr>
            <w:r>
              <w:rPr>
                <w:rFonts w:hint="eastAsia" w:ascii="宋体" w:hAnsi="宋体" w:eastAsia="宋体" w:cs="宋体"/>
                <w:color w:val="000000"/>
                <w:kern w:val="0"/>
                <w:sz w:val="24"/>
                <w:szCs w:val="24"/>
                <w:highlight w:val="none"/>
              </w:rPr>
              <w:t>用硫酸酸化，盐酸酸化至</w:t>
            </w:r>
            <w:r>
              <w:rPr>
                <w:rFonts w:ascii="Calibri" w:hAnsi="Calibri" w:eastAsia="宋体" w:cs="Calibri"/>
                <w:color w:val="000000"/>
                <w:kern w:val="0"/>
                <w:sz w:val="24"/>
                <w:szCs w:val="24"/>
                <w:highlight w:val="none"/>
              </w:rPr>
              <w:t>pH</w:t>
            </w:r>
            <w:r>
              <w:rPr>
                <w:rFonts w:hint="eastAsia" w:ascii="宋体" w:hAnsi="宋体" w:eastAsia="宋体" w:cs="宋体"/>
                <w:color w:val="000000"/>
                <w:kern w:val="0"/>
                <w:sz w:val="24"/>
                <w:szCs w:val="24"/>
                <w:highlight w:val="none"/>
              </w:rPr>
              <w:t>≤</w:t>
            </w:r>
            <w:r>
              <w:rPr>
                <w:rFonts w:ascii="Calibri" w:hAnsi="Calibri" w:eastAsia="宋体" w:cs="Calibri"/>
                <w:color w:val="000000"/>
                <w:kern w:val="0"/>
                <w:sz w:val="24"/>
                <w:szCs w:val="24"/>
                <w:highlight w:val="none"/>
              </w:rPr>
              <w:t>2</w:t>
            </w:r>
          </w:p>
        </w:tc>
      </w:tr>
      <w:tr>
        <w:tblPrEx>
          <w:tblCellMar>
            <w:top w:w="0" w:type="dxa"/>
            <w:left w:w="108" w:type="dxa"/>
            <w:bottom w:w="0" w:type="dxa"/>
            <w:right w:w="108" w:type="dxa"/>
          </w:tblCellMar>
        </w:tblPrEx>
        <w:trPr>
          <w:trHeight w:val="315" w:hRule="atLeast"/>
        </w:trPr>
        <w:tc>
          <w:tcPr>
            <w:tcW w:w="17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480" w:firstLineChars="200"/>
              <w:jc w:val="center"/>
              <w:rPr>
                <w:rFonts w:ascii="宋体" w:hAnsi="宋体" w:eastAsia="宋体" w:cs="宋体"/>
                <w:color w:val="000000"/>
                <w:sz w:val="24"/>
                <w:szCs w:val="24"/>
                <w:highlight w:val="none"/>
              </w:rPr>
            </w:pPr>
          </w:p>
        </w:tc>
        <w:tc>
          <w:tcPr>
            <w:tcW w:w="239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480" w:firstLineChars="200"/>
              <w:jc w:val="center"/>
              <w:textAlignment w:val="center"/>
              <w:rPr>
                <w:rFonts w:ascii="宋体" w:hAnsi="宋体" w:eastAsia="宋体" w:cs="宋体"/>
                <w:color w:val="000000"/>
                <w:sz w:val="24"/>
                <w:szCs w:val="24"/>
                <w:highlight w:val="none"/>
              </w:rPr>
            </w:pPr>
            <w:r>
              <w:rPr>
                <w:rFonts w:hint="eastAsia" w:ascii="宋体" w:hAnsi="宋体" w:eastAsia="宋体" w:cs="宋体"/>
                <w:color w:val="000000"/>
                <w:kern w:val="0"/>
                <w:sz w:val="24"/>
                <w:szCs w:val="24"/>
                <w:highlight w:val="none"/>
              </w:rPr>
              <w:t>总氮</w:t>
            </w:r>
          </w:p>
        </w:tc>
        <w:tc>
          <w:tcPr>
            <w:tcW w:w="3913" w:type="dxa"/>
            <w:tcBorders>
              <w:top w:val="single" w:color="000000" w:sz="4" w:space="0"/>
              <w:left w:val="single" w:color="000000" w:sz="4" w:space="0"/>
              <w:bottom w:val="single" w:color="000000" w:sz="4" w:space="0"/>
              <w:right w:val="single" w:color="000000" w:sz="4" w:space="0"/>
            </w:tcBorders>
            <w:shd w:val="clear" w:color="auto" w:fill="auto"/>
          </w:tcPr>
          <w:p>
            <w:pPr>
              <w:widowControl/>
              <w:ind w:firstLine="480" w:firstLineChars="200"/>
              <w:jc w:val="center"/>
              <w:textAlignment w:val="top"/>
              <w:rPr>
                <w:rFonts w:ascii="宋体" w:hAnsi="宋体" w:eastAsia="宋体" w:cs="宋体"/>
                <w:color w:val="000000"/>
                <w:sz w:val="24"/>
                <w:szCs w:val="24"/>
                <w:highlight w:val="none"/>
              </w:rPr>
            </w:pPr>
            <w:r>
              <w:rPr>
                <w:rFonts w:hint="eastAsia" w:ascii="宋体" w:hAnsi="宋体" w:eastAsia="宋体" w:cs="宋体"/>
                <w:color w:val="000000"/>
                <w:kern w:val="0"/>
                <w:sz w:val="24"/>
                <w:szCs w:val="24"/>
                <w:highlight w:val="none"/>
              </w:rPr>
              <w:t>用硫酸酸化，</w:t>
            </w:r>
            <w:r>
              <w:rPr>
                <w:rFonts w:ascii="Calibri" w:hAnsi="Calibri" w:eastAsia="宋体" w:cs="Calibri"/>
                <w:color w:val="000000"/>
                <w:kern w:val="0"/>
                <w:sz w:val="24"/>
                <w:szCs w:val="24"/>
                <w:highlight w:val="none"/>
              </w:rPr>
              <w:t>pH 1</w:t>
            </w:r>
            <w:r>
              <w:rPr>
                <w:rFonts w:hint="eastAsia" w:ascii="宋体" w:hAnsi="宋体" w:eastAsia="宋体" w:cs="宋体"/>
                <w:color w:val="000000"/>
                <w:kern w:val="0"/>
                <w:sz w:val="24"/>
                <w:szCs w:val="24"/>
                <w:highlight w:val="none"/>
              </w:rPr>
              <w:t>～</w:t>
            </w:r>
            <w:r>
              <w:rPr>
                <w:rFonts w:ascii="Calibri" w:hAnsi="Calibri" w:eastAsia="宋体" w:cs="Calibri"/>
                <w:color w:val="000000"/>
                <w:kern w:val="0"/>
                <w:sz w:val="24"/>
                <w:szCs w:val="24"/>
                <w:highlight w:val="none"/>
              </w:rPr>
              <w:t>2</w:t>
            </w:r>
          </w:p>
        </w:tc>
      </w:tr>
      <w:tr>
        <w:tblPrEx>
          <w:tblCellMar>
            <w:top w:w="0" w:type="dxa"/>
            <w:left w:w="108" w:type="dxa"/>
            <w:bottom w:w="0" w:type="dxa"/>
            <w:right w:w="108" w:type="dxa"/>
          </w:tblCellMar>
        </w:tblPrEx>
        <w:trPr>
          <w:trHeight w:val="315" w:hRule="atLeast"/>
        </w:trPr>
        <w:tc>
          <w:tcPr>
            <w:tcW w:w="17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480" w:firstLineChars="200"/>
              <w:jc w:val="center"/>
              <w:rPr>
                <w:rFonts w:ascii="宋体" w:hAnsi="宋体" w:eastAsia="宋体" w:cs="宋体"/>
                <w:color w:val="000000"/>
                <w:sz w:val="24"/>
                <w:szCs w:val="24"/>
                <w:highlight w:val="none"/>
              </w:rPr>
            </w:pPr>
          </w:p>
        </w:tc>
        <w:tc>
          <w:tcPr>
            <w:tcW w:w="239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480" w:firstLineChars="200"/>
              <w:jc w:val="center"/>
              <w:textAlignment w:val="center"/>
              <w:rPr>
                <w:rFonts w:ascii="宋体" w:hAnsi="宋体" w:eastAsia="宋体" w:cs="宋体"/>
                <w:color w:val="000000"/>
                <w:sz w:val="24"/>
                <w:szCs w:val="24"/>
                <w:highlight w:val="none"/>
              </w:rPr>
            </w:pPr>
            <w:r>
              <w:rPr>
                <w:rFonts w:hint="eastAsia" w:ascii="宋体" w:hAnsi="宋体" w:eastAsia="宋体" w:cs="宋体"/>
                <w:color w:val="000000"/>
                <w:kern w:val="0"/>
                <w:sz w:val="24"/>
                <w:szCs w:val="24"/>
                <w:highlight w:val="none"/>
              </w:rPr>
              <w:t>石油类</w:t>
            </w:r>
          </w:p>
        </w:tc>
        <w:tc>
          <w:tcPr>
            <w:tcW w:w="3913" w:type="dxa"/>
            <w:tcBorders>
              <w:top w:val="single" w:color="000000" w:sz="4" w:space="0"/>
              <w:left w:val="single" w:color="000000" w:sz="4" w:space="0"/>
              <w:bottom w:val="single" w:color="000000" w:sz="4" w:space="0"/>
              <w:right w:val="single" w:color="000000" w:sz="4" w:space="0"/>
            </w:tcBorders>
            <w:shd w:val="clear" w:color="auto" w:fill="auto"/>
          </w:tcPr>
          <w:p>
            <w:pPr>
              <w:widowControl/>
              <w:ind w:firstLine="480" w:firstLineChars="200"/>
              <w:jc w:val="center"/>
              <w:textAlignment w:val="top"/>
              <w:rPr>
                <w:rFonts w:ascii="宋体" w:hAnsi="宋体" w:eastAsia="宋体" w:cs="宋体"/>
                <w:color w:val="000000"/>
                <w:sz w:val="24"/>
                <w:szCs w:val="24"/>
                <w:highlight w:val="none"/>
              </w:rPr>
            </w:pPr>
            <w:r>
              <w:rPr>
                <w:rFonts w:hint="eastAsia" w:ascii="宋体" w:hAnsi="宋体" w:eastAsia="宋体" w:cs="宋体"/>
                <w:color w:val="000000"/>
                <w:kern w:val="0"/>
                <w:sz w:val="24"/>
                <w:szCs w:val="24"/>
                <w:highlight w:val="none"/>
              </w:rPr>
              <w:t xml:space="preserve">用 盐酸 酸化至 </w:t>
            </w:r>
            <w:r>
              <w:rPr>
                <w:rFonts w:ascii="Calibri" w:hAnsi="Calibri" w:eastAsia="宋体" w:cs="Calibri"/>
                <w:color w:val="000000"/>
                <w:kern w:val="0"/>
                <w:sz w:val="24"/>
                <w:szCs w:val="24"/>
                <w:highlight w:val="none"/>
              </w:rPr>
              <w:t>pH</w:t>
            </w:r>
            <w:r>
              <w:rPr>
                <w:rFonts w:hint="eastAsia" w:ascii="宋体" w:hAnsi="宋体" w:eastAsia="宋体" w:cs="宋体"/>
                <w:color w:val="000000"/>
                <w:kern w:val="0"/>
                <w:sz w:val="24"/>
                <w:szCs w:val="24"/>
                <w:highlight w:val="none"/>
              </w:rPr>
              <w:t>≤</w:t>
            </w:r>
            <w:r>
              <w:rPr>
                <w:rFonts w:ascii="Calibri" w:hAnsi="Calibri" w:eastAsia="宋体" w:cs="Calibri"/>
                <w:color w:val="000000"/>
                <w:kern w:val="0"/>
                <w:sz w:val="24"/>
                <w:szCs w:val="24"/>
                <w:highlight w:val="none"/>
              </w:rPr>
              <w:t>2</w:t>
            </w:r>
          </w:p>
        </w:tc>
      </w:tr>
      <w:tr>
        <w:tblPrEx>
          <w:tblCellMar>
            <w:top w:w="0" w:type="dxa"/>
            <w:left w:w="108" w:type="dxa"/>
            <w:bottom w:w="0" w:type="dxa"/>
            <w:right w:w="108" w:type="dxa"/>
          </w:tblCellMar>
        </w:tblPrEx>
        <w:trPr>
          <w:trHeight w:val="285" w:hRule="atLeast"/>
        </w:trPr>
        <w:tc>
          <w:tcPr>
            <w:tcW w:w="17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480" w:firstLineChars="200"/>
              <w:jc w:val="center"/>
              <w:rPr>
                <w:rFonts w:ascii="宋体" w:hAnsi="宋体" w:eastAsia="宋体" w:cs="宋体"/>
                <w:color w:val="000000"/>
                <w:sz w:val="24"/>
                <w:szCs w:val="24"/>
                <w:highlight w:val="none"/>
              </w:rPr>
            </w:pPr>
          </w:p>
        </w:tc>
        <w:tc>
          <w:tcPr>
            <w:tcW w:w="239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480" w:firstLineChars="200"/>
              <w:jc w:val="center"/>
              <w:textAlignment w:val="center"/>
              <w:rPr>
                <w:rFonts w:ascii="宋体" w:hAnsi="宋体" w:eastAsia="宋体" w:cs="宋体"/>
                <w:color w:val="000000"/>
                <w:sz w:val="24"/>
                <w:szCs w:val="24"/>
                <w:highlight w:val="none"/>
              </w:rPr>
            </w:pPr>
            <w:r>
              <w:rPr>
                <w:rFonts w:hint="eastAsia" w:ascii="宋体" w:hAnsi="宋体" w:eastAsia="宋体" w:cs="宋体"/>
                <w:color w:val="000000"/>
                <w:kern w:val="0"/>
                <w:sz w:val="24"/>
                <w:szCs w:val="24"/>
                <w:highlight w:val="none"/>
              </w:rPr>
              <w:t>余氯</w:t>
            </w:r>
          </w:p>
        </w:tc>
        <w:tc>
          <w:tcPr>
            <w:tcW w:w="3913" w:type="dxa"/>
            <w:tcBorders>
              <w:top w:val="single" w:color="000000" w:sz="4" w:space="0"/>
              <w:left w:val="single" w:color="000000" w:sz="4" w:space="0"/>
              <w:bottom w:val="single" w:color="000000" w:sz="4" w:space="0"/>
              <w:right w:val="single" w:color="000000" w:sz="4" w:space="0"/>
            </w:tcBorders>
            <w:shd w:val="clear" w:color="auto" w:fill="auto"/>
          </w:tcPr>
          <w:p>
            <w:pPr>
              <w:widowControl/>
              <w:ind w:firstLine="480" w:firstLineChars="200"/>
              <w:jc w:val="center"/>
              <w:textAlignment w:val="top"/>
              <w:rPr>
                <w:rFonts w:ascii="宋体" w:hAnsi="宋体" w:eastAsia="宋体" w:cs="宋体"/>
                <w:color w:val="000000"/>
                <w:sz w:val="24"/>
                <w:szCs w:val="24"/>
                <w:highlight w:val="none"/>
              </w:rPr>
            </w:pPr>
            <w:r>
              <w:rPr>
                <w:rFonts w:hint="eastAsia" w:ascii="宋体" w:hAnsi="宋体" w:eastAsia="宋体" w:cs="宋体"/>
                <w:color w:val="000000"/>
                <w:kern w:val="0"/>
                <w:sz w:val="24"/>
                <w:szCs w:val="24"/>
                <w:highlight w:val="none"/>
              </w:rPr>
              <w:t>避光，尽量现场测定</w:t>
            </w:r>
          </w:p>
        </w:tc>
      </w:tr>
      <w:tr>
        <w:tblPrEx>
          <w:tblCellMar>
            <w:top w:w="0" w:type="dxa"/>
            <w:left w:w="108" w:type="dxa"/>
            <w:bottom w:w="0" w:type="dxa"/>
            <w:right w:w="108" w:type="dxa"/>
          </w:tblCellMar>
        </w:tblPrEx>
        <w:trPr>
          <w:trHeight w:val="300" w:hRule="atLeast"/>
        </w:trPr>
        <w:tc>
          <w:tcPr>
            <w:tcW w:w="1796"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eastAsia="宋体" w:cs="宋体"/>
                <w:color w:val="000000"/>
                <w:sz w:val="24"/>
                <w:szCs w:val="24"/>
                <w:highlight w:val="none"/>
              </w:rPr>
            </w:pPr>
            <w:r>
              <w:rPr>
                <w:rFonts w:hint="eastAsia" w:ascii="宋体" w:hAnsi="宋体" w:eastAsia="宋体" w:cs="宋体"/>
                <w:color w:val="000000"/>
                <w:kern w:val="0"/>
                <w:sz w:val="24"/>
                <w:szCs w:val="24"/>
                <w:highlight w:val="none"/>
              </w:rPr>
              <w:t>废气</w:t>
            </w:r>
            <w:r>
              <w:rPr>
                <w:rFonts w:hint="eastAsia" w:ascii="宋体" w:hAnsi="宋体" w:eastAsia="宋体" w:cs="宋体"/>
                <w:color w:val="000000"/>
                <w:kern w:val="0"/>
                <w:sz w:val="24"/>
                <w:szCs w:val="24"/>
                <w:highlight w:val="none"/>
              </w:rPr>
              <w:br w:type="textWrapping"/>
            </w:r>
            <w:r>
              <w:rPr>
                <w:rFonts w:hint="eastAsia" w:ascii="宋体" w:hAnsi="宋体" w:eastAsia="宋体" w:cs="宋体"/>
                <w:color w:val="000000"/>
                <w:kern w:val="0"/>
                <w:sz w:val="24"/>
                <w:szCs w:val="24"/>
                <w:highlight w:val="none"/>
              </w:rPr>
              <w:t>（有组织和无组织）</w:t>
            </w:r>
          </w:p>
        </w:tc>
        <w:tc>
          <w:tcPr>
            <w:tcW w:w="2391" w:type="dxa"/>
            <w:tcBorders>
              <w:top w:val="nil"/>
              <w:left w:val="single" w:color="000000" w:sz="8" w:space="0"/>
              <w:bottom w:val="single" w:color="000000" w:sz="8" w:space="0"/>
              <w:right w:val="single" w:color="000000" w:sz="8" w:space="0"/>
            </w:tcBorders>
            <w:shd w:val="clear" w:color="auto" w:fill="auto"/>
            <w:vAlign w:val="center"/>
          </w:tcPr>
          <w:p>
            <w:pPr>
              <w:widowControl/>
              <w:ind w:firstLine="480" w:firstLineChars="200"/>
              <w:jc w:val="center"/>
              <w:textAlignment w:val="center"/>
              <w:rPr>
                <w:rFonts w:ascii="宋体" w:hAnsi="宋体" w:eastAsia="宋体" w:cs="宋体"/>
                <w:color w:val="000000"/>
                <w:sz w:val="24"/>
                <w:szCs w:val="24"/>
                <w:highlight w:val="none"/>
              </w:rPr>
            </w:pPr>
            <w:r>
              <w:rPr>
                <w:rFonts w:hint="eastAsia" w:ascii="宋体" w:hAnsi="宋体" w:eastAsia="宋体" w:cs="宋体"/>
                <w:color w:val="000000"/>
                <w:kern w:val="0"/>
                <w:sz w:val="24"/>
                <w:szCs w:val="24"/>
                <w:highlight w:val="none"/>
              </w:rPr>
              <w:t>氨</w:t>
            </w:r>
          </w:p>
        </w:tc>
        <w:tc>
          <w:tcPr>
            <w:tcW w:w="3913" w:type="dxa"/>
            <w:tcBorders>
              <w:top w:val="nil"/>
              <w:left w:val="single" w:color="000000" w:sz="8" w:space="0"/>
              <w:bottom w:val="single" w:color="000000" w:sz="8" w:space="0"/>
              <w:right w:val="single" w:color="000000" w:sz="8" w:space="0"/>
            </w:tcBorders>
            <w:shd w:val="clear" w:color="auto" w:fill="auto"/>
          </w:tcPr>
          <w:p>
            <w:pPr>
              <w:widowControl/>
              <w:ind w:firstLine="480" w:firstLineChars="200"/>
              <w:jc w:val="center"/>
              <w:textAlignment w:val="top"/>
              <w:rPr>
                <w:rFonts w:ascii="宋体" w:hAnsi="宋体" w:eastAsia="宋体" w:cs="宋体"/>
                <w:color w:val="000000"/>
                <w:sz w:val="24"/>
                <w:szCs w:val="24"/>
                <w:highlight w:val="none"/>
              </w:rPr>
            </w:pPr>
            <w:r>
              <w:rPr>
                <w:rFonts w:hint="eastAsia" w:ascii="宋体" w:hAnsi="宋体" w:eastAsia="宋体" w:cs="宋体"/>
                <w:color w:val="000000"/>
                <w:kern w:val="0"/>
                <w:sz w:val="24"/>
                <w:szCs w:val="24"/>
                <w:highlight w:val="none"/>
              </w:rPr>
              <w:t>避光，冷藏</w:t>
            </w:r>
          </w:p>
        </w:tc>
      </w:tr>
      <w:tr>
        <w:tblPrEx>
          <w:tblCellMar>
            <w:top w:w="0" w:type="dxa"/>
            <w:left w:w="108" w:type="dxa"/>
            <w:bottom w:w="0" w:type="dxa"/>
            <w:right w:w="108" w:type="dxa"/>
          </w:tblCellMar>
        </w:tblPrEx>
        <w:trPr>
          <w:trHeight w:val="300" w:hRule="atLeast"/>
        </w:trPr>
        <w:tc>
          <w:tcPr>
            <w:tcW w:w="1796" w:type="dxa"/>
            <w:vMerge w:val="continue"/>
            <w:tcBorders>
              <w:top w:val="nil"/>
              <w:left w:val="single" w:color="000000" w:sz="8" w:space="0"/>
              <w:bottom w:val="single" w:color="000000" w:sz="8" w:space="0"/>
              <w:right w:val="single" w:color="000000" w:sz="8" w:space="0"/>
            </w:tcBorders>
            <w:shd w:val="clear" w:color="auto" w:fill="auto"/>
            <w:vAlign w:val="center"/>
          </w:tcPr>
          <w:p>
            <w:pPr>
              <w:ind w:firstLine="480" w:firstLineChars="200"/>
              <w:jc w:val="center"/>
              <w:rPr>
                <w:rFonts w:ascii="宋体" w:hAnsi="宋体" w:eastAsia="宋体" w:cs="宋体"/>
                <w:color w:val="000000"/>
                <w:sz w:val="24"/>
                <w:szCs w:val="24"/>
                <w:highlight w:val="none"/>
              </w:rPr>
            </w:pPr>
          </w:p>
        </w:tc>
        <w:tc>
          <w:tcPr>
            <w:tcW w:w="2391" w:type="dxa"/>
            <w:tcBorders>
              <w:top w:val="nil"/>
              <w:left w:val="single" w:color="000000" w:sz="8" w:space="0"/>
              <w:bottom w:val="single" w:color="000000" w:sz="8" w:space="0"/>
              <w:right w:val="single" w:color="000000" w:sz="8" w:space="0"/>
            </w:tcBorders>
            <w:shd w:val="clear" w:color="auto" w:fill="auto"/>
            <w:vAlign w:val="center"/>
          </w:tcPr>
          <w:p>
            <w:pPr>
              <w:widowControl/>
              <w:ind w:firstLine="480" w:firstLineChars="200"/>
              <w:jc w:val="center"/>
              <w:textAlignment w:val="center"/>
              <w:rPr>
                <w:rFonts w:ascii="宋体" w:hAnsi="宋体" w:eastAsia="宋体" w:cs="宋体"/>
                <w:color w:val="000000"/>
                <w:sz w:val="24"/>
                <w:szCs w:val="24"/>
                <w:highlight w:val="none"/>
              </w:rPr>
            </w:pPr>
            <w:r>
              <w:rPr>
                <w:rFonts w:hint="eastAsia" w:ascii="宋体" w:hAnsi="宋体" w:eastAsia="宋体" w:cs="宋体"/>
                <w:color w:val="000000"/>
                <w:kern w:val="0"/>
                <w:sz w:val="24"/>
                <w:szCs w:val="24"/>
                <w:highlight w:val="none"/>
              </w:rPr>
              <w:t>硫化氢</w:t>
            </w:r>
          </w:p>
        </w:tc>
        <w:tc>
          <w:tcPr>
            <w:tcW w:w="3913" w:type="dxa"/>
            <w:tcBorders>
              <w:top w:val="nil"/>
              <w:left w:val="single" w:color="000000" w:sz="8" w:space="0"/>
              <w:bottom w:val="single" w:color="000000" w:sz="8" w:space="0"/>
              <w:right w:val="single" w:color="000000" w:sz="8" w:space="0"/>
            </w:tcBorders>
            <w:shd w:val="clear" w:color="auto" w:fill="auto"/>
          </w:tcPr>
          <w:p>
            <w:pPr>
              <w:widowControl/>
              <w:ind w:firstLine="480" w:firstLineChars="200"/>
              <w:jc w:val="center"/>
              <w:textAlignment w:val="top"/>
              <w:rPr>
                <w:rFonts w:ascii="宋体" w:hAnsi="宋体" w:eastAsia="宋体" w:cs="宋体"/>
                <w:color w:val="000000"/>
                <w:sz w:val="24"/>
                <w:szCs w:val="24"/>
                <w:highlight w:val="none"/>
              </w:rPr>
            </w:pPr>
            <w:r>
              <w:rPr>
                <w:rFonts w:hint="eastAsia" w:ascii="宋体" w:hAnsi="宋体" w:eastAsia="宋体" w:cs="宋体"/>
                <w:color w:val="000000"/>
                <w:kern w:val="0"/>
                <w:sz w:val="24"/>
                <w:szCs w:val="24"/>
                <w:highlight w:val="none"/>
              </w:rPr>
              <w:t>避光，冷藏</w:t>
            </w:r>
          </w:p>
        </w:tc>
      </w:tr>
      <w:tr>
        <w:tblPrEx>
          <w:tblCellMar>
            <w:top w:w="0" w:type="dxa"/>
            <w:left w:w="108" w:type="dxa"/>
            <w:bottom w:w="0" w:type="dxa"/>
            <w:right w:w="108" w:type="dxa"/>
          </w:tblCellMar>
        </w:tblPrEx>
        <w:trPr>
          <w:trHeight w:val="300" w:hRule="atLeast"/>
        </w:trPr>
        <w:tc>
          <w:tcPr>
            <w:tcW w:w="1796" w:type="dxa"/>
            <w:vMerge w:val="continue"/>
            <w:tcBorders>
              <w:top w:val="nil"/>
              <w:left w:val="single" w:color="000000" w:sz="8" w:space="0"/>
              <w:bottom w:val="single" w:color="000000" w:sz="8" w:space="0"/>
              <w:right w:val="single" w:color="000000" w:sz="8" w:space="0"/>
            </w:tcBorders>
            <w:shd w:val="clear" w:color="auto" w:fill="auto"/>
            <w:vAlign w:val="center"/>
          </w:tcPr>
          <w:p>
            <w:pPr>
              <w:ind w:firstLine="480" w:firstLineChars="200"/>
              <w:jc w:val="center"/>
              <w:rPr>
                <w:rFonts w:ascii="宋体" w:hAnsi="宋体" w:eastAsia="宋体" w:cs="宋体"/>
                <w:color w:val="000000"/>
                <w:sz w:val="24"/>
                <w:szCs w:val="24"/>
                <w:highlight w:val="none"/>
              </w:rPr>
            </w:pPr>
          </w:p>
        </w:tc>
        <w:tc>
          <w:tcPr>
            <w:tcW w:w="2391" w:type="dxa"/>
            <w:tcBorders>
              <w:top w:val="nil"/>
              <w:left w:val="single" w:color="000000" w:sz="8" w:space="0"/>
              <w:bottom w:val="single" w:color="000000" w:sz="8" w:space="0"/>
              <w:right w:val="single" w:color="000000" w:sz="8" w:space="0"/>
            </w:tcBorders>
            <w:shd w:val="clear" w:color="auto" w:fill="auto"/>
            <w:vAlign w:val="center"/>
          </w:tcPr>
          <w:p>
            <w:pPr>
              <w:widowControl/>
              <w:ind w:firstLine="480" w:firstLineChars="200"/>
              <w:jc w:val="center"/>
              <w:textAlignment w:val="center"/>
              <w:rPr>
                <w:rFonts w:ascii="宋体" w:hAnsi="宋体" w:eastAsia="宋体" w:cs="宋体"/>
                <w:color w:val="000000"/>
                <w:sz w:val="24"/>
                <w:szCs w:val="24"/>
                <w:highlight w:val="none"/>
              </w:rPr>
            </w:pPr>
            <w:r>
              <w:rPr>
                <w:rFonts w:hint="eastAsia" w:ascii="宋体" w:hAnsi="宋体" w:eastAsia="宋体" w:cs="宋体"/>
                <w:color w:val="000000"/>
                <w:kern w:val="0"/>
                <w:sz w:val="24"/>
                <w:szCs w:val="24"/>
                <w:highlight w:val="none"/>
              </w:rPr>
              <w:t>臭气浓度</w:t>
            </w:r>
          </w:p>
        </w:tc>
        <w:tc>
          <w:tcPr>
            <w:tcW w:w="3913" w:type="dxa"/>
            <w:tcBorders>
              <w:top w:val="nil"/>
              <w:left w:val="single" w:color="000000" w:sz="8" w:space="0"/>
              <w:bottom w:val="single" w:color="000000" w:sz="8" w:space="0"/>
              <w:right w:val="single" w:color="000000" w:sz="8" w:space="0"/>
            </w:tcBorders>
            <w:shd w:val="clear" w:color="auto" w:fill="auto"/>
          </w:tcPr>
          <w:p>
            <w:pPr>
              <w:widowControl/>
              <w:ind w:firstLine="480" w:firstLineChars="200"/>
              <w:jc w:val="center"/>
              <w:textAlignment w:val="top"/>
              <w:rPr>
                <w:rFonts w:ascii="宋体" w:hAnsi="宋体" w:eastAsia="宋体" w:cs="宋体"/>
                <w:color w:val="000000"/>
                <w:sz w:val="24"/>
                <w:szCs w:val="24"/>
                <w:highlight w:val="none"/>
              </w:rPr>
            </w:pPr>
            <w:r>
              <w:rPr>
                <w:rFonts w:hint="eastAsia" w:ascii="宋体" w:hAnsi="宋体" w:eastAsia="宋体" w:cs="宋体"/>
                <w:color w:val="000000"/>
                <w:kern w:val="0"/>
                <w:sz w:val="24"/>
                <w:szCs w:val="24"/>
                <w:highlight w:val="none"/>
              </w:rPr>
              <w:t>避光，室温</w:t>
            </w:r>
          </w:p>
        </w:tc>
      </w:tr>
    </w:tbl>
    <w:p>
      <w:pPr>
        <w:pStyle w:val="22"/>
        <w:spacing w:line="240" w:lineRule="auto"/>
        <w:ind w:firstLine="0" w:firstLineChars="0"/>
        <w:jc w:val="left"/>
        <w:outlineLvl w:val="1"/>
        <w:rPr>
          <w:rFonts w:ascii="宋体" w:hAnsi="宋体"/>
          <w:sz w:val="28"/>
          <w:szCs w:val="28"/>
          <w:highlight w:val="none"/>
          <w:lang w:val="en-US"/>
        </w:rPr>
      </w:pPr>
      <w:r>
        <w:rPr>
          <w:rFonts w:hint="eastAsia" w:ascii="宋体" w:hAnsi="宋体"/>
          <w:sz w:val="28"/>
          <w:szCs w:val="28"/>
          <w:highlight w:val="none"/>
          <w:lang w:val="en-US"/>
        </w:rPr>
        <w:t>七、监测质量保证与质量控制措施</w:t>
      </w:r>
    </w:p>
    <w:p>
      <w:pPr>
        <w:pStyle w:val="22"/>
        <w:spacing w:line="240" w:lineRule="auto"/>
        <w:ind w:firstLine="0" w:firstLineChars="0"/>
        <w:jc w:val="left"/>
        <w:outlineLvl w:val="1"/>
        <w:rPr>
          <w:rFonts w:ascii="宋体" w:hAnsi="宋体"/>
          <w:sz w:val="28"/>
          <w:szCs w:val="28"/>
          <w:highlight w:val="none"/>
        </w:rPr>
      </w:pPr>
      <w:r>
        <w:rPr>
          <w:rFonts w:hint="eastAsia" w:ascii="宋体" w:hAnsi="宋体"/>
          <w:sz w:val="28"/>
          <w:szCs w:val="28"/>
          <w:highlight w:val="none"/>
        </w:rPr>
        <w:t>（一）污水厂化验室质量保证与控制措施</w:t>
      </w:r>
    </w:p>
    <w:p>
      <w:pPr>
        <w:pStyle w:val="22"/>
        <w:spacing w:line="240" w:lineRule="auto"/>
        <w:ind w:left="-420" w:leftChars="-200" w:firstLine="560"/>
        <w:outlineLvl w:val="1"/>
        <w:rPr>
          <w:rFonts w:ascii="宋体" w:hAnsi="宋体"/>
          <w:sz w:val="28"/>
          <w:szCs w:val="28"/>
          <w:highlight w:val="none"/>
        </w:rPr>
      </w:pPr>
      <w:r>
        <w:rPr>
          <w:rFonts w:hint="eastAsia" w:ascii="宋体" w:hAnsi="宋体"/>
          <w:sz w:val="28"/>
          <w:szCs w:val="28"/>
          <w:highlight w:val="none"/>
        </w:rPr>
        <w:t>1、质量保证</w:t>
      </w:r>
    </w:p>
    <w:p>
      <w:pPr>
        <w:pStyle w:val="22"/>
        <w:spacing w:line="240" w:lineRule="auto"/>
        <w:ind w:left="-420" w:leftChars="-200" w:firstLine="560"/>
        <w:outlineLvl w:val="1"/>
        <w:rPr>
          <w:rFonts w:ascii="宋体" w:hAnsi="宋体"/>
          <w:sz w:val="28"/>
          <w:szCs w:val="28"/>
          <w:highlight w:val="none"/>
        </w:rPr>
      </w:pPr>
      <w:r>
        <w:rPr>
          <w:rFonts w:hint="eastAsia" w:ascii="宋体" w:hAnsi="宋体"/>
          <w:sz w:val="28"/>
          <w:szCs w:val="28"/>
          <w:highlight w:val="none"/>
        </w:rPr>
        <w:t>1.1、建立质量体系</w:t>
      </w:r>
    </w:p>
    <w:p>
      <w:pPr>
        <w:pStyle w:val="22"/>
        <w:spacing w:line="240" w:lineRule="auto"/>
        <w:ind w:left="-420" w:leftChars="-200" w:firstLine="560"/>
        <w:outlineLvl w:val="1"/>
        <w:rPr>
          <w:rFonts w:ascii="宋体" w:hAnsi="宋体"/>
          <w:sz w:val="28"/>
          <w:szCs w:val="28"/>
          <w:highlight w:val="none"/>
        </w:rPr>
      </w:pPr>
      <w:r>
        <w:rPr>
          <w:rFonts w:hint="eastAsia" w:ascii="宋体" w:hAnsi="宋体"/>
          <w:sz w:val="28"/>
          <w:szCs w:val="28"/>
          <w:highlight w:val="none"/>
        </w:rPr>
        <w:t>严格按照国家认监委国认实〔2016〕33号文件及《检验检测机构资质认证评审准则》要求建立了质量管理体系。由质量负责人主导，进行了宣贯。工作中按照评审准则及公司体系文件要求开展各项检测工作并持续改进质量管理体系。</w:t>
      </w:r>
    </w:p>
    <w:p>
      <w:pPr>
        <w:pStyle w:val="22"/>
        <w:spacing w:line="240" w:lineRule="auto"/>
        <w:ind w:left="-420" w:leftChars="-200" w:firstLine="560"/>
        <w:outlineLvl w:val="1"/>
        <w:rPr>
          <w:rFonts w:ascii="宋体" w:hAnsi="宋体"/>
          <w:sz w:val="28"/>
          <w:szCs w:val="28"/>
          <w:highlight w:val="none"/>
        </w:rPr>
      </w:pPr>
      <w:r>
        <w:rPr>
          <w:rFonts w:hint="eastAsia" w:ascii="宋体" w:hAnsi="宋体"/>
          <w:sz w:val="28"/>
          <w:szCs w:val="28"/>
          <w:highlight w:val="none"/>
        </w:rPr>
        <w:t>从事污水监测的监测人员、监测仪器与设备设施等按</w:t>
      </w:r>
      <w:r>
        <w:rPr>
          <w:rFonts w:hint="eastAsia" w:ascii="宋体" w:hAnsi="宋体"/>
          <w:sz w:val="28"/>
          <w:szCs w:val="28"/>
          <w:highlight w:val="none"/>
          <w:lang w:val="en-US"/>
        </w:rPr>
        <w:t xml:space="preserve">《检验检测机构资质认定能力评价 检验监测机构通用要求》RB/T 214-2017、《HJ </w:t>
      </w:r>
      <w:r>
        <w:rPr>
          <w:rFonts w:hint="eastAsia" w:ascii="宋体" w:hAnsi="宋体"/>
          <w:sz w:val="28"/>
          <w:szCs w:val="28"/>
          <w:highlight w:val="none"/>
        </w:rPr>
        <w:t>630、HJ/T 373</w:t>
      </w:r>
      <w:r>
        <w:rPr>
          <w:rFonts w:hint="eastAsia" w:ascii="宋体" w:hAnsi="宋体"/>
          <w:sz w:val="28"/>
          <w:szCs w:val="28"/>
          <w:highlight w:val="none"/>
          <w:lang w:val="en-US"/>
        </w:rPr>
        <w:t>》</w:t>
      </w:r>
      <w:r>
        <w:rPr>
          <w:rFonts w:hint="eastAsia" w:ascii="宋体" w:hAnsi="宋体"/>
          <w:sz w:val="28"/>
          <w:szCs w:val="28"/>
          <w:highlight w:val="none"/>
        </w:rPr>
        <w:t xml:space="preserve"> 等相关内容执行。</w:t>
      </w:r>
    </w:p>
    <w:p>
      <w:pPr>
        <w:pStyle w:val="22"/>
        <w:spacing w:line="240" w:lineRule="auto"/>
        <w:ind w:left="-420" w:leftChars="-200" w:firstLine="560"/>
        <w:outlineLvl w:val="1"/>
        <w:rPr>
          <w:rFonts w:hint="default" w:ascii="宋体" w:hAnsi="宋体" w:eastAsia="宋体"/>
          <w:sz w:val="28"/>
          <w:szCs w:val="28"/>
          <w:highlight w:val="none"/>
          <w:u w:val="single"/>
          <w:lang w:val="en-US" w:eastAsia="zh-CN"/>
        </w:rPr>
      </w:pPr>
      <w:r>
        <w:rPr>
          <w:rFonts w:hint="eastAsia" w:ascii="宋体" w:hAnsi="宋体"/>
          <w:sz w:val="28"/>
          <w:szCs w:val="28"/>
          <w:highlight w:val="none"/>
          <w:u w:val="single"/>
        </w:rPr>
        <w:t xml:space="preserve">污水厂检测人员: </w:t>
      </w:r>
      <w:r>
        <w:rPr>
          <w:rFonts w:hint="eastAsia" w:ascii="宋体" w:hAnsi="宋体"/>
          <w:sz w:val="28"/>
          <w:szCs w:val="28"/>
          <w:highlight w:val="none"/>
          <w:u w:val="single"/>
          <w:lang w:val="en-US" w:eastAsia="zh-CN"/>
        </w:rPr>
        <w:t>钟铃、邱丽萍、莫星星</w:t>
      </w:r>
      <w:bookmarkStart w:id="3" w:name="_GoBack"/>
      <w:bookmarkEnd w:id="3"/>
    </w:p>
    <w:p>
      <w:pPr>
        <w:pStyle w:val="22"/>
        <w:spacing w:line="240" w:lineRule="auto"/>
        <w:outlineLvl w:val="1"/>
        <w:rPr>
          <w:rFonts w:hint="default" w:ascii="宋体" w:hAnsi="宋体"/>
          <w:color w:val="auto"/>
          <w:sz w:val="28"/>
          <w:szCs w:val="28"/>
          <w:highlight w:val="none"/>
          <w:u w:val="single"/>
          <w:lang w:val="en-US"/>
        </w:rPr>
      </w:pPr>
      <w:r>
        <w:rPr>
          <w:rFonts w:hint="eastAsia" w:ascii="宋体" w:hAnsi="宋体"/>
          <w:color w:val="auto"/>
          <w:sz w:val="28"/>
          <w:szCs w:val="28"/>
          <w:highlight w:val="none"/>
          <w:u w:val="single"/>
        </w:rPr>
        <w:t>污水厂主要检测仪器与设备</w:t>
      </w:r>
      <w:r>
        <w:rPr>
          <w:rFonts w:hint="eastAsia" w:ascii="宋体" w:hAnsi="宋体"/>
          <w:color w:val="auto"/>
          <w:sz w:val="28"/>
          <w:szCs w:val="28"/>
          <w:highlight w:val="none"/>
          <w:u w:val="single"/>
          <w:lang w:eastAsia="zh-CN"/>
        </w:rPr>
        <w:t>：</w:t>
      </w:r>
      <w:r>
        <w:rPr>
          <w:rFonts w:hint="eastAsia" w:ascii="宋体" w:hAnsi="宋体"/>
          <w:color w:val="auto"/>
          <w:sz w:val="28"/>
          <w:szCs w:val="28"/>
          <w:highlight w:val="none"/>
          <w:u w:val="single"/>
          <w:lang w:val="en-US" w:eastAsia="zh-CN"/>
        </w:rPr>
        <w:t>生化培养箱</w:t>
      </w:r>
      <w:r>
        <w:rPr>
          <w:rFonts w:hint="eastAsia" w:ascii="宋体" w:hAnsi="宋体"/>
          <w:color w:val="auto"/>
          <w:sz w:val="28"/>
          <w:szCs w:val="28"/>
          <w:highlight w:val="none"/>
          <w:u w:val="single"/>
          <w:lang w:eastAsia="zh-CN"/>
        </w:rPr>
        <w:t>、</w:t>
      </w:r>
      <w:r>
        <w:rPr>
          <w:rFonts w:hint="eastAsia" w:ascii="宋体" w:hAnsi="宋体"/>
          <w:color w:val="auto"/>
          <w:sz w:val="28"/>
          <w:szCs w:val="28"/>
          <w:highlight w:val="none"/>
          <w:u w:val="single"/>
          <w:lang w:val="en-US" w:eastAsia="zh-CN"/>
        </w:rPr>
        <w:t>立式压力蒸汽灭菌器、智能回流消解仪、数码荧光显微镜、紫外可见光光度计、万分之一分析天平、电热恒温干燥箱、pH计、箱式电阻炉。</w:t>
      </w:r>
    </w:p>
    <w:p>
      <w:pPr>
        <w:pStyle w:val="22"/>
        <w:spacing w:line="240" w:lineRule="auto"/>
        <w:ind w:left="-420" w:leftChars="-200" w:firstLine="560"/>
        <w:outlineLvl w:val="1"/>
        <w:rPr>
          <w:rFonts w:ascii="宋体" w:hAnsi="宋体"/>
          <w:sz w:val="28"/>
          <w:szCs w:val="28"/>
          <w:highlight w:val="none"/>
        </w:rPr>
      </w:pPr>
      <w:r>
        <w:rPr>
          <w:rFonts w:hint="eastAsia" w:ascii="宋体" w:hAnsi="宋体"/>
          <w:sz w:val="28"/>
          <w:szCs w:val="28"/>
          <w:highlight w:val="none"/>
        </w:rPr>
        <w:t>1.2、监测设施与环境</w:t>
      </w:r>
    </w:p>
    <w:p>
      <w:pPr>
        <w:pStyle w:val="22"/>
        <w:spacing w:line="240" w:lineRule="auto"/>
        <w:ind w:left="-420" w:leftChars="-200" w:firstLine="560"/>
        <w:outlineLvl w:val="1"/>
        <w:rPr>
          <w:rFonts w:ascii="宋体" w:hAnsi="宋体"/>
          <w:sz w:val="28"/>
          <w:szCs w:val="28"/>
          <w:highlight w:val="none"/>
        </w:rPr>
      </w:pPr>
      <w:r>
        <w:rPr>
          <w:rFonts w:hint="eastAsia" w:ascii="宋体" w:hAnsi="宋体"/>
          <w:sz w:val="28"/>
          <w:szCs w:val="28"/>
          <w:highlight w:val="none"/>
        </w:rPr>
        <w:t xml:space="preserve"> 公司</w:t>
      </w:r>
      <w:r>
        <w:rPr>
          <w:rFonts w:hint="eastAsia" w:ascii="宋体" w:hAnsi="宋体"/>
          <w:sz w:val="28"/>
          <w:szCs w:val="28"/>
          <w:highlight w:val="none"/>
          <w:lang w:val="en-US"/>
        </w:rPr>
        <w:t>具备</w:t>
      </w:r>
      <w:r>
        <w:rPr>
          <w:rFonts w:hint="eastAsia" w:ascii="宋体" w:hAnsi="宋体"/>
          <w:sz w:val="28"/>
          <w:szCs w:val="28"/>
          <w:highlight w:val="none"/>
        </w:rPr>
        <w:t>固定的适合开展检测工作的实验场所。配备了适合开展工作的设施及满足检测工作的需要的环境条件。</w:t>
      </w:r>
    </w:p>
    <w:p>
      <w:pPr>
        <w:pStyle w:val="22"/>
        <w:spacing w:line="240" w:lineRule="auto"/>
        <w:ind w:left="-420" w:leftChars="-200" w:firstLine="560"/>
        <w:outlineLvl w:val="1"/>
        <w:rPr>
          <w:rFonts w:ascii="宋体" w:hAnsi="宋体"/>
          <w:sz w:val="28"/>
          <w:szCs w:val="28"/>
          <w:highlight w:val="none"/>
        </w:rPr>
      </w:pPr>
      <w:r>
        <w:rPr>
          <w:rFonts w:hint="eastAsia" w:ascii="宋体" w:hAnsi="宋体"/>
          <w:sz w:val="28"/>
          <w:szCs w:val="28"/>
          <w:highlight w:val="none"/>
          <w:lang w:val="en-US"/>
        </w:rPr>
        <w:t>1.3</w:t>
      </w:r>
      <w:r>
        <w:rPr>
          <w:rFonts w:hint="eastAsia" w:ascii="宋体" w:hAnsi="宋体"/>
          <w:sz w:val="28"/>
          <w:szCs w:val="28"/>
          <w:highlight w:val="none"/>
        </w:rPr>
        <w:t>、监测仪器设备和实验试剂</w:t>
      </w:r>
    </w:p>
    <w:p>
      <w:pPr>
        <w:pStyle w:val="22"/>
        <w:spacing w:line="240" w:lineRule="auto"/>
        <w:ind w:left="-420" w:leftChars="-200" w:firstLine="560"/>
        <w:outlineLvl w:val="1"/>
        <w:rPr>
          <w:rFonts w:ascii="宋体" w:hAnsi="宋体"/>
          <w:sz w:val="28"/>
          <w:szCs w:val="28"/>
          <w:highlight w:val="none"/>
        </w:rPr>
      </w:pPr>
      <w:r>
        <w:rPr>
          <w:rFonts w:hint="eastAsia" w:ascii="宋体" w:hAnsi="宋体"/>
          <w:sz w:val="28"/>
          <w:szCs w:val="28"/>
          <w:highlight w:val="none"/>
        </w:rPr>
        <w:t>公司监测仪器设备均按照《检验检测机构资质认定评审准则》的以及国家强检计量器具要求进行了检定、校准，在用所有监测仪器设备均在校准（或检定）有效期内；公司实验试剂均按照项目分析方法标准进行采购并验收，确保分析过程中实验试剂适用性，符合监测工作项目分析的需要。</w:t>
      </w:r>
    </w:p>
    <w:p>
      <w:pPr>
        <w:pStyle w:val="22"/>
        <w:spacing w:line="240" w:lineRule="auto"/>
        <w:ind w:left="-420" w:leftChars="-200" w:firstLine="560"/>
        <w:outlineLvl w:val="1"/>
        <w:rPr>
          <w:rFonts w:ascii="宋体" w:hAnsi="宋体"/>
          <w:sz w:val="28"/>
          <w:szCs w:val="28"/>
          <w:highlight w:val="none"/>
        </w:rPr>
      </w:pPr>
      <w:r>
        <w:rPr>
          <w:rFonts w:hint="eastAsia" w:ascii="宋体" w:hAnsi="宋体"/>
          <w:sz w:val="28"/>
          <w:szCs w:val="28"/>
          <w:highlight w:val="none"/>
          <w:lang w:val="en-US"/>
        </w:rPr>
        <w:t>1.4</w:t>
      </w:r>
      <w:r>
        <w:rPr>
          <w:rFonts w:hint="eastAsia" w:ascii="宋体" w:hAnsi="宋体"/>
          <w:sz w:val="28"/>
          <w:szCs w:val="28"/>
          <w:highlight w:val="none"/>
        </w:rPr>
        <w:t>、监测方法技术能力验证</w:t>
      </w:r>
    </w:p>
    <w:p>
      <w:pPr>
        <w:pStyle w:val="22"/>
        <w:spacing w:line="240" w:lineRule="auto"/>
        <w:ind w:left="-420" w:leftChars="-200" w:firstLine="560"/>
        <w:outlineLvl w:val="1"/>
        <w:rPr>
          <w:rFonts w:ascii="宋体" w:hAnsi="宋体"/>
          <w:sz w:val="28"/>
          <w:szCs w:val="28"/>
          <w:highlight w:val="none"/>
        </w:rPr>
      </w:pPr>
      <w:r>
        <w:rPr>
          <w:rFonts w:hint="eastAsia" w:ascii="宋体" w:hAnsi="宋体"/>
          <w:sz w:val="28"/>
          <w:szCs w:val="28"/>
          <w:highlight w:val="none"/>
        </w:rPr>
        <w:t>按照国家标准分析方法要求，污水厂对检测能力范围内所有项目的检出限、精密度、准确度等指标进行了方法验证，验证结果均符合方法标准要求。</w:t>
      </w:r>
    </w:p>
    <w:p>
      <w:pPr>
        <w:pStyle w:val="22"/>
        <w:spacing w:line="240" w:lineRule="auto"/>
        <w:ind w:left="-420" w:leftChars="-200" w:firstLine="560"/>
        <w:outlineLvl w:val="1"/>
        <w:rPr>
          <w:rFonts w:ascii="宋体" w:hAnsi="宋体"/>
          <w:sz w:val="28"/>
          <w:szCs w:val="28"/>
          <w:highlight w:val="none"/>
        </w:rPr>
      </w:pPr>
      <w:r>
        <w:rPr>
          <w:rFonts w:hint="eastAsia" w:ascii="宋体" w:hAnsi="宋体"/>
          <w:sz w:val="28"/>
          <w:szCs w:val="28"/>
          <w:highlight w:val="none"/>
          <w:lang w:val="en-US"/>
        </w:rPr>
        <w:t>2、</w:t>
      </w:r>
      <w:r>
        <w:rPr>
          <w:rFonts w:hint="eastAsia" w:ascii="宋体" w:hAnsi="宋体"/>
          <w:sz w:val="28"/>
          <w:szCs w:val="28"/>
          <w:highlight w:val="none"/>
        </w:rPr>
        <w:t>质量控制</w:t>
      </w:r>
    </w:p>
    <w:p>
      <w:pPr>
        <w:pStyle w:val="22"/>
        <w:spacing w:line="240" w:lineRule="auto"/>
        <w:ind w:left="-420" w:leftChars="-200" w:firstLine="560"/>
        <w:outlineLvl w:val="1"/>
        <w:rPr>
          <w:rFonts w:ascii="宋体" w:hAnsi="宋体"/>
          <w:sz w:val="28"/>
          <w:szCs w:val="28"/>
          <w:highlight w:val="none"/>
        </w:rPr>
      </w:pPr>
      <w:r>
        <w:rPr>
          <w:rFonts w:hint="eastAsia" w:ascii="宋体" w:hAnsi="宋体"/>
          <w:sz w:val="28"/>
          <w:szCs w:val="28"/>
          <w:highlight w:val="none"/>
        </w:rPr>
        <w:t>2.1、检测过程质量控制：</w:t>
      </w:r>
    </w:p>
    <w:p>
      <w:pPr>
        <w:pStyle w:val="22"/>
        <w:spacing w:line="240" w:lineRule="auto"/>
        <w:ind w:left="-420" w:leftChars="-200" w:firstLine="560"/>
        <w:outlineLvl w:val="1"/>
        <w:rPr>
          <w:rFonts w:ascii="宋体" w:hAnsi="宋体"/>
          <w:sz w:val="28"/>
          <w:szCs w:val="28"/>
          <w:highlight w:val="none"/>
        </w:rPr>
      </w:pPr>
      <w:r>
        <w:rPr>
          <w:rFonts w:hint="eastAsia" w:ascii="宋体" w:hAnsi="宋体"/>
          <w:sz w:val="28"/>
          <w:szCs w:val="28"/>
          <w:highlight w:val="none"/>
        </w:rPr>
        <w:t>污水厂化验室的质控措施包括全程序空白样、平行样、加标回收或质控样的测定，以及仪器仪表的校准。具体措施如下：</w:t>
      </w:r>
    </w:p>
    <w:p>
      <w:pPr>
        <w:pStyle w:val="22"/>
        <w:spacing w:line="240" w:lineRule="auto"/>
        <w:ind w:left="-420" w:leftChars="-200" w:firstLine="560"/>
        <w:outlineLvl w:val="1"/>
        <w:rPr>
          <w:rFonts w:ascii="宋体" w:hAnsi="宋体"/>
          <w:sz w:val="28"/>
          <w:szCs w:val="28"/>
          <w:highlight w:val="none"/>
        </w:rPr>
      </w:pPr>
      <w:r>
        <w:rPr>
          <w:rFonts w:hint="eastAsia" w:ascii="宋体" w:hAnsi="宋体"/>
          <w:sz w:val="28"/>
          <w:szCs w:val="28"/>
          <w:highlight w:val="none"/>
        </w:rPr>
        <w:t xml:space="preserve"> 空白样：化验室对分析的所有污染因子实施全程序空白样，每批样品检测必带空白样检测，以屏蔽其他外在因子对水样分析结果造成影响；</w:t>
      </w:r>
    </w:p>
    <w:p>
      <w:pPr>
        <w:pStyle w:val="22"/>
        <w:spacing w:line="240" w:lineRule="auto"/>
        <w:ind w:left="-420" w:leftChars="-200" w:firstLine="560"/>
        <w:outlineLvl w:val="1"/>
        <w:rPr>
          <w:rFonts w:ascii="宋体" w:hAnsi="宋体"/>
          <w:sz w:val="28"/>
          <w:szCs w:val="28"/>
          <w:highlight w:val="none"/>
        </w:rPr>
      </w:pPr>
      <w:r>
        <w:rPr>
          <w:rFonts w:hint="eastAsia" w:ascii="宋体" w:hAnsi="宋体"/>
          <w:sz w:val="28"/>
          <w:szCs w:val="28"/>
          <w:highlight w:val="none"/>
        </w:rPr>
        <w:t>平行样：对厂部所有分析水样做平行样检测，以减少实验误差对水样结果的影响；</w:t>
      </w:r>
    </w:p>
    <w:p>
      <w:pPr>
        <w:pStyle w:val="22"/>
        <w:spacing w:line="240" w:lineRule="auto"/>
        <w:ind w:left="-420" w:leftChars="-200" w:firstLine="560"/>
        <w:outlineLvl w:val="1"/>
        <w:rPr>
          <w:rFonts w:ascii="宋体" w:hAnsi="宋体"/>
          <w:sz w:val="28"/>
          <w:szCs w:val="28"/>
          <w:highlight w:val="none"/>
        </w:rPr>
      </w:pPr>
      <w:r>
        <w:rPr>
          <w:rFonts w:hint="eastAsia" w:ascii="宋体" w:hAnsi="宋体"/>
          <w:sz w:val="28"/>
          <w:szCs w:val="28"/>
          <w:highlight w:val="none"/>
        </w:rPr>
        <w:t>加标回收或质控样：按检测规范要求，厂部会对检测的污染因子进行加标回收或者质控样品的测定，以验证实验结果的准确性；</w:t>
      </w:r>
    </w:p>
    <w:p>
      <w:pPr>
        <w:pStyle w:val="22"/>
        <w:spacing w:line="240" w:lineRule="auto"/>
        <w:ind w:left="-420" w:leftChars="-200" w:firstLine="560"/>
        <w:outlineLvl w:val="1"/>
        <w:rPr>
          <w:rFonts w:ascii="宋体" w:hAnsi="宋体"/>
          <w:sz w:val="28"/>
          <w:szCs w:val="28"/>
          <w:highlight w:val="none"/>
        </w:rPr>
      </w:pPr>
      <w:r>
        <w:rPr>
          <w:rFonts w:hint="eastAsia" w:ascii="宋体" w:hAnsi="宋体"/>
          <w:sz w:val="28"/>
          <w:szCs w:val="28"/>
          <w:highlight w:val="none"/>
        </w:rPr>
        <w:t>仪器仪表校准：每年定期委托有资质的第三方公司对化验室仪器仪表进行调试校准，并出具校准报告；化验人员按规范对标准曲线和标准物质进行校准和标定，用标准物质对常用仪器如pH计、分光光度计等进行校准并记录。</w:t>
      </w:r>
    </w:p>
    <w:p>
      <w:pPr>
        <w:pStyle w:val="22"/>
        <w:spacing w:line="240" w:lineRule="auto"/>
        <w:ind w:left="-420" w:leftChars="-200" w:firstLine="560"/>
        <w:outlineLvl w:val="1"/>
        <w:rPr>
          <w:rFonts w:ascii="宋体" w:hAnsi="宋体"/>
          <w:sz w:val="28"/>
          <w:szCs w:val="28"/>
          <w:highlight w:val="none"/>
        </w:rPr>
      </w:pPr>
      <w:r>
        <w:rPr>
          <w:rFonts w:hint="eastAsia" w:ascii="宋体" w:hAnsi="宋体"/>
          <w:sz w:val="28"/>
          <w:szCs w:val="28"/>
          <w:highlight w:val="none"/>
        </w:rPr>
        <w:t>（二）第三方检测质量保证与质量控制措施</w:t>
      </w:r>
    </w:p>
    <w:p>
      <w:pPr>
        <w:pStyle w:val="22"/>
        <w:spacing w:line="240" w:lineRule="auto"/>
        <w:ind w:left="-420" w:leftChars="-200" w:firstLine="560"/>
        <w:outlineLvl w:val="1"/>
        <w:rPr>
          <w:rFonts w:ascii="宋体" w:hAnsi="宋体"/>
          <w:sz w:val="28"/>
          <w:szCs w:val="28"/>
          <w:highlight w:val="none"/>
          <w:lang w:val="en-US"/>
        </w:rPr>
      </w:pPr>
      <w:r>
        <w:rPr>
          <w:rFonts w:hint="eastAsia" w:ascii="宋体" w:hAnsi="宋体"/>
          <w:sz w:val="28"/>
          <w:szCs w:val="28"/>
          <w:highlight w:val="none"/>
          <w:lang w:val="en-US"/>
        </w:rPr>
        <w:t>1、质量保证：</w:t>
      </w:r>
    </w:p>
    <w:p>
      <w:pPr>
        <w:pStyle w:val="22"/>
        <w:spacing w:line="240" w:lineRule="auto"/>
        <w:ind w:left="-420" w:leftChars="-200" w:firstLine="560"/>
        <w:outlineLvl w:val="1"/>
        <w:rPr>
          <w:rFonts w:ascii="宋体" w:hAnsi="宋体"/>
          <w:sz w:val="28"/>
          <w:szCs w:val="28"/>
          <w:highlight w:val="none"/>
        </w:rPr>
      </w:pPr>
      <w:r>
        <w:rPr>
          <w:rFonts w:hint="eastAsia" w:ascii="宋体" w:hAnsi="宋体"/>
          <w:sz w:val="28"/>
          <w:szCs w:val="28"/>
          <w:highlight w:val="none"/>
        </w:rPr>
        <w:t>1.1、对第三方的检测要求：</w:t>
      </w:r>
    </w:p>
    <w:p>
      <w:pPr>
        <w:pStyle w:val="22"/>
        <w:spacing w:line="240" w:lineRule="auto"/>
        <w:ind w:left="-420" w:leftChars="-200" w:firstLine="560"/>
        <w:outlineLvl w:val="1"/>
        <w:rPr>
          <w:rFonts w:ascii="宋体" w:hAnsi="宋体"/>
          <w:sz w:val="28"/>
          <w:szCs w:val="28"/>
          <w:highlight w:val="none"/>
          <w:lang w:val="en-US"/>
        </w:rPr>
      </w:pPr>
      <w:r>
        <w:rPr>
          <w:rFonts w:hint="eastAsia" w:ascii="宋体" w:hAnsi="宋体"/>
          <w:sz w:val="28"/>
          <w:szCs w:val="28"/>
          <w:highlight w:val="none"/>
          <w:lang w:val="en-US"/>
        </w:rPr>
        <w:t>1.1.1、本污水厂委托检测的要求（检测项目、采样点位、检测频率、检测因子），第三方检测单位的检测能力应达到或优于本污水厂的要求，且符合国家有关标准和规范要求；</w:t>
      </w:r>
    </w:p>
    <w:p>
      <w:pPr>
        <w:pStyle w:val="22"/>
        <w:spacing w:line="240" w:lineRule="auto"/>
        <w:ind w:left="-420" w:leftChars="-200" w:firstLine="560"/>
        <w:outlineLvl w:val="1"/>
        <w:rPr>
          <w:rFonts w:ascii="宋体" w:hAnsi="宋体"/>
          <w:sz w:val="28"/>
          <w:szCs w:val="28"/>
          <w:highlight w:val="none"/>
          <w:lang w:val="en-US"/>
        </w:rPr>
      </w:pPr>
      <w:r>
        <w:rPr>
          <w:rFonts w:hint="eastAsia" w:ascii="宋体" w:hAnsi="宋体"/>
          <w:sz w:val="28"/>
          <w:szCs w:val="28"/>
          <w:highlight w:val="none"/>
          <w:lang w:val="en-US"/>
        </w:rPr>
        <w:t>1.1.</w:t>
      </w:r>
      <w:r>
        <w:rPr>
          <w:rFonts w:hint="eastAsia" w:ascii="宋体" w:hAnsi="宋体"/>
          <w:sz w:val="28"/>
          <w:szCs w:val="28"/>
          <w:highlight w:val="none"/>
          <w:lang w:val="en-US" w:eastAsia="zh-CN"/>
        </w:rPr>
        <w:t>2</w:t>
      </w:r>
      <w:r>
        <w:rPr>
          <w:rFonts w:hint="eastAsia" w:ascii="宋体" w:hAnsi="宋体"/>
          <w:sz w:val="28"/>
          <w:szCs w:val="28"/>
          <w:highlight w:val="none"/>
          <w:lang w:val="en-US"/>
        </w:rPr>
        <w:t>、 拥有独立的专项检测实验室；</w:t>
      </w:r>
    </w:p>
    <w:p>
      <w:pPr>
        <w:pStyle w:val="22"/>
        <w:spacing w:line="240" w:lineRule="auto"/>
        <w:ind w:left="-420" w:leftChars="-200" w:firstLine="560"/>
        <w:outlineLvl w:val="1"/>
        <w:rPr>
          <w:rFonts w:ascii="宋体" w:hAnsi="宋体"/>
          <w:sz w:val="28"/>
          <w:szCs w:val="28"/>
          <w:highlight w:val="none"/>
          <w:lang w:val="en-US"/>
        </w:rPr>
      </w:pPr>
      <w:r>
        <w:rPr>
          <w:rFonts w:hint="eastAsia" w:ascii="宋体" w:hAnsi="宋体"/>
          <w:sz w:val="28"/>
          <w:szCs w:val="28"/>
          <w:highlight w:val="none"/>
          <w:lang w:val="en-US"/>
        </w:rPr>
        <w:t>1.1.</w:t>
      </w:r>
      <w:r>
        <w:rPr>
          <w:rFonts w:hint="eastAsia" w:ascii="宋体" w:hAnsi="宋体"/>
          <w:sz w:val="28"/>
          <w:szCs w:val="28"/>
          <w:highlight w:val="none"/>
          <w:lang w:val="en-US" w:eastAsia="zh-CN"/>
        </w:rPr>
        <w:t>3</w:t>
      </w:r>
      <w:r>
        <w:rPr>
          <w:rFonts w:hint="eastAsia" w:ascii="宋体" w:hAnsi="宋体"/>
          <w:sz w:val="28"/>
          <w:szCs w:val="28"/>
          <w:highlight w:val="none"/>
          <w:lang w:val="en-US"/>
        </w:rPr>
        <w:t>、实验室有相关的内部质量控制管理和外部质量控制管理。</w:t>
      </w:r>
    </w:p>
    <w:p>
      <w:pPr>
        <w:pStyle w:val="22"/>
        <w:spacing w:line="240" w:lineRule="auto"/>
        <w:ind w:left="-420" w:leftChars="-200" w:firstLine="560"/>
        <w:outlineLvl w:val="1"/>
        <w:rPr>
          <w:rFonts w:ascii="宋体" w:hAnsi="宋体"/>
          <w:sz w:val="28"/>
          <w:szCs w:val="28"/>
          <w:highlight w:val="none"/>
          <w:lang w:val="en-US"/>
        </w:rPr>
      </w:pPr>
      <w:r>
        <w:rPr>
          <w:rFonts w:hint="eastAsia" w:ascii="宋体" w:hAnsi="宋体"/>
          <w:sz w:val="28"/>
          <w:szCs w:val="28"/>
          <w:highlight w:val="none"/>
          <w:lang w:val="en-US"/>
        </w:rPr>
        <w:t>1.1.</w:t>
      </w:r>
      <w:r>
        <w:rPr>
          <w:rFonts w:hint="eastAsia" w:ascii="宋体" w:hAnsi="宋体"/>
          <w:sz w:val="28"/>
          <w:szCs w:val="28"/>
          <w:highlight w:val="none"/>
          <w:lang w:val="en-US" w:eastAsia="zh-CN"/>
        </w:rPr>
        <w:t>4</w:t>
      </w:r>
      <w:r>
        <w:rPr>
          <w:rFonts w:hint="eastAsia" w:ascii="宋体" w:hAnsi="宋体"/>
          <w:sz w:val="28"/>
          <w:szCs w:val="28"/>
          <w:highlight w:val="none"/>
          <w:lang w:val="en-US"/>
        </w:rPr>
        <w:t>、 需配备实验所需的检测仪器；使用的仪器设备需定期进行检定合格和校准并符合相关要求。</w:t>
      </w:r>
    </w:p>
    <w:p>
      <w:pPr>
        <w:pStyle w:val="22"/>
        <w:spacing w:line="240" w:lineRule="auto"/>
        <w:ind w:left="-420" w:leftChars="-200" w:firstLine="560"/>
        <w:outlineLvl w:val="1"/>
        <w:rPr>
          <w:rFonts w:ascii="宋体" w:hAnsi="宋体"/>
          <w:sz w:val="28"/>
          <w:szCs w:val="28"/>
          <w:highlight w:val="none"/>
          <w:lang w:val="en-US"/>
        </w:rPr>
      </w:pPr>
      <w:r>
        <w:rPr>
          <w:rFonts w:hint="eastAsia" w:ascii="宋体" w:hAnsi="宋体"/>
          <w:sz w:val="28"/>
          <w:szCs w:val="28"/>
          <w:highlight w:val="none"/>
          <w:lang w:val="en-US"/>
        </w:rPr>
        <w:t>1.1.</w:t>
      </w:r>
      <w:r>
        <w:rPr>
          <w:rFonts w:hint="eastAsia" w:ascii="宋体" w:hAnsi="宋体"/>
          <w:sz w:val="28"/>
          <w:szCs w:val="28"/>
          <w:highlight w:val="none"/>
          <w:lang w:val="en-US" w:eastAsia="zh-CN"/>
        </w:rPr>
        <w:t>5</w:t>
      </w:r>
      <w:r>
        <w:rPr>
          <w:rFonts w:hint="eastAsia" w:ascii="宋体" w:hAnsi="宋体"/>
          <w:sz w:val="28"/>
          <w:szCs w:val="28"/>
          <w:highlight w:val="none"/>
          <w:lang w:val="en-US"/>
        </w:rPr>
        <w:t>、按照《水质采样 样品的保存和管理技术规定》HJ493-2009规范要求，保障样品及时进入实验室；</w:t>
      </w:r>
    </w:p>
    <w:p>
      <w:pPr>
        <w:pStyle w:val="22"/>
        <w:spacing w:line="240" w:lineRule="auto"/>
        <w:ind w:left="-420" w:leftChars="-200" w:firstLine="560"/>
        <w:outlineLvl w:val="1"/>
        <w:rPr>
          <w:rFonts w:ascii="宋体" w:hAnsi="宋体"/>
          <w:sz w:val="28"/>
          <w:szCs w:val="28"/>
          <w:highlight w:val="none"/>
          <w:lang w:val="en-US"/>
        </w:rPr>
      </w:pPr>
      <w:r>
        <w:rPr>
          <w:rFonts w:hint="eastAsia" w:ascii="宋体" w:hAnsi="宋体"/>
          <w:sz w:val="28"/>
          <w:szCs w:val="28"/>
          <w:highlight w:val="none"/>
          <w:lang w:val="en-US"/>
        </w:rPr>
        <w:t>1.1.</w:t>
      </w:r>
      <w:r>
        <w:rPr>
          <w:rFonts w:hint="eastAsia" w:ascii="宋体" w:hAnsi="宋体"/>
          <w:sz w:val="28"/>
          <w:szCs w:val="28"/>
          <w:highlight w:val="none"/>
          <w:lang w:val="en-US" w:eastAsia="zh-CN"/>
        </w:rPr>
        <w:t>6</w:t>
      </w:r>
      <w:r>
        <w:rPr>
          <w:rFonts w:hint="eastAsia" w:ascii="宋体" w:hAnsi="宋体"/>
          <w:sz w:val="28"/>
          <w:szCs w:val="28"/>
          <w:highlight w:val="none"/>
          <w:lang w:val="en-US"/>
        </w:rPr>
        <w:t>、</w:t>
      </w:r>
      <w:r>
        <w:rPr>
          <w:rFonts w:hint="eastAsia" w:ascii="宋体" w:hAnsi="宋体"/>
          <w:sz w:val="28"/>
          <w:szCs w:val="28"/>
          <w:highlight w:val="none"/>
          <w:lang w:val="en-US" w:eastAsia="zh-CN"/>
        </w:rPr>
        <w:t>样品</w:t>
      </w:r>
      <w:r>
        <w:rPr>
          <w:rFonts w:hint="eastAsia" w:ascii="宋体" w:hAnsi="宋体"/>
          <w:sz w:val="28"/>
          <w:szCs w:val="28"/>
          <w:highlight w:val="none"/>
          <w:lang w:val="en-US"/>
        </w:rPr>
        <w:t>采样、运输、检测、留样由</w:t>
      </w:r>
      <w:r>
        <w:rPr>
          <w:rFonts w:hint="eastAsia" w:ascii="宋体" w:hAnsi="宋体"/>
          <w:sz w:val="28"/>
          <w:szCs w:val="28"/>
          <w:highlight w:val="none"/>
          <w:lang w:val="en-US" w:eastAsia="zh-CN"/>
        </w:rPr>
        <w:t>第三方检测机构</w:t>
      </w:r>
      <w:r>
        <w:rPr>
          <w:rFonts w:hint="eastAsia" w:ascii="宋体" w:hAnsi="宋体"/>
          <w:sz w:val="28"/>
          <w:szCs w:val="28"/>
          <w:highlight w:val="none"/>
          <w:lang w:val="en-US"/>
        </w:rPr>
        <w:t>自行负责。</w:t>
      </w:r>
    </w:p>
    <w:p>
      <w:pPr>
        <w:pStyle w:val="22"/>
        <w:spacing w:line="240" w:lineRule="auto"/>
        <w:ind w:left="-420" w:leftChars="-200" w:firstLine="560"/>
        <w:outlineLvl w:val="1"/>
        <w:rPr>
          <w:rFonts w:hint="eastAsia" w:ascii="宋体" w:hAnsi="宋体" w:eastAsia="宋体"/>
          <w:sz w:val="28"/>
          <w:szCs w:val="28"/>
          <w:highlight w:val="none"/>
          <w:lang w:val="en-US" w:eastAsia="zh-CN"/>
        </w:rPr>
      </w:pPr>
      <w:r>
        <w:rPr>
          <w:rFonts w:hint="eastAsia" w:ascii="宋体" w:hAnsi="宋体"/>
          <w:sz w:val="28"/>
          <w:szCs w:val="28"/>
          <w:highlight w:val="none"/>
          <w:lang w:val="en-US"/>
        </w:rPr>
        <w:t>1.1.</w:t>
      </w:r>
      <w:r>
        <w:rPr>
          <w:rFonts w:hint="eastAsia" w:ascii="宋体" w:hAnsi="宋体"/>
          <w:sz w:val="28"/>
          <w:szCs w:val="28"/>
          <w:highlight w:val="none"/>
          <w:lang w:val="en-US" w:eastAsia="zh-CN"/>
        </w:rPr>
        <w:t>7</w:t>
      </w:r>
      <w:r>
        <w:rPr>
          <w:rFonts w:hint="eastAsia" w:ascii="宋体" w:hAnsi="宋体"/>
          <w:sz w:val="28"/>
          <w:szCs w:val="28"/>
          <w:highlight w:val="none"/>
          <w:lang w:val="en-US"/>
        </w:rPr>
        <w:t>、</w:t>
      </w:r>
      <w:r>
        <w:rPr>
          <w:rFonts w:hint="eastAsia" w:ascii="宋体" w:hAnsi="宋体"/>
          <w:sz w:val="28"/>
          <w:szCs w:val="28"/>
          <w:highlight w:val="none"/>
          <w:lang w:val="en-US" w:eastAsia="zh-CN"/>
        </w:rPr>
        <w:t>第三方检测机构</w:t>
      </w:r>
      <w:r>
        <w:rPr>
          <w:rStyle w:val="18"/>
          <w:rFonts w:asciiTheme="minorHAnsi" w:hAnsiTheme="minorHAnsi" w:eastAsiaTheme="minorEastAsia" w:cstheme="minorBidi"/>
          <w:highlight w:val="none"/>
          <w:lang w:val="en-US"/>
        </w:rPr>
        <w:commentReference w:id="0"/>
      </w:r>
      <w:r>
        <w:rPr>
          <w:rFonts w:hint="eastAsia" w:ascii="宋体" w:hAnsi="宋体"/>
          <w:sz w:val="28"/>
          <w:szCs w:val="28"/>
          <w:highlight w:val="none"/>
          <w:lang w:val="en-US"/>
        </w:rPr>
        <w:t>采样后，</w:t>
      </w:r>
      <w:r>
        <w:rPr>
          <w:rFonts w:hint="eastAsia" w:ascii="宋体" w:hAnsi="宋体"/>
          <w:sz w:val="28"/>
          <w:szCs w:val="28"/>
          <w:highlight w:val="none"/>
          <w:lang w:val="en-US" w:eastAsia="zh-CN"/>
        </w:rPr>
        <w:t>按</w:t>
      </w:r>
      <w:r>
        <w:rPr>
          <w:rFonts w:hint="eastAsia" w:ascii="宋体" w:hAnsi="宋体"/>
          <w:sz w:val="28"/>
          <w:szCs w:val="28"/>
          <w:highlight w:val="none"/>
          <w:lang w:val="en-US"/>
        </w:rPr>
        <w:t>国家标准要求进行检测、填写原始记录表、出具监测报告并拍照</w:t>
      </w:r>
      <w:r>
        <w:rPr>
          <w:rFonts w:hint="eastAsia" w:ascii="宋体" w:hAnsi="宋体"/>
          <w:sz w:val="28"/>
          <w:szCs w:val="28"/>
          <w:highlight w:val="none"/>
          <w:lang w:val="en-US" w:eastAsia="zh-CN"/>
        </w:rPr>
        <w:t>。</w:t>
      </w:r>
    </w:p>
    <w:p>
      <w:pPr>
        <w:pStyle w:val="5"/>
        <w:rPr>
          <w:rFonts w:hint="eastAsia" w:ascii="宋体" w:hAnsi="宋体" w:eastAsia="宋体" w:cs="宋体"/>
          <w:kern w:val="2"/>
          <w:sz w:val="28"/>
          <w:szCs w:val="28"/>
          <w:highlight w:val="none"/>
          <w:lang w:val="en-US" w:eastAsia="zh-CN" w:bidi="ar-SA"/>
        </w:rPr>
      </w:pPr>
      <w:r>
        <w:rPr>
          <w:rFonts w:hint="eastAsia" w:ascii="宋体" w:hAnsi="宋体"/>
          <w:sz w:val="28"/>
          <w:szCs w:val="28"/>
          <w:highlight w:val="none"/>
          <w:lang w:val="en-US"/>
        </w:rPr>
        <w:t>1.1.</w:t>
      </w:r>
      <w:r>
        <w:rPr>
          <w:rFonts w:hint="eastAsia" w:ascii="宋体" w:hAnsi="宋体"/>
          <w:sz w:val="28"/>
          <w:szCs w:val="28"/>
          <w:highlight w:val="none"/>
          <w:lang w:val="en-US" w:eastAsia="zh-CN"/>
        </w:rPr>
        <w:t>8</w:t>
      </w:r>
      <w:r>
        <w:rPr>
          <w:rFonts w:hint="eastAsia" w:ascii="宋体" w:hAnsi="宋体"/>
          <w:sz w:val="28"/>
          <w:szCs w:val="28"/>
          <w:highlight w:val="none"/>
          <w:lang w:val="en-US"/>
        </w:rPr>
        <w:t>、</w:t>
      </w:r>
      <w:r>
        <w:rPr>
          <w:rFonts w:hint="eastAsia" w:ascii="宋体" w:hAnsi="宋体" w:eastAsia="宋体" w:cs="宋体"/>
          <w:kern w:val="2"/>
          <w:sz w:val="28"/>
          <w:szCs w:val="28"/>
          <w:highlight w:val="none"/>
          <w:lang w:val="en-US" w:eastAsia="zh-CN" w:bidi="ar-SA"/>
        </w:rPr>
        <w:t>第三方检测机构应在合同规定的时间内将每次检测的采样及样品流转记录、检测及原始记录、加盖鲜章的检测报告扫描件发送至指定邮箱并寄送纸质版至我公司。</w:t>
      </w:r>
    </w:p>
    <w:p>
      <w:pPr>
        <w:pStyle w:val="22"/>
        <w:spacing w:line="240" w:lineRule="auto"/>
        <w:ind w:left="-420" w:leftChars="-200" w:firstLine="560"/>
        <w:outlineLvl w:val="1"/>
        <w:rPr>
          <w:rFonts w:ascii="宋体" w:hAnsi="宋体"/>
          <w:sz w:val="28"/>
          <w:szCs w:val="28"/>
          <w:highlight w:val="none"/>
        </w:rPr>
      </w:pPr>
      <w:r>
        <w:rPr>
          <w:rFonts w:hint="eastAsia" w:ascii="宋体" w:hAnsi="宋体"/>
          <w:sz w:val="28"/>
          <w:szCs w:val="28"/>
          <w:highlight w:val="none"/>
          <w:lang w:val="en-US"/>
        </w:rPr>
        <w:t>2</w:t>
      </w:r>
      <w:r>
        <w:rPr>
          <w:rFonts w:hint="eastAsia" w:ascii="宋体" w:hAnsi="宋体"/>
          <w:sz w:val="28"/>
          <w:szCs w:val="28"/>
          <w:highlight w:val="none"/>
        </w:rPr>
        <w:t>、第三方内部质量控制活动</w:t>
      </w:r>
    </w:p>
    <w:p>
      <w:pPr>
        <w:pStyle w:val="22"/>
        <w:spacing w:line="240" w:lineRule="auto"/>
        <w:ind w:left="-420" w:leftChars="-200" w:firstLine="560"/>
        <w:outlineLvl w:val="1"/>
        <w:rPr>
          <w:rFonts w:ascii="宋体" w:hAnsi="宋体"/>
          <w:sz w:val="28"/>
          <w:szCs w:val="28"/>
          <w:highlight w:val="none"/>
        </w:rPr>
      </w:pPr>
      <w:r>
        <w:rPr>
          <w:rFonts w:hint="eastAsia" w:ascii="宋体" w:hAnsi="宋体"/>
          <w:sz w:val="28"/>
          <w:szCs w:val="28"/>
          <w:highlight w:val="none"/>
          <w:lang w:val="en-US"/>
        </w:rPr>
        <w:t>2.1第三方</w:t>
      </w:r>
      <w:r>
        <w:rPr>
          <w:rFonts w:hint="eastAsia" w:ascii="宋体" w:hAnsi="宋体"/>
          <w:sz w:val="28"/>
          <w:szCs w:val="28"/>
          <w:highlight w:val="none"/>
        </w:rPr>
        <w:t>内部质量控制技术校核</w:t>
      </w:r>
    </w:p>
    <w:p>
      <w:pPr>
        <w:pStyle w:val="22"/>
        <w:spacing w:line="240" w:lineRule="auto"/>
        <w:ind w:left="-420" w:leftChars="-200" w:firstLine="560"/>
        <w:outlineLvl w:val="1"/>
        <w:rPr>
          <w:rFonts w:ascii="宋体" w:hAnsi="宋体"/>
          <w:sz w:val="28"/>
          <w:szCs w:val="28"/>
          <w:highlight w:val="none"/>
        </w:rPr>
      </w:pPr>
      <w:r>
        <w:rPr>
          <w:rFonts w:hint="eastAsia" w:ascii="宋体" w:hAnsi="宋体"/>
          <w:sz w:val="28"/>
          <w:szCs w:val="28"/>
          <w:highlight w:val="none"/>
        </w:rPr>
        <w:t>（1）每次检测样品前均制作标准曲线或应用标准溶液校准标准曲线。</w:t>
      </w:r>
    </w:p>
    <w:p>
      <w:pPr>
        <w:pStyle w:val="22"/>
        <w:spacing w:line="240" w:lineRule="auto"/>
        <w:ind w:left="-420" w:leftChars="-200" w:firstLine="560"/>
        <w:outlineLvl w:val="1"/>
        <w:rPr>
          <w:rFonts w:ascii="宋体" w:hAnsi="宋体"/>
          <w:sz w:val="28"/>
          <w:szCs w:val="28"/>
          <w:highlight w:val="none"/>
        </w:rPr>
      </w:pPr>
      <w:r>
        <w:rPr>
          <w:rFonts w:hint="eastAsia" w:ascii="宋体" w:hAnsi="宋体"/>
          <w:sz w:val="28"/>
          <w:szCs w:val="28"/>
          <w:highlight w:val="none"/>
        </w:rPr>
        <w:t>（2）定期使用有证标准物质进行内部质量控制活动。</w:t>
      </w:r>
    </w:p>
    <w:p>
      <w:pPr>
        <w:pStyle w:val="22"/>
        <w:spacing w:line="240" w:lineRule="auto"/>
        <w:ind w:left="-420" w:leftChars="-200" w:firstLine="560"/>
        <w:outlineLvl w:val="1"/>
        <w:rPr>
          <w:rFonts w:ascii="宋体" w:hAnsi="宋体"/>
          <w:sz w:val="28"/>
          <w:szCs w:val="28"/>
          <w:highlight w:val="none"/>
        </w:rPr>
      </w:pPr>
      <w:r>
        <w:rPr>
          <w:rFonts w:hint="eastAsia" w:ascii="宋体" w:hAnsi="宋体"/>
          <w:sz w:val="28"/>
          <w:szCs w:val="28"/>
          <w:highlight w:val="none"/>
        </w:rPr>
        <w:t>（3）使用相同或不同的方法进行重复检测。</w:t>
      </w:r>
    </w:p>
    <w:p>
      <w:pPr>
        <w:pStyle w:val="22"/>
        <w:spacing w:line="240" w:lineRule="auto"/>
        <w:ind w:left="-420" w:leftChars="-200" w:firstLine="560"/>
        <w:outlineLvl w:val="1"/>
        <w:rPr>
          <w:rFonts w:ascii="宋体" w:hAnsi="宋体"/>
          <w:sz w:val="28"/>
          <w:szCs w:val="28"/>
          <w:highlight w:val="none"/>
        </w:rPr>
      </w:pPr>
      <w:r>
        <w:rPr>
          <w:rFonts w:hint="eastAsia" w:ascii="宋体" w:hAnsi="宋体"/>
          <w:sz w:val="28"/>
          <w:szCs w:val="28"/>
          <w:highlight w:val="none"/>
        </w:rPr>
        <w:t>（4）分析一个样品的不同特性结果的相关性。</w:t>
      </w:r>
    </w:p>
    <w:p>
      <w:pPr>
        <w:pStyle w:val="22"/>
        <w:spacing w:line="240" w:lineRule="auto"/>
        <w:ind w:left="-420" w:leftChars="-200" w:firstLine="560"/>
        <w:outlineLvl w:val="1"/>
        <w:rPr>
          <w:rFonts w:ascii="宋体" w:hAnsi="宋体"/>
          <w:sz w:val="28"/>
          <w:szCs w:val="28"/>
          <w:highlight w:val="none"/>
        </w:rPr>
      </w:pPr>
      <w:r>
        <w:rPr>
          <w:rFonts w:hint="eastAsia" w:ascii="宋体" w:hAnsi="宋体"/>
          <w:sz w:val="28"/>
          <w:szCs w:val="28"/>
          <w:highlight w:val="none"/>
        </w:rPr>
        <w:t>（5）密码平行样品、加标样品检测等考核。</w:t>
      </w:r>
    </w:p>
    <w:p>
      <w:pPr>
        <w:pStyle w:val="22"/>
        <w:spacing w:line="240" w:lineRule="auto"/>
        <w:ind w:left="-420" w:leftChars="-200" w:firstLine="560"/>
        <w:outlineLvl w:val="1"/>
        <w:rPr>
          <w:rFonts w:ascii="宋体" w:hAnsi="宋体"/>
          <w:sz w:val="28"/>
          <w:szCs w:val="28"/>
          <w:highlight w:val="none"/>
        </w:rPr>
      </w:pPr>
      <w:r>
        <w:rPr>
          <w:rFonts w:hint="eastAsia" w:ascii="宋体" w:hAnsi="宋体"/>
          <w:sz w:val="28"/>
          <w:szCs w:val="28"/>
          <w:highlight w:val="none"/>
        </w:rPr>
        <w:t>（6）对所得检测结果测量不确定度进行评定。</w:t>
      </w:r>
    </w:p>
    <w:p>
      <w:pPr>
        <w:pStyle w:val="22"/>
        <w:spacing w:line="240" w:lineRule="auto"/>
        <w:ind w:left="-420" w:leftChars="-200" w:firstLine="560"/>
        <w:outlineLvl w:val="1"/>
        <w:rPr>
          <w:rFonts w:ascii="宋体" w:hAnsi="宋体"/>
          <w:sz w:val="28"/>
          <w:szCs w:val="28"/>
          <w:highlight w:val="none"/>
        </w:rPr>
      </w:pPr>
      <w:r>
        <w:rPr>
          <w:rFonts w:hint="eastAsia" w:ascii="宋体" w:hAnsi="宋体"/>
          <w:sz w:val="28"/>
          <w:szCs w:val="28"/>
          <w:highlight w:val="none"/>
        </w:rPr>
        <w:t>（7）细菌检测培养基应用参考菌种进行灵敏度实验。</w:t>
      </w:r>
    </w:p>
    <w:p>
      <w:pPr>
        <w:pStyle w:val="22"/>
        <w:spacing w:line="240" w:lineRule="auto"/>
        <w:ind w:left="-420" w:leftChars="-200" w:firstLine="560"/>
        <w:outlineLvl w:val="1"/>
        <w:rPr>
          <w:rFonts w:ascii="宋体" w:hAnsi="宋体"/>
          <w:sz w:val="28"/>
          <w:szCs w:val="28"/>
          <w:highlight w:val="none"/>
        </w:rPr>
      </w:pPr>
      <w:r>
        <w:rPr>
          <w:rFonts w:hint="eastAsia" w:ascii="宋体" w:hAnsi="宋体"/>
          <w:sz w:val="28"/>
          <w:szCs w:val="28"/>
          <w:highlight w:val="none"/>
          <w:lang w:val="en-US"/>
        </w:rPr>
        <w:t>2.2第三方</w:t>
      </w:r>
      <w:r>
        <w:rPr>
          <w:rFonts w:hint="eastAsia" w:ascii="宋体" w:hAnsi="宋体"/>
          <w:sz w:val="28"/>
          <w:szCs w:val="28"/>
          <w:highlight w:val="none"/>
        </w:rPr>
        <w:t>内部质量控制计划</w:t>
      </w:r>
    </w:p>
    <w:p>
      <w:pPr>
        <w:pStyle w:val="22"/>
        <w:spacing w:line="240" w:lineRule="auto"/>
        <w:ind w:left="-420" w:leftChars="-200" w:firstLine="560"/>
        <w:outlineLvl w:val="1"/>
        <w:rPr>
          <w:rFonts w:ascii="宋体" w:hAnsi="宋体"/>
          <w:sz w:val="28"/>
          <w:szCs w:val="28"/>
          <w:highlight w:val="none"/>
        </w:rPr>
      </w:pPr>
      <w:r>
        <w:rPr>
          <w:rFonts w:hint="eastAsia" w:ascii="宋体" w:hAnsi="宋体"/>
          <w:sz w:val="28"/>
          <w:szCs w:val="28"/>
          <w:highlight w:val="none"/>
        </w:rPr>
        <w:t>（1）检测部根据质量控制计划，针对不同检测项目安排开展工作。</w:t>
      </w:r>
    </w:p>
    <w:p>
      <w:pPr>
        <w:pStyle w:val="22"/>
        <w:spacing w:line="240" w:lineRule="auto"/>
        <w:ind w:left="-420" w:leftChars="-200" w:firstLine="560"/>
        <w:outlineLvl w:val="1"/>
        <w:rPr>
          <w:rFonts w:ascii="宋体" w:hAnsi="宋体"/>
          <w:sz w:val="28"/>
          <w:szCs w:val="28"/>
          <w:highlight w:val="none"/>
        </w:rPr>
      </w:pPr>
      <w:r>
        <w:rPr>
          <w:rFonts w:hint="eastAsia" w:ascii="宋体" w:hAnsi="宋体"/>
          <w:sz w:val="28"/>
          <w:szCs w:val="28"/>
          <w:highlight w:val="none"/>
        </w:rPr>
        <w:t>（2）内部开展的一切质控活动的情况均应纳入每年的管理评审，进行评价。</w:t>
      </w:r>
    </w:p>
    <w:p>
      <w:pPr>
        <w:pStyle w:val="22"/>
        <w:spacing w:line="240" w:lineRule="auto"/>
        <w:ind w:left="-420" w:leftChars="-200" w:firstLine="560"/>
        <w:outlineLvl w:val="1"/>
        <w:rPr>
          <w:rFonts w:ascii="宋体" w:hAnsi="宋体"/>
          <w:sz w:val="28"/>
          <w:szCs w:val="28"/>
          <w:highlight w:val="none"/>
        </w:rPr>
      </w:pPr>
      <w:r>
        <w:rPr>
          <w:rFonts w:hint="eastAsia" w:ascii="宋体" w:hAnsi="宋体"/>
          <w:sz w:val="28"/>
          <w:szCs w:val="28"/>
          <w:highlight w:val="none"/>
        </w:rPr>
        <w:t>（3）档案管理员应按质量控制的计划，及时收集有关资料并编号归档保存。</w:t>
      </w:r>
    </w:p>
    <w:p>
      <w:pPr>
        <w:pStyle w:val="22"/>
        <w:spacing w:line="240" w:lineRule="auto"/>
        <w:ind w:left="-420" w:leftChars="-200" w:firstLine="560"/>
        <w:outlineLvl w:val="1"/>
        <w:rPr>
          <w:rFonts w:ascii="宋体" w:hAnsi="宋体"/>
          <w:sz w:val="28"/>
          <w:szCs w:val="28"/>
          <w:highlight w:val="none"/>
          <w:lang w:val="en-US"/>
        </w:rPr>
      </w:pPr>
      <w:r>
        <w:rPr>
          <w:rFonts w:hint="eastAsia" w:ascii="宋体" w:hAnsi="宋体"/>
          <w:sz w:val="28"/>
          <w:szCs w:val="28"/>
          <w:highlight w:val="none"/>
          <w:lang w:val="en-US"/>
        </w:rPr>
        <w:t>2.</w:t>
      </w:r>
      <w:r>
        <w:rPr>
          <w:rFonts w:hint="eastAsia" w:ascii="宋体" w:hAnsi="宋体"/>
          <w:sz w:val="28"/>
          <w:szCs w:val="28"/>
          <w:highlight w:val="none"/>
          <w:lang w:val="en-US" w:eastAsia="zh-CN"/>
        </w:rPr>
        <w:t>3</w:t>
      </w:r>
      <w:r>
        <w:rPr>
          <w:rFonts w:hint="eastAsia" w:ascii="宋体" w:hAnsi="宋体"/>
          <w:sz w:val="28"/>
          <w:szCs w:val="28"/>
          <w:highlight w:val="none"/>
          <w:lang w:val="en-US"/>
        </w:rPr>
        <w:t>、委托方对第三方检测公司的质控措施</w:t>
      </w:r>
    </w:p>
    <w:p>
      <w:pPr>
        <w:pStyle w:val="22"/>
        <w:spacing w:line="240" w:lineRule="auto"/>
        <w:ind w:left="-420" w:leftChars="-200" w:firstLine="560"/>
        <w:outlineLvl w:val="1"/>
        <w:rPr>
          <w:rFonts w:ascii="宋体" w:hAnsi="宋体"/>
          <w:sz w:val="28"/>
          <w:szCs w:val="28"/>
          <w:highlight w:val="none"/>
          <w:lang w:val="en-US"/>
        </w:rPr>
      </w:pPr>
      <w:r>
        <w:rPr>
          <w:rFonts w:hint="eastAsia" w:ascii="宋体" w:hAnsi="宋体"/>
          <w:sz w:val="28"/>
          <w:szCs w:val="28"/>
          <w:highlight w:val="none"/>
          <w:lang w:val="en-US"/>
        </w:rPr>
        <w:t>2.</w:t>
      </w:r>
      <w:r>
        <w:rPr>
          <w:rFonts w:hint="eastAsia" w:ascii="宋体" w:hAnsi="宋体"/>
          <w:sz w:val="28"/>
          <w:szCs w:val="28"/>
          <w:highlight w:val="none"/>
          <w:lang w:val="en-US" w:eastAsia="zh-CN"/>
        </w:rPr>
        <w:t>3</w:t>
      </w:r>
      <w:r>
        <w:rPr>
          <w:rFonts w:hint="eastAsia" w:ascii="宋体" w:hAnsi="宋体"/>
          <w:sz w:val="28"/>
          <w:szCs w:val="28"/>
          <w:highlight w:val="none"/>
          <w:lang w:val="en-US"/>
        </w:rPr>
        <w:t>.1、查看第三方检测公司的CMA资质，需有资质检测委托的相关项目，及相应检测报告、采样及样品流转、原始记录是否符合相关标准规范；</w:t>
      </w:r>
    </w:p>
    <w:p>
      <w:pPr>
        <w:pStyle w:val="22"/>
        <w:spacing w:line="240" w:lineRule="auto"/>
        <w:ind w:left="-420" w:leftChars="-200" w:firstLine="560"/>
        <w:outlineLvl w:val="1"/>
        <w:rPr>
          <w:rFonts w:ascii="宋体" w:hAnsi="宋体"/>
          <w:sz w:val="28"/>
          <w:szCs w:val="28"/>
          <w:highlight w:val="none"/>
          <w:lang w:val="en-US"/>
        </w:rPr>
      </w:pPr>
      <w:r>
        <w:rPr>
          <w:rFonts w:hint="eastAsia" w:ascii="宋体" w:hAnsi="宋体"/>
          <w:sz w:val="28"/>
          <w:szCs w:val="28"/>
          <w:highlight w:val="none"/>
          <w:lang w:val="en-US"/>
        </w:rPr>
        <w:t>2.</w:t>
      </w:r>
      <w:r>
        <w:rPr>
          <w:rFonts w:hint="eastAsia" w:ascii="宋体" w:hAnsi="宋体"/>
          <w:sz w:val="28"/>
          <w:szCs w:val="28"/>
          <w:highlight w:val="none"/>
          <w:lang w:val="en-US" w:eastAsia="zh-CN"/>
        </w:rPr>
        <w:t>3</w:t>
      </w:r>
      <w:r>
        <w:rPr>
          <w:rFonts w:hint="eastAsia" w:ascii="宋体" w:hAnsi="宋体"/>
          <w:sz w:val="28"/>
          <w:szCs w:val="28"/>
          <w:highlight w:val="none"/>
          <w:lang w:val="en-US"/>
        </w:rPr>
        <w:t>.2、查看第三方检测公司CMA认证的实验室，是否配备有相应的仪器设备及人员，所采用的检测方法是否符合相应标准规范的要求；</w:t>
      </w:r>
    </w:p>
    <w:p>
      <w:pPr>
        <w:pStyle w:val="22"/>
        <w:spacing w:line="240" w:lineRule="auto"/>
        <w:ind w:left="-420" w:leftChars="-200" w:firstLine="560"/>
        <w:outlineLvl w:val="1"/>
        <w:rPr>
          <w:rFonts w:ascii="宋体" w:hAnsi="宋体"/>
          <w:sz w:val="28"/>
          <w:szCs w:val="28"/>
          <w:highlight w:val="none"/>
          <w:lang w:val="en-US"/>
        </w:rPr>
      </w:pPr>
      <w:r>
        <w:rPr>
          <w:rFonts w:hint="eastAsia" w:ascii="宋体" w:hAnsi="宋体"/>
          <w:sz w:val="28"/>
          <w:szCs w:val="28"/>
          <w:highlight w:val="none"/>
          <w:lang w:val="en-US"/>
        </w:rPr>
        <w:t>2.</w:t>
      </w:r>
      <w:r>
        <w:rPr>
          <w:rFonts w:hint="eastAsia" w:ascii="宋体" w:hAnsi="宋体"/>
          <w:sz w:val="28"/>
          <w:szCs w:val="28"/>
          <w:highlight w:val="none"/>
          <w:lang w:val="en-US" w:eastAsia="zh-CN"/>
        </w:rPr>
        <w:t>3</w:t>
      </w:r>
      <w:r>
        <w:rPr>
          <w:rFonts w:hint="eastAsia" w:ascii="宋体" w:hAnsi="宋体"/>
          <w:sz w:val="28"/>
          <w:szCs w:val="28"/>
          <w:highlight w:val="none"/>
          <w:lang w:val="en-US"/>
        </w:rPr>
        <w:t>.3、对第三方检测公司实施质控样盲样比对，频次是一年1-3次；</w:t>
      </w:r>
    </w:p>
    <w:p>
      <w:pPr>
        <w:pStyle w:val="22"/>
        <w:spacing w:line="240" w:lineRule="auto"/>
        <w:ind w:left="-420" w:leftChars="-200" w:firstLine="560"/>
        <w:outlineLvl w:val="1"/>
        <w:rPr>
          <w:rFonts w:ascii="宋体" w:hAnsi="宋体"/>
          <w:sz w:val="28"/>
          <w:szCs w:val="28"/>
          <w:highlight w:val="none"/>
          <w:lang w:val="en-US"/>
        </w:rPr>
      </w:pPr>
      <w:r>
        <w:rPr>
          <w:rFonts w:hint="eastAsia" w:ascii="宋体" w:hAnsi="宋体"/>
          <w:sz w:val="28"/>
          <w:szCs w:val="28"/>
          <w:highlight w:val="none"/>
          <w:lang w:val="en-US"/>
        </w:rPr>
        <w:t>2.</w:t>
      </w:r>
      <w:r>
        <w:rPr>
          <w:rFonts w:hint="eastAsia" w:ascii="宋体" w:hAnsi="宋体"/>
          <w:sz w:val="28"/>
          <w:szCs w:val="28"/>
          <w:highlight w:val="none"/>
          <w:lang w:val="en-US" w:eastAsia="zh-CN"/>
        </w:rPr>
        <w:t>3</w:t>
      </w:r>
      <w:r>
        <w:rPr>
          <w:rFonts w:hint="eastAsia" w:ascii="宋体" w:hAnsi="宋体"/>
          <w:sz w:val="28"/>
          <w:szCs w:val="28"/>
          <w:highlight w:val="none"/>
          <w:lang w:val="en-US"/>
        </w:rPr>
        <w:t>.4、查看第三方检测公司对委托检测合同条款的履行情况。</w:t>
      </w:r>
    </w:p>
    <w:p>
      <w:pPr>
        <w:pStyle w:val="22"/>
        <w:spacing w:line="240" w:lineRule="auto"/>
        <w:ind w:left="-420" w:leftChars="-200" w:firstLine="560"/>
        <w:outlineLvl w:val="1"/>
        <w:rPr>
          <w:rFonts w:ascii="宋体" w:hAnsi="宋体"/>
          <w:sz w:val="28"/>
          <w:szCs w:val="28"/>
          <w:highlight w:val="none"/>
        </w:rPr>
      </w:pPr>
      <w:r>
        <w:rPr>
          <w:rFonts w:hint="eastAsia" w:ascii="宋体" w:hAnsi="宋体"/>
          <w:sz w:val="28"/>
          <w:szCs w:val="28"/>
          <w:highlight w:val="none"/>
        </w:rPr>
        <w:t>2.</w:t>
      </w:r>
      <w:r>
        <w:rPr>
          <w:rFonts w:hint="eastAsia" w:ascii="宋体" w:hAnsi="宋体"/>
          <w:sz w:val="28"/>
          <w:szCs w:val="28"/>
          <w:highlight w:val="none"/>
          <w:lang w:val="en-US" w:eastAsia="zh-CN"/>
        </w:rPr>
        <w:t>4</w:t>
      </w:r>
      <w:r>
        <w:rPr>
          <w:rFonts w:hint="eastAsia" w:ascii="宋体" w:hAnsi="宋体"/>
          <w:sz w:val="28"/>
          <w:szCs w:val="28"/>
          <w:highlight w:val="none"/>
        </w:rPr>
        <w:t>、检测及结果质量控制</w:t>
      </w:r>
    </w:p>
    <w:p>
      <w:pPr>
        <w:pStyle w:val="22"/>
        <w:spacing w:line="240" w:lineRule="auto"/>
        <w:ind w:left="-420" w:leftChars="-200" w:firstLine="560"/>
        <w:outlineLvl w:val="1"/>
        <w:rPr>
          <w:rFonts w:ascii="宋体" w:hAnsi="宋体"/>
          <w:sz w:val="28"/>
          <w:szCs w:val="28"/>
          <w:highlight w:val="none"/>
        </w:rPr>
      </w:pPr>
      <w:r>
        <w:rPr>
          <w:rFonts w:hint="eastAsia" w:ascii="宋体" w:hAnsi="宋体"/>
          <w:sz w:val="28"/>
          <w:szCs w:val="28"/>
          <w:highlight w:val="none"/>
        </w:rPr>
        <w:t>2.</w:t>
      </w:r>
      <w:r>
        <w:rPr>
          <w:rFonts w:hint="eastAsia" w:ascii="宋体" w:hAnsi="宋体"/>
          <w:sz w:val="28"/>
          <w:szCs w:val="28"/>
          <w:highlight w:val="none"/>
          <w:lang w:val="en-US" w:eastAsia="zh-CN"/>
        </w:rPr>
        <w:t>4</w:t>
      </w:r>
      <w:r>
        <w:rPr>
          <w:rFonts w:hint="eastAsia" w:ascii="宋体" w:hAnsi="宋体"/>
          <w:sz w:val="28"/>
          <w:szCs w:val="28"/>
          <w:highlight w:val="none"/>
        </w:rPr>
        <w:t>.1、综合部对委托检测协议书、接收样品、唯一性编号标识、检测报告领取等环节进行控制，保证实验室能充分理解客户的检测要求、检测样品的完整性，质量管理部根据委托检测协议书、检测原始记录以及其他相关材料起草检测报告，核查无误。</w:t>
      </w:r>
    </w:p>
    <w:p>
      <w:pPr>
        <w:pStyle w:val="22"/>
        <w:spacing w:line="240" w:lineRule="auto"/>
        <w:ind w:left="-420" w:leftChars="-200" w:firstLine="560"/>
        <w:outlineLvl w:val="1"/>
        <w:rPr>
          <w:rFonts w:ascii="宋体" w:hAnsi="宋体"/>
          <w:sz w:val="28"/>
          <w:szCs w:val="28"/>
          <w:highlight w:val="none"/>
        </w:rPr>
      </w:pPr>
      <w:r>
        <w:rPr>
          <w:rFonts w:hint="eastAsia" w:ascii="宋体" w:hAnsi="宋体"/>
          <w:sz w:val="28"/>
          <w:szCs w:val="28"/>
          <w:highlight w:val="none"/>
        </w:rPr>
        <w:t>2.</w:t>
      </w:r>
      <w:r>
        <w:rPr>
          <w:rFonts w:hint="eastAsia" w:ascii="宋体" w:hAnsi="宋体"/>
          <w:sz w:val="28"/>
          <w:szCs w:val="28"/>
          <w:highlight w:val="none"/>
          <w:lang w:val="en-US" w:eastAsia="zh-CN"/>
        </w:rPr>
        <w:t>4</w:t>
      </w:r>
      <w:r>
        <w:rPr>
          <w:rFonts w:hint="eastAsia" w:ascii="宋体" w:hAnsi="宋体"/>
          <w:sz w:val="28"/>
          <w:szCs w:val="28"/>
          <w:highlight w:val="none"/>
        </w:rPr>
        <w:t>.2、检验检测工作由培训合格的、有相关技术能力和专业背景，经本公司能力确认并由最高管理者授权的人员进行。</w:t>
      </w:r>
    </w:p>
    <w:p>
      <w:pPr>
        <w:pStyle w:val="22"/>
        <w:spacing w:line="240" w:lineRule="auto"/>
        <w:ind w:left="-420" w:leftChars="-200" w:firstLine="560"/>
        <w:outlineLvl w:val="1"/>
        <w:rPr>
          <w:rFonts w:ascii="宋体" w:hAnsi="宋体"/>
          <w:sz w:val="28"/>
          <w:szCs w:val="28"/>
          <w:highlight w:val="none"/>
        </w:rPr>
      </w:pPr>
      <w:r>
        <w:rPr>
          <w:rFonts w:hint="eastAsia" w:ascii="宋体" w:hAnsi="宋体"/>
          <w:sz w:val="28"/>
          <w:szCs w:val="28"/>
          <w:highlight w:val="none"/>
        </w:rPr>
        <w:t>2.</w:t>
      </w:r>
      <w:r>
        <w:rPr>
          <w:rFonts w:hint="eastAsia" w:ascii="宋体" w:hAnsi="宋体"/>
          <w:sz w:val="28"/>
          <w:szCs w:val="28"/>
          <w:highlight w:val="none"/>
          <w:lang w:val="en-US" w:eastAsia="zh-CN"/>
        </w:rPr>
        <w:t>4</w:t>
      </w:r>
      <w:r>
        <w:rPr>
          <w:rFonts w:hint="eastAsia" w:ascii="宋体" w:hAnsi="宋体"/>
          <w:sz w:val="28"/>
          <w:szCs w:val="28"/>
          <w:highlight w:val="none"/>
        </w:rPr>
        <w:t>.3、使用定期进行检定合格和校准符合要求的仪器设备，用于检验检测活动。按计划开展仪器设备的期间核查工作，保持其原有状态，防止使用不符合技术规范要求的设备。</w:t>
      </w:r>
    </w:p>
    <w:p>
      <w:pPr>
        <w:pStyle w:val="22"/>
        <w:spacing w:line="240" w:lineRule="auto"/>
        <w:ind w:left="-420" w:leftChars="-200" w:firstLine="560"/>
        <w:outlineLvl w:val="1"/>
        <w:rPr>
          <w:rFonts w:ascii="宋体" w:hAnsi="宋体"/>
          <w:sz w:val="28"/>
          <w:szCs w:val="28"/>
          <w:highlight w:val="none"/>
        </w:rPr>
      </w:pPr>
      <w:r>
        <w:rPr>
          <w:rFonts w:hint="eastAsia" w:ascii="宋体" w:hAnsi="宋体"/>
          <w:sz w:val="28"/>
          <w:szCs w:val="28"/>
          <w:highlight w:val="none"/>
        </w:rPr>
        <w:t>2.</w:t>
      </w:r>
      <w:r>
        <w:rPr>
          <w:rFonts w:hint="eastAsia" w:ascii="宋体" w:hAnsi="宋体"/>
          <w:sz w:val="28"/>
          <w:szCs w:val="28"/>
          <w:highlight w:val="none"/>
          <w:lang w:val="en-US" w:eastAsia="zh-CN"/>
        </w:rPr>
        <w:t>4</w:t>
      </w:r>
      <w:r>
        <w:rPr>
          <w:rFonts w:hint="eastAsia" w:ascii="宋体" w:hAnsi="宋体"/>
          <w:sz w:val="28"/>
          <w:szCs w:val="28"/>
          <w:highlight w:val="none"/>
        </w:rPr>
        <w:t>.4、尽可能使用有证标准物质，按计划开展标准物质期间核查工作，确保相关检测的结果能够溯源到国家基准。</w:t>
      </w:r>
    </w:p>
    <w:p>
      <w:pPr>
        <w:pStyle w:val="22"/>
        <w:spacing w:line="240" w:lineRule="auto"/>
        <w:ind w:left="-420" w:leftChars="-200" w:firstLine="560"/>
        <w:outlineLvl w:val="1"/>
        <w:rPr>
          <w:rFonts w:ascii="宋体" w:hAnsi="宋体"/>
          <w:sz w:val="28"/>
          <w:szCs w:val="28"/>
          <w:highlight w:val="none"/>
        </w:rPr>
      </w:pPr>
      <w:r>
        <w:rPr>
          <w:rFonts w:hint="eastAsia" w:ascii="宋体" w:hAnsi="宋体"/>
          <w:sz w:val="28"/>
          <w:szCs w:val="28"/>
          <w:highlight w:val="none"/>
        </w:rPr>
        <w:t>2.</w:t>
      </w:r>
      <w:r>
        <w:rPr>
          <w:rFonts w:hint="eastAsia" w:ascii="宋体" w:hAnsi="宋体"/>
          <w:sz w:val="28"/>
          <w:szCs w:val="28"/>
          <w:highlight w:val="none"/>
          <w:lang w:val="en-US" w:eastAsia="zh-CN"/>
        </w:rPr>
        <w:t>4</w:t>
      </w:r>
      <w:r>
        <w:rPr>
          <w:rFonts w:hint="eastAsia" w:ascii="宋体" w:hAnsi="宋体"/>
          <w:sz w:val="28"/>
          <w:szCs w:val="28"/>
          <w:highlight w:val="none"/>
        </w:rPr>
        <w:t>.5、对影响检测结果的化学试剂等消耗品进行质量验证，保证其使用不影响最终检测结果和质量。</w:t>
      </w:r>
    </w:p>
    <w:p>
      <w:pPr>
        <w:pStyle w:val="22"/>
        <w:spacing w:line="240" w:lineRule="auto"/>
        <w:ind w:left="-420" w:leftChars="-200" w:firstLine="560"/>
        <w:outlineLvl w:val="1"/>
        <w:rPr>
          <w:rFonts w:ascii="宋体" w:hAnsi="宋体"/>
          <w:sz w:val="28"/>
          <w:szCs w:val="28"/>
          <w:highlight w:val="none"/>
        </w:rPr>
      </w:pPr>
      <w:r>
        <w:rPr>
          <w:rFonts w:hint="eastAsia" w:ascii="宋体" w:hAnsi="宋体"/>
          <w:sz w:val="28"/>
          <w:szCs w:val="28"/>
          <w:highlight w:val="none"/>
        </w:rPr>
        <w:t>2.</w:t>
      </w:r>
      <w:r>
        <w:rPr>
          <w:rFonts w:hint="eastAsia" w:ascii="宋体" w:hAnsi="宋体"/>
          <w:sz w:val="28"/>
          <w:szCs w:val="28"/>
          <w:highlight w:val="none"/>
          <w:lang w:val="en-US" w:eastAsia="zh-CN"/>
        </w:rPr>
        <w:t>4</w:t>
      </w:r>
      <w:r>
        <w:rPr>
          <w:rFonts w:hint="eastAsia" w:ascii="宋体" w:hAnsi="宋体"/>
          <w:sz w:val="28"/>
          <w:szCs w:val="28"/>
          <w:highlight w:val="none"/>
        </w:rPr>
        <w:t>.6、定期开展标准查新和更换，保证检测室现场使用的检测标准、作业指导书均为现行有效版本。</w:t>
      </w:r>
    </w:p>
    <w:p>
      <w:pPr>
        <w:pStyle w:val="22"/>
        <w:spacing w:line="240" w:lineRule="auto"/>
        <w:ind w:left="-420" w:leftChars="-200" w:firstLine="560"/>
        <w:outlineLvl w:val="1"/>
        <w:rPr>
          <w:rFonts w:ascii="宋体" w:hAnsi="宋体"/>
          <w:sz w:val="28"/>
          <w:szCs w:val="28"/>
          <w:highlight w:val="none"/>
        </w:rPr>
      </w:pPr>
      <w:r>
        <w:rPr>
          <w:rFonts w:hint="eastAsia" w:ascii="宋体" w:hAnsi="宋体"/>
          <w:sz w:val="28"/>
          <w:szCs w:val="28"/>
          <w:highlight w:val="none"/>
        </w:rPr>
        <w:t>2.</w:t>
      </w:r>
      <w:r>
        <w:rPr>
          <w:rFonts w:hint="eastAsia" w:ascii="宋体" w:hAnsi="宋体"/>
          <w:sz w:val="28"/>
          <w:szCs w:val="28"/>
          <w:highlight w:val="none"/>
          <w:lang w:val="en-US" w:eastAsia="zh-CN"/>
        </w:rPr>
        <w:t>4</w:t>
      </w:r>
      <w:r>
        <w:rPr>
          <w:rFonts w:hint="eastAsia" w:ascii="宋体" w:hAnsi="宋体"/>
          <w:sz w:val="28"/>
          <w:szCs w:val="28"/>
          <w:highlight w:val="none"/>
        </w:rPr>
        <w:t>.7、对现场环境条件及设施进行有效监控，保证环境条件和相关设施符合检验检测活动要求。</w:t>
      </w:r>
    </w:p>
    <w:p>
      <w:pPr>
        <w:pStyle w:val="22"/>
        <w:spacing w:line="240" w:lineRule="auto"/>
        <w:ind w:left="-420" w:leftChars="-200" w:firstLine="560"/>
        <w:outlineLvl w:val="1"/>
        <w:rPr>
          <w:rFonts w:ascii="宋体" w:hAnsi="宋体"/>
          <w:sz w:val="28"/>
          <w:szCs w:val="28"/>
          <w:highlight w:val="none"/>
        </w:rPr>
      </w:pPr>
      <w:r>
        <w:rPr>
          <w:rFonts w:hint="eastAsia" w:ascii="宋体" w:hAnsi="宋体"/>
          <w:sz w:val="28"/>
          <w:szCs w:val="28"/>
          <w:highlight w:val="none"/>
        </w:rPr>
        <w:t>2.</w:t>
      </w:r>
      <w:r>
        <w:rPr>
          <w:rFonts w:hint="eastAsia" w:ascii="宋体" w:hAnsi="宋体"/>
          <w:sz w:val="28"/>
          <w:szCs w:val="28"/>
          <w:highlight w:val="none"/>
          <w:lang w:val="en-US" w:eastAsia="zh-CN"/>
        </w:rPr>
        <w:t>4</w:t>
      </w:r>
      <w:r>
        <w:rPr>
          <w:rFonts w:hint="eastAsia" w:ascii="宋体" w:hAnsi="宋体"/>
          <w:sz w:val="28"/>
          <w:szCs w:val="28"/>
          <w:highlight w:val="none"/>
        </w:rPr>
        <w:t>.8、检测部质量监督员对涉及检测结果的各项活动进行充分监督，尽可能运用统计技术对实验室的检测结果质量进行控制。</w:t>
      </w:r>
    </w:p>
    <w:p>
      <w:pPr>
        <w:pStyle w:val="22"/>
        <w:spacing w:line="240" w:lineRule="auto"/>
        <w:ind w:left="-420" w:leftChars="-200" w:firstLine="560"/>
        <w:outlineLvl w:val="1"/>
        <w:rPr>
          <w:rFonts w:ascii="宋体" w:hAnsi="宋体"/>
          <w:sz w:val="28"/>
          <w:szCs w:val="28"/>
          <w:highlight w:val="none"/>
        </w:rPr>
      </w:pPr>
      <w:r>
        <w:rPr>
          <w:rFonts w:hint="eastAsia" w:ascii="宋体" w:hAnsi="宋体"/>
          <w:sz w:val="28"/>
          <w:szCs w:val="28"/>
          <w:highlight w:val="none"/>
        </w:rPr>
        <w:t>2.</w:t>
      </w:r>
      <w:r>
        <w:rPr>
          <w:rFonts w:hint="eastAsia" w:ascii="宋体" w:hAnsi="宋体"/>
          <w:sz w:val="28"/>
          <w:szCs w:val="28"/>
          <w:highlight w:val="none"/>
          <w:lang w:val="en-US" w:eastAsia="zh-CN"/>
        </w:rPr>
        <w:t>5</w:t>
      </w:r>
      <w:r>
        <w:rPr>
          <w:rFonts w:hint="eastAsia" w:ascii="宋体" w:hAnsi="宋体"/>
          <w:sz w:val="28"/>
          <w:szCs w:val="28"/>
          <w:highlight w:val="none"/>
        </w:rPr>
        <w:t>、检测报告质量控制</w:t>
      </w:r>
    </w:p>
    <w:p>
      <w:pPr>
        <w:pStyle w:val="22"/>
        <w:spacing w:line="240" w:lineRule="auto"/>
        <w:ind w:left="-420" w:leftChars="-200" w:firstLine="560"/>
        <w:outlineLvl w:val="1"/>
        <w:rPr>
          <w:rFonts w:ascii="宋体" w:hAnsi="宋体"/>
          <w:sz w:val="28"/>
          <w:szCs w:val="28"/>
          <w:highlight w:val="none"/>
        </w:rPr>
      </w:pPr>
      <w:r>
        <w:rPr>
          <w:rFonts w:hint="eastAsia" w:ascii="宋体" w:hAnsi="宋体"/>
          <w:sz w:val="28"/>
          <w:szCs w:val="28"/>
          <w:highlight w:val="none"/>
        </w:rPr>
        <w:t>2.</w:t>
      </w:r>
      <w:r>
        <w:rPr>
          <w:rFonts w:hint="eastAsia" w:ascii="宋体" w:hAnsi="宋体"/>
          <w:sz w:val="28"/>
          <w:szCs w:val="28"/>
          <w:highlight w:val="none"/>
          <w:lang w:val="en-US" w:eastAsia="zh-CN"/>
        </w:rPr>
        <w:t>5</w:t>
      </w:r>
      <w:r>
        <w:rPr>
          <w:rFonts w:hint="eastAsia" w:ascii="宋体" w:hAnsi="宋体"/>
          <w:sz w:val="28"/>
          <w:szCs w:val="28"/>
          <w:highlight w:val="none"/>
        </w:rPr>
        <w:t>.1、检测报告编制人员、各级报告审查人员检查有关检测记录、检测方法、报告格式、结果判定是否满足要求，授权签字人对报告的正确性负责。</w:t>
      </w:r>
    </w:p>
    <w:p>
      <w:pPr>
        <w:pStyle w:val="22"/>
        <w:spacing w:line="240" w:lineRule="auto"/>
        <w:ind w:left="-420" w:leftChars="-200" w:firstLine="560"/>
        <w:outlineLvl w:val="1"/>
        <w:rPr>
          <w:rFonts w:ascii="宋体" w:hAnsi="宋体"/>
          <w:sz w:val="28"/>
          <w:szCs w:val="28"/>
          <w:highlight w:val="none"/>
        </w:rPr>
      </w:pPr>
      <w:r>
        <w:rPr>
          <w:rFonts w:hint="eastAsia" w:ascii="宋体" w:hAnsi="宋体"/>
          <w:sz w:val="28"/>
          <w:szCs w:val="28"/>
          <w:highlight w:val="none"/>
        </w:rPr>
        <w:t>2.</w:t>
      </w:r>
      <w:r>
        <w:rPr>
          <w:rFonts w:hint="eastAsia" w:ascii="宋体" w:hAnsi="宋体"/>
          <w:sz w:val="28"/>
          <w:szCs w:val="28"/>
          <w:highlight w:val="none"/>
          <w:lang w:val="en-US" w:eastAsia="zh-CN"/>
        </w:rPr>
        <w:t>5</w:t>
      </w:r>
      <w:r>
        <w:rPr>
          <w:rFonts w:hint="eastAsia" w:ascii="宋体" w:hAnsi="宋体"/>
          <w:sz w:val="28"/>
          <w:szCs w:val="28"/>
          <w:highlight w:val="none"/>
        </w:rPr>
        <w:t>.2、报告检查中，无论哪个环节发现问题，及时反馈，及时纠正，实现对报告质量的有效控制。</w:t>
      </w:r>
    </w:p>
    <w:p>
      <w:pPr>
        <w:pStyle w:val="22"/>
        <w:spacing w:line="240" w:lineRule="auto"/>
        <w:ind w:left="-420" w:leftChars="-200" w:firstLine="560"/>
        <w:outlineLvl w:val="1"/>
        <w:rPr>
          <w:rFonts w:ascii="宋体" w:hAnsi="宋体"/>
          <w:sz w:val="28"/>
          <w:szCs w:val="28"/>
          <w:highlight w:val="none"/>
        </w:rPr>
      </w:pPr>
      <w:r>
        <w:rPr>
          <w:rFonts w:hint="eastAsia" w:ascii="宋体" w:hAnsi="宋体"/>
          <w:sz w:val="28"/>
          <w:szCs w:val="28"/>
          <w:highlight w:val="none"/>
        </w:rPr>
        <w:t>（</w:t>
      </w:r>
      <w:r>
        <w:rPr>
          <w:rFonts w:hint="eastAsia" w:ascii="宋体" w:hAnsi="宋体"/>
          <w:sz w:val="28"/>
          <w:szCs w:val="28"/>
          <w:highlight w:val="none"/>
          <w:lang w:val="en-US"/>
        </w:rPr>
        <w:t>五</w:t>
      </w:r>
      <w:r>
        <w:rPr>
          <w:rFonts w:hint="eastAsia" w:ascii="宋体" w:hAnsi="宋体"/>
          <w:sz w:val="28"/>
          <w:szCs w:val="28"/>
          <w:highlight w:val="none"/>
        </w:rPr>
        <w:t>）在线运维质量保证与质量控制措施</w:t>
      </w:r>
    </w:p>
    <w:p>
      <w:pPr>
        <w:pStyle w:val="22"/>
        <w:spacing w:line="240" w:lineRule="auto"/>
        <w:ind w:left="-420" w:leftChars="-200" w:firstLine="560"/>
        <w:outlineLvl w:val="1"/>
        <w:rPr>
          <w:rFonts w:ascii="宋体" w:hAnsi="宋体"/>
          <w:sz w:val="28"/>
          <w:szCs w:val="28"/>
          <w:highlight w:val="none"/>
        </w:rPr>
      </w:pPr>
      <w:r>
        <w:rPr>
          <w:rFonts w:hint="eastAsia" w:ascii="宋体" w:hAnsi="宋体"/>
          <w:sz w:val="28"/>
          <w:szCs w:val="28"/>
          <w:highlight w:val="none"/>
        </w:rPr>
        <w:t>对水污染源在线监测系统各监测仪每月进行不少于一次手动/自动校准，至少进行一次实际水样比对试验和质控样试验，对上位机数据、仪表数据、数采仪数据、</w:t>
      </w:r>
      <w:r>
        <w:rPr>
          <w:rFonts w:hint="eastAsia" w:ascii="宋体" w:hAnsi="宋体"/>
          <w:sz w:val="28"/>
          <w:szCs w:val="28"/>
          <w:highlight w:val="none"/>
          <w:lang w:val="en-US" w:eastAsia="zh-CN"/>
        </w:rPr>
        <w:t>在线平</w:t>
      </w:r>
      <w:r>
        <w:rPr>
          <w:rFonts w:hint="eastAsia" w:ascii="宋体" w:hAnsi="宋体"/>
          <w:sz w:val="28"/>
          <w:szCs w:val="28"/>
          <w:highlight w:val="none"/>
        </w:rPr>
        <w:t>台数据进行不少于一次的一致性比对、校准。</w:t>
      </w:r>
    </w:p>
    <w:p>
      <w:pPr>
        <w:pStyle w:val="22"/>
        <w:spacing w:line="240" w:lineRule="auto"/>
        <w:ind w:left="-420" w:leftChars="-200" w:firstLine="560"/>
        <w:outlineLvl w:val="1"/>
        <w:rPr>
          <w:rFonts w:ascii="宋体" w:hAnsi="宋体"/>
          <w:sz w:val="28"/>
          <w:szCs w:val="28"/>
          <w:highlight w:val="none"/>
          <w:lang w:val="en-US"/>
        </w:rPr>
      </w:pPr>
      <w:r>
        <w:rPr>
          <w:rFonts w:hint="eastAsia" w:ascii="宋体" w:hAnsi="宋体"/>
          <w:sz w:val="28"/>
          <w:szCs w:val="28"/>
          <w:highlight w:val="none"/>
          <w:lang w:val="en-US"/>
        </w:rPr>
        <w:t>1、运维技术要求</w:t>
      </w:r>
    </w:p>
    <w:p>
      <w:pPr>
        <w:pStyle w:val="22"/>
        <w:spacing w:line="240" w:lineRule="auto"/>
        <w:ind w:left="-420" w:leftChars="-200" w:firstLine="560"/>
        <w:outlineLvl w:val="1"/>
        <w:rPr>
          <w:rFonts w:ascii="宋体" w:hAnsi="宋体"/>
          <w:sz w:val="28"/>
          <w:szCs w:val="28"/>
          <w:highlight w:val="none"/>
          <w:lang w:val="en-US"/>
        </w:rPr>
      </w:pPr>
      <w:r>
        <w:rPr>
          <w:rFonts w:hint="eastAsia" w:ascii="宋体" w:hAnsi="宋体"/>
          <w:sz w:val="28"/>
          <w:szCs w:val="28"/>
          <w:highlight w:val="none"/>
          <w:lang w:val="en-US"/>
        </w:rPr>
        <w:t>对 COD</w:t>
      </w:r>
      <w:r>
        <w:rPr>
          <w:rFonts w:hint="eastAsia" w:ascii="宋体" w:hAnsi="宋体"/>
          <w:sz w:val="28"/>
          <w:szCs w:val="28"/>
          <w:highlight w:val="none"/>
          <w:vertAlign w:val="subscript"/>
          <w:lang w:val="en-US"/>
        </w:rPr>
        <w:t>Cr</w:t>
      </w:r>
      <w:r>
        <w:rPr>
          <w:rFonts w:hint="eastAsia" w:ascii="宋体" w:hAnsi="宋体"/>
          <w:sz w:val="28"/>
          <w:szCs w:val="28"/>
          <w:highlight w:val="none"/>
          <w:lang w:val="en-US"/>
        </w:rPr>
        <w:t>、TOC、NH</w:t>
      </w:r>
      <w:r>
        <w:rPr>
          <w:rFonts w:hint="eastAsia" w:ascii="宋体" w:hAnsi="宋体"/>
          <w:sz w:val="28"/>
          <w:szCs w:val="28"/>
          <w:highlight w:val="none"/>
          <w:vertAlign w:val="subscript"/>
          <w:lang w:val="en-US"/>
        </w:rPr>
        <w:t>3</w:t>
      </w:r>
      <w:r>
        <w:rPr>
          <w:rFonts w:hint="eastAsia" w:ascii="宋体" w:hAnsi="宋体"/>
          <w:sz w:val="28"/>
          <w:szCs w:val="28"/>
          <w:highlight w:val="none"/>
          <w:lang w:val="en-US"/>
        </w:rPr>
        <w:t>-N、TP、TN 水质自动分析仪按照 HJ-355 的要求定期进行自动标样核查和自动校准，自动标样核查结果应满足HJ-355表1要求。</w:t>
      </w:r>
    </w:p>
    <w:p>
      <w:pPr>
        <w:pStyle w:val="22"/>
        <w:spacing w:line="240" w:lineRule="auto"/>
        <w:ind w:left="-420" w:leftChars="-200" w:firstLine="560"/>
        <w:outlineLvl w:val="1"/>
        <w:rPr>
          <w:rFonts w:ascii="宋体" w:hAnsi="宋体"/>
          <w:sz w:val="28"/>
          <w:szCs w:val="28"/>
          <w:highlight w:val="none"/>
          <w:lang w:val="en-US"/>
        </w:rPr>
      </w:pPr>
      <w:r>
        <w:rPr>
          <w:rFonts w:hint="eastAsia" w:ascii="宋体" w:hAnsi="宋体"/>
          <w:sz w:val="28"/>
          <w:szCs w:val="28"/>
          <w:highlight w:val="none"/>
          <w:lang w:val="en-US"/>
        </w:rPr>
        <w:t>对 COD</w:t>
      </w:r>
      <w:r>
        <w:rPr>
          <w:rFonts w:hint="eastAsia" w:ascii="宋体" w:hAnsi="宋体"/>
          <w:sz w:val="28"/>
          <w:szCs w:val="28"/>
          <w:highlight w:val="none"/>
          <w:vertAlign w:val="subscript"/>
          <w:lang w:val="en-US"/>
        </w:rPr>
        <w:t>Cr</w:t>
      </w:r>
      <w:r>
        <w:rPr>
          <w:rFonts w:hint="eastAsia" w:ascii="宋体" w:hAnsi="宋体"/>
          <w:sz w:val="28"/>
          <w:szCs w:val="28"/>
          <w:highlight w:val="none"/>
          <w:lang w:val="en-US"/>
        </w:rPr>
        <w:t>、TOC、NH</w:t>
      </w:r>
      <w:r>
        <w:rPr>
          <w:rFonts w:hint="eastAsia" w:ascii="宋体" w:hAnsi="宋体"/>
          <w:sz w:val="28"/>
          <w:szCs w:val="28"/>
          <w:highlight w:val="none"/>
          <w:vertAlign w:val="subscript"/>
          <w:lang w:val="en-US"/>
        </w:rPr>
        <w:t>3</w:t>
      </w:r>
      <w:r>
        <w:rPr>
          <w:rFonts w:hint="eastAsia" w:ascii="宋体" w:hAnsi="宋体"/>
          <w:sz w:val="28"/>
          <w:szCs w:val="28"/>
          <w:highlight w:val="none"/>
          <w:lang w:val="en-US"/>
        </w:rPr>
        <w:t>-N、TP、TN、pH 水质自动分析仪、温度计及超声波明渠流量计按照HJ-355要求定期进行实际水样比对试验，比对试验结果应满足HJ-355表1的要求，实际水样国家环境监测分析方法标准。</w:t>
      </w:r>
    </w:p>
    <w:p>
      <w:pPr>
        <w:pStyle w:val="22"/>
        <w:spacing w:line="240" w:lineRule="auto"/>
        <w:ind w:left="-420" w:leftChars="-200" w:firstLine="560"/>
        <w:outlineLvl w:val="1"/>
        <w:rPr>
          <w:rFonts w:hint="eastAsia" w:ascii="宋体" w:hAnsi="宋体"/>
          <w:sz w:val="28"/>
          <w:szCs w:val="28"/>
          <w:highlight w:val="none"/>
          <w:lang w:val="en-US"/>
        </w:rPr>
      </w:pPr>
      <w:r>
        <w:rPr>
          <w:rFonts w:hint="eastAsia" w:ascii="宋体" w:hAnsi="宋体"/>
          <w:sz w:val="28"/>
          <w:szCs w:val="28"/>
          <w:highlight w:val="none"/>
          <w:lang w:val="en-US"/>
        </w:rPr>
        <w:commentReference w:id="1"/>
      </w:r>
      <w:r>
        <w:rPr>
          <w:rFonts w:hint="eastAsia" w:ascii="宋体" w:hAnsi="宋体"/>
          <w:sz w:val="28"/>
          <w:szCs w:val="28"/>
          <w:highlight w:val="none"/>
          <w:lang w:val="en-US" w:eastAsia="zh-CN"/>
        </w:rPr>
        <w:t>2</w:t>
      </w:r>
      <w:r>
        <w:rPr>
          <w:rFonts w:hint="eastAsia" w:ascii="宋体" w:hAnsi="宋体"/>
          <w:sz w:val="28"/>
          <w:szCs w:val="28"/>
          <w:highlight w:val="none"/>
          <w:lang w:val="en-US"/>
        </w:rPr>
        <w:t>、校验、比对试验和质控样测试工作要求。</w:t>
      </w:r>
    </w:p>
    <w:p>
      <w:pPr>
        <w:pStyle w:val="22"/>
        <w:spacing w:line="240" w:lineRule="auto"/>
        <w:ind w:left="-420" w:leftChars="-200" w:firstLine="560"/>
        <w:outlineLvl w:val="1"/>
        <w:rPr>
          <w:rFonts w:ascii="宋体" w:hAnsi="宋体"/>
          <w:sz w:val="28"/>
          <w:szCs w:val="28"/>
          <w:highlight w:val="none"/>
          <w:lang w:val="en-US"/>
        </w:rPr>
      </w:pPr>
      <w:r>
        <w:rPr>
          <w:rFonts w:hint="eastAsia" w:ascii="宋体" w:hAnsi="宋体"/>
          <w:sz w:val="28"/>
          <w:szCs w:val="28"/>
          <w:highlight w:val="none"/>
          <w:lang w:val="en-US" w:eastAsia="zh-CN"/>
        </w:rPr>
        <w:t>2</w:t>
      </w:r>
      <w:r>
        <w:rPr>
          <w:rFonts w:hint="eastAsia" w:ascii="宋体" w:hAnsi="宋体"/>
          <w:sz w:val="28"/>
          <w:szCs w:val="28"/>
          <w:highlight w:val="none"/>
          <w:lang w:val="en-US"/>
        </w:rPr>
        <w:t>.1必要时对设备进行量程漂移、零点漂移和重复性测试。</w:t>
      </w:r>
    </w:p>
    <w:p>
      <w:pPr>
        <w:pStyle w:val="22"/>
        <w:spacing w:line="240" w:lineRule="auto"/>
        <w:ind w:left="-420" w:leftChars="-200" w:firstLine="560"/>
        <w:outlineLvl w:val="1"/>
        <w:rPr>
          <w:rFonts w:ascii="宋体" w:hAnsi="宋体"/>
          <w:sz w:val="28"/>
          <w:szCs w:val="28"/>
          <w:highlight w:val="none"/>
          <w:lang w:val="en-US"/>
        </w:rPr>
      </w:pPr>
      <w:r>
        <w:rPr>
          <w:rFonts w:hint="eastAsia" w:ascii="宋体" w:hAnsi="宋体"/>
          <w:sz w:val="28"/>
          <w:szCs w:val="28"/>
          <w:highlight w:val="none"/>
        </w:rPr>
        <w:t>（1）</w:t>
      </w:r>
      <w:r>
        <w:rPr>
          <w:rFonts w:hint="eastAsia" w:ascii="宋体" w:hAnsi="宋体"/>
          <w:sz w:val="28"/>
          <w:szCs w:val="28"/>
          <w:highlight w:val="none"/>
          <w:lang w:val="en-US"/>
        </w:rPr>
        <w:t>COD</w:t>
      </w:r>
      <w:r>
        <w:rPr>
          <w:rFonts w:hint="eastAsia" w:ascii="宋体" w:hAnsi="宋体"/>
          <w:sz w:val="28"/>
          <w:szCs w:val="28"/>
          <w:highlight w:val="none"/>
          <w:vertAlign w:val="subscript"/>
          <w:lang w:val="en-US"/>
        </w:rPr>
        <w:t>Cr</w:t>
      </w:r>
      <w:r>
        <w:rPr>
          <w:rFonts w:hint="eastAsia" w:ascii="宋体" w:hAnsi="宋体"/>
          <w:sz w:val="28"/>
          <w:szCs w:val="28"/>
          <w:highlight w:val="none"/>
          <w:lang w:val="en-US"/>
        </w:rPr>
        <w:t>自动监测仪的量程漂移、零点漂移和重复性测试方法见HJ377-2019《化学需氧量（COD</w:t>
      </w:r>
      <w:r>
        <w:rPr>
          <w:rFonts w:hint="eastAsia" w:ascii="宋体" w:hAnsi="宋体"/>
          <w:sz w:val="28"/>
          <w:szCs w:val="28"/>
          <w:highlight w:val="none"/>
          <w:vertAlign w:val="subscript"/>
          <w:lang w:val="en-US"/>
        </w:rPr>
        <w:t>Cr</w:t>
      </w:r>
      <w:r>
        <w:rPr>
          <w:rFonts w:hint="eastAsia" w:ascii="宋体" w:hAnsi="宋体"/>
          <w:sz w:val="28"/>
          <w:szCs w:val="28"/>
          <w:highlight w:val="none"/>
          <w:lang w:val="en-US"/>
        </w:rPr>
        <w:t>）水质在线自动监测仪技术要求及检测方法》。</w:t>
      </w:r>
    </w:p>
    <w:p>
      <w:pPr>
        <w:pStyle w:val="22"/>
        <w:spacing w:line="240" w:lineRule="auto"/>
        <w:ind w:left="-420" w:leftChars="-200" w:firstLine="560"/>
        <w:outlineLvl w:val="1"/>
        <w:rPr>
          <w:rFonts w:ascii="宋体" w:hAnsi="宋体"/>
          <w:sz w:val="28"/>
          <w:szCs w:val="28"/>
          <w:highlight w:val="none"/>
          <w:lang w:val="en-US"/>
        </w:rPr>
      </w:pPr>
      <w:r>
        <w:rPr>
          <w:rFonts w:hint="eastAsia" w:ascii="宋体" w:hAnsi="宋体"/>
          <w:sz w:val="28"/>
          <w:szCs w:val="28"/>
          <w:highlight w:val="none"/>
        </w:rPr>
        <w:t>（</w:t>
      </w:r>
      <w:r>
        <w:rPr>
          <w:rFonts w:hint="eastAsia" w:ascii="宋体" w:hAnsi="宋体"/>
          <w:sz w:val="28"/>
          <w:szCs w:val="28"/>
          <w:highlight w:val="none"/>
          <w:lang w:val="en-US"/>
        </w:rPr>
        <w:t>2</w:t>
      </w:r>
      <w:r>
        <w:rPr>
          <w:rFonts w:hint="eastAsia" w:ascii="宋体" w:hAnsi="宋体"/>
          <w:sz w:val="28"/>
          <w:szCs w:val="28"/>
          <w:highlight w:val="none"/>
        </w:rPr>
        <w:t>）</w:t>
      </w:r>
      <w:r>
        <w:rPr>
          <w:rFonts w:hint="eastAsia" w:ascii="宋体" w:hAnsi="宋体"/>
          <w:sz w:val="28"/>
          <w:szCs w:val="28"/>
          <w:highlight w:val="none"/>
          <w:lang w:val="en-US"/>
        </w:rPr>
        <w:t>氨氮自动监测仪的量程漂移、零点漂移和重复性测试方法详见HJ/T101-2019《氨氮水质在线自动监测仪技术要求及检测方法》</w:t>
      </w:r>
    </w:p>
    <w:p>
      <w:pPr>
        <w:pStyle w:val="22"/>
        <w:spacing w:line="240" w:lineRule="auto"/>
        <w:ind w:left="-420" w:leftChars="-200" w:firstLine="560"/>
        <w:outlineLvl w:val="1"/>
        <w:rPr>
          <w:rFonts w:ascii="宋体" w:hAnsi="宋体"/>
          <w:sz w:val="28"/>
          <w:szCs w:val="28"/>
          <w:highlight w:val="none"/>
          <w:lang w:val="en-US"/>
        </w:rPr>
      </w:pPr>
      <w:r>
        <w:rPr>
          <w:rFonts w:hint="eastAsia" w:ascii="宋体" w:hAnsi="宋体"/>
          <w:sz w:val="28"/>
          <w:szCs w:val="28"/>
          <w:highlight w:val="none"/>
        </w:rPr>
        <w:t>（</w:t>
      </w:r>
      <w:r>
        <w:rPr>
          <w:rFonts w:hint="eastAsia" w:ascii="宋体" w:hAnsi="宋体"/>
          <w:sz w:val="28"/>
          <w:szCs w:val="28"/>
          <w:highlight w:val="none"/>
          <w:lang w:val="en-US"/>
        </w:rPr>
        <w:t>3</w:t>
      </w:r>
      <w:r>
        <w:rPr>
          <w:rFonts w:hint="eastAsia" w:ascii="宋体" w:hAnsi="宋体"/>
          <w:sz w:val="28"/>
          <w:szCs w:val="28"/>
          <w:highlight w:val="none"/>
        </w:rPr>
        <w:t>）</w:t>
      </w:r>
      <w:r>
        <w:rPr>
          <w:rFonts w:hint="eastAsia" w:ascii="宋体" w:hAnsi="宋体"/>
          <w:sz w:val="28"/>
          <w:szCs w:val="28"/>
          <w:highlight w:val="none"/>
          <w:lang w:val="en-US"/>
        </w:rPr>
        <w:t>总磷总氮的量程漂移、零点漂移和重复性测试方法见HJ103-03《总磷水质自动分析仪技术要求》、HJ102-03《总氮水质自动分析仪技术要求》，具体操作参照各仪器使用说明书。</w:t>
      </w:r>
    </w:p>
    <w:p>
      <w:pPr>
        <w:pStyle w:val="22"/>
        <w:spacing w:line="240" w:lineRule="auto"/>
        <w:ind w:left="-420" w:leftChars="-200" w:firstLine="560"/>
        <w:outlineLvl w:val="1"/>
        <w:rPr>
          <w:rFonts w:ascii="宋体" w:hAnsi="宋体"/>
          <w:sz w:val="28"/>
          <w:szCs w:val="28"/>
          <w:highlight w:val="none"/>
          <w:lang w:val="en-US"/>
        </w:rPr>
      </w:pPr>
      <w:r>
        <w:rPr>
          <w:rFonts w:hint="eastAsia" w:ascii="宋体" w:hAnsi="宋体"/>
          <w:sz w:val="28"/>
          <w:szCs w:val="28"/>
          <w:highlight w:val="none"/>
        </w:rPr>
        <w:t>（</w:t>
      </w:r>
      <w:r>
        <w:rPr>
          <w:rFonts w:hint="eastAsia" w:ascii="宋体" w:hAnsi="宋体"/>
          <w:sz w:val="28"/>
          <w:szCs w:val="28"/>
          <w:highlight w:val="none"/>
          <w:lang w:val="en-US"/>
        </w:rPr>
        <w:t>4</w:t>
      </w:r>
      <w:r>
        <w:rPr>
          <w:rFonts w:hint="eastAsia" w:ascii="宋体" w:hAnsi="宋体"/>
          <w:sz w:val="28"/>
          <w:szCs w:val="28"/>
          <w:highlight w:val="none"/>
        </w:rPr>
        <w:t>）</w:t>
      </w:r>
      <w:r>
        <w:rPr>
          <w:rFonts w:hint="eastAsia" w:ascii="宋体" w:hAnsi="宋体"/>
          <w:sz w:val="28"/>
          <w:szCs w:val="28"/>
          <w:highlight w:val="none"/>
          <w:lang w:val="en-US"/>
        </w:rPr>
        <w:t>操作参照各仪器使用说明书。</w:t>
      </w:r>
    </w:p>
    <w:p>
      <w:pPr>
        <w:pStyle w:val="22"/>
        <w:spacing w:line="240" w:lineRule="auto"/>
        <w:ind w:left="-420" w:leftChars="-200" w:firstLine="560"/>
        <w:outlineLvl w:val="1"/>
        <w:rPr>
          <w:rFonts w:ascii="宋体" w:hAnsi="宋体"/>
          <w:sz w:val="28"/>
          <w:szCs w:val="28"/>
          <w:highlight w:val="none"/>
          <w:lang w:val="en-US"/>
        </w:rPr>
      </w:pPr>
      <w:r>
        <w:rPr>
          <w:rFonts w:hint="eastAsia" w:ascii="宋体" w:hAnsi="宋体"/>
          <w:sz w:val="28"/>
          <w:szCs w:val="28"/>
          <w:highlight w:val="none"/>
          <w:lang w:val="en-US" w:eastAsia="zh-CN"/>
        </w:rPr>
        <w:t>3</w:t>
      </w:r>
      <w:r>
        <w:rPr>
          <w:rFonts w:hint="eastAsia" w:ascii="宋体" w:hAnsi="宋体"/>
          <w:sz w:val="28"/>
          <w:szCs w:val="28"/>
          <w:highlight w:val="none"/>
          <w:lang w:val="en-US"/>
        </w:rPr>
        <w:t>、与标准方法比对试验</w:t>
      </w:r>
    </w:p>
    <w:p>
      <w:pPr>
        <w:pStyle w:val="22"/>
        <w:spacing w:line="240" w:lineRule="auto"/>
        <w:ind w:left="-420" w:leftChars="-200" w:firstLine="560"/>
        <w:outlineLvl w:val="1"/>
        <w:rPr>
          <w:rFonts w:ascii="宋体" w:hAnsi="宋体"/>
          <w:sz w:val="28"/>
          <w:szCs w:val="28"/>
          <w:highlight w:val="none"/>
          <w:lang w:val="en-US"/>
        </w:rPr>
      </w:pPr>
      <w:r>
        <w:rPr>
          <w:rFonts w:hint="eastAsia" w:ascii="宋体" w:hAnsi="宋体"/>
          <w:sz w:val="28"/>
          <w:szCs w:val="28"/>
          <w:highlight w:val="none"/>
          <w:lang w:val="en-US"/>
        </w:rPr>
        <w:t>除流量外，运维人员每月应对每个站点所有自动分析仪至少进行1次自动监测方法与实验室标准方法的比对试验，试验结果应满足HJ 355表1规定的要求。</w:t>
      </w:r>
    </w:p>
    <w:p>
      <w:pPr>
        <w:pStyle w:val="22"/>
        <w:spacing w:line="240" w:lineRule="auto"/>
        <w:ind w:left="-420" w:leftChars="-200" w:firstLine="560"/>
        <w:outlineLvl w:val="1"/>
        <w:rPr>
          <w:rFonts w:ascii="宋体" w:hAnsi="宋体"/>
          <w:sz w:val="28"/>
          <w:szCs w:val="28"/>
          <w:highlight w:val="none"/>
          <w:lang w:val="en-US"/>
        </w:rPr>
      </w:pPr>
      <w:r>
        <w:rPr>
          <w:rFonts w:hint="eastAsia" w:ascii="宋体" w:hAnsi="宋体"/>
          <w:sz w:val="28"/>
          <w:szCs w:val="28"/>
          <w:highlight w:val="none"/>
          <w:lang w:val="en-US" w:eastAsia="zh-CN"/>
        </w:rPr>
        <w:t>4</w:t>
      </w:r>
      <w:r>
        <w:rPr>
          <w:rFonts w:hint="eastAsia" w:ascii="宋体" w:hAnsi="宋体"/>
          <w:sz w:val="28"/>
          <w:szCs w:val="28"/>
          <w:highlight w:val="none"/>
          <w:lang w:val="en-US"/>
        </w:rPr>
        <w:t>、质控样试验</w:t>
      </w:r>
    </w:p>
    <w:p>
      <w:pPr>
        <w:pStyle w:val="22"/>
        <w:spacing w:line="240" w:lineRule="auto"/>
        <w:ind w:left="-420" w:leftChars="-200" w:firstLine="560"/>
        <w:outlineLvl w:val="1"/>
        <w:rPr>
          <w:rFonts w:ascii="宋体" w:hAnsi="宋体"/>
          <w:sz w:val="28"/>
          <w:szCs w:val="28"/>
          <w:highlight w:val="none"/>
          <w:lang w:val="en-US"/>
        </w:rPr>
      </w:pPr>
      <w:r>
        <w:rPr>
          <w:rFonts w:hint="eastAsia" w:ascii="宋体" w:hAnsi="宋体"/>
          <w:sz w:val="28"/>
          <w:szCs w:val="28"/>
          <w:highlight w:val="none"/>
          <w:lang w:val="en-US"/>
        </w:rPr>
        <w:t>运维人员每月应对每个站点所有自动分析仪至少进行1次质控样试验，采用国家认可的两种浓度的质控样进行试验，一种为接近废水浓度的质控样品，另一种为超过</w:t>
      </w:r>
      <w:r>
        <w:rPr>
          <w:rStyle w:val="18"/>
          <w:rFonts w:asciiTheme="minorHAnsi" w:hAnsiTheme="minorHAnsi" w:eastAsiaTheme="minorEastAsia" w:cstheme="minorBidi"/>
          <w:highlight w:val="none"/>
          <w:lang w:val="en-US"/>
        </w:rPr>
        <w:commentReference w:id="2"/>
      </w:r>
      <w:r>
        <w:rPr>
          <w:rFonts w:hint="eastAsia" w:ascii="宋体" w:hAnsi="宋体"/>
          <w:sz w:val="28"/>
          <w:szCs w:val="28"/>
          <w:highlight w:val="none"/>
          <w:lang w:val="en-US" w:eastAsia="zh-CN"/>
        </w:rPr>
        <w:t>相应</w:t>
      </w:r>
      <w:r>
        <w:rPr>
          <w:rFonts w:hint="eastAsia" w:ascii="宋体" w:hAnsi="宋体"/>
          <w:sz w:val="28"/>
          <w:szCs w:val="28"/>
          <w:highlight w:val="none"/>
          <w:lang w:val="en-US"/>
        </w:rPr>
        <w:t>排放标准浓度的质控样品，每种样品至少测定2次，质控样测定的相对误差不大于标准值的±10%。</w:t>
      </w:r>
    </w:p>
    <w:p>
      <w:pPr>
        <w:pStyle w:val="22"/>
        <w:spacing w:line="240" w:lineRule="auto"/>
        <w:ind w:left="-420" w:leftChars="-200" w:firstLine="560"/>
        <w:outlineLvl w:val="1"/>
        <w:rPr>
          <w:rFonts w:ascii="宋体" w:hAnsi="宋体"/>
          <w:sz w:val="28"/>
          <w:szCs w:val="28"/>
          <w:highlight w:val="none"/>
          <w:lang w:val="en-US"/>
        </w:rPr>
      </w:pPr>
      <w:r>
        <w:rPr>
          <w:rFonts w:hint="eastAsia" w:ascii="宋体" w:hAnsi="宋体"/>
          <w:sz w:val="28"/>
          <w:szCs w:val="28"/>
          <w:highlight w:val="none"/>
          <w:lang w:val="en-US" w:eastAsia="zh-CN"/>
        </w:rPr>
        <w:t>5</w:t>
      </w:r>
      <w:r>
        <w:rPr>
          <w:rFonts w:hint="eastAsia" w:ascii="宋体" w:hAnsi="宋体"/>
          <w:sz w:val="28"/>
          <w:szCs w:val="28"/>
          <w:highlight w:val="none"/>
          <w:lang w:val="en-US"/>
        </w:rPr>
        <w:t>、有效数据率</w:t>
      </w:r>
    </w:p>
    <w:p>
      <w:pPr>
        <w:pStyle w:val="22"/>
        <w:spacing w:line="240" w:lineRule="auto"/>
        <w:ind w:left="-420" w:leftChars="-200" w:firstLine="560"/>
        <w:outlineLvl w:val="1"/>
        <w:rPr>
          <w:rFonts w:ascii="宋体" w:hAnsi="宋体"/>
          <w:sz w:val="28"/>
          <w:szCs w:val="28"/>
          <w:highlight w:val="none"/>
          <w:lang w:val="en-US"/>
        </w:rPr>
      </w:pPr>
      <w:r>
        <w:rPr>
          <w:rFonts w:hint="eastAsia" w:ascii="宋体" w:hAnsi="宋体"/>
          <w:sz w:val="28"/>
          <w:szCs w:val="28"/>
          <w:highlight w:val="none"/>
          <w:lang w:val="en-US"/>
        </w:rPr>
        <w:t>以月为周期，计算每个周期内水污染源在线监测仪实际获得的有效数据的个数占应获得的有效数据的个数的百分比不得小于 90%，有效数据的判定参见 HJ-356 的相关规定。</w:t>
      </w:r>
    </w:p>
    <w:p>
      <w:pPr>
        <w:pStyle w:val="22"/>
        <w:spacing w:line="240" w:lineRule="auto"/>
        <w:ind w:left="-420" w:leftChars="-200" w:firstLine="560"/>
        <w:outlineLvl w:val="1"/>
        <w:rPr>
          <w:rFonts w:ascii="宋体" w:hAnsi="宋体"/>
          <w:sz w:val="28"/>
          <w:szCs w:val="28"/>
          <w:highlight w:val="none"/>
          <w:lang w:val="en-US"/>
        </w:rPr>
      </w:pPr>
      <w:r>
        <w:rPr>
          <w:rFonts w:hint="eastAsia" w:ascii="宋体" w:hAnsi="宋体"/>
          <w:sz w:val="28"/>
          <w:szCs w:val="28"/>
          <w:highlight w:val="none"/>
          <w:lang w:val="en-US" w:eastAsia="zh-CN"/>
        </w:rPr>
        <w:t>6</w:t>
      </w:r>
      <w:r>
        <w:rPr>
          <w:rFonts w:hint="eastAsia" w:ascii="宋体" w:hAnsi="宋体"/>
          <w:sz w:val="28"/>
          <w:szCs w:val="28"/>
          <w:highlight w:val="none"/>
          <w:lang w:val="en-US"/>
        </w:rPr>
        <w:t>、其他质量控制要求</w:t>
      </w:r>
    </w:p>
    <w:p>
      <w:pPr>
        <w:pStyle w:val="22"/>
        <w:spacing w:line="240" w:lineRule="auto"/>
        <w:ind w:left="-420" w:leftChars="-200" w:firstLine="560"/>
        <w:outlineLvl w:val="1"/>
        <w:rPr>
          <w:rFonts w:ascii="宋体" w:hAnsi="宋体"/>
          <w:sz w:val="28"/>
          <w:szCs w:val="28"/>
          <w:highlight w:val="none"/>
          <w:lang w:val="en-US"/>
        </w:rPr>
      </w:pPr>
      <w:r>
        <w:rPr>
          <w:rFonts w:hint="eastAsia" w:ascii="宋体" w:hAnsi="宋体"/>
          <w:sz w:val="28"/>
          <w:szCs w:val="28"/>
          <w:highlight w:val="none"/>
          <w:lang w:val="en-US" w:eastAsia="zh-CN"/>
        </w:rPr>
        <w:t>6</w:t>
      </w:r>
      <w:r>
        <w:rPr>
          <w:rFonts w:hint="eastAsia" w:ascii="宋体" w:hAnsi="宋体"/>
          <w:sz w:val="28"/>
          <w:szCs w:val="28"/>
          <w:highlight w:val="none"/>
          <w:lang w:val="en-US"/>
        </w:rPr>
        <w:t>.1应按照 HJ-91.1、HJ-493 以及本标准的相关要求对水样分析、自动监测实施质量控制。</w:t>
      </w:r>
    </w:p>
    <w:p>
      <w:pPr>
        <w:pStyle w:val="22"/>
        <w:spacing w:line="240" w:lineRule="auto"/>
        <w:ind w:left="-420" w:leftChars="-200" w:firstLine="560"/>
        <w:outlineLvl w:val="1"/>
        <w:rPr>
          <w:rFonts w:ascii="宋体" w:hAnsi="宋体"/>
          <w:sz w:val="28"/>
          <w:szCs w:val="28"/>
          <w:highlight w:val="none"/>
          <w:lang w:val="en-US"/>
        </w:rPr>
      </w:pPr>
      <w:r>
        <w:rPr>
          <w:rFonts w:hint="eastAsia" w:ascii="宋体" w:hAnsi="宋体"/>
          <w:sz w:val="28"/>
          <w:szCs w:val="28"/>
          <w:highlight w:val="none"/>
          <w:lang w:val="en-US" w:eastAsia="zh-CN"/>
        </w:rPr>
        <w:t>6</w:t>
      </w:r>
      <w:r>
        <w:rPr>
          <w:rFonts w:hint="eastAsia" w:ascii="宋体" w:hAnsi="宋体"/>
          <w:sz w:val="28"/>
          <w:szCs w:val="28"/>
          <w:highlight w:val="none"/>
          <w:lang w:val="en-US"/>
        </w:rPr>
        <w:t>.2对某一时段、某些异常水样，应不定期进行平行监测、加密监测和留样比对试验。</w:t>
      </w:r>
    </w:p>
    <w:p>
      <w:pPr>
        <w:pStyle w:val="22"/>
        <w:spacing w:line="240" w:lineRule="auto"/>
        <w:ind w:left="-420" w:leftChars="-200" w:firstLine="560"/>
        <w:outlineLvl w:val="1"/>
        <w:rPr>
          <w:rFonts w:ascii="宋体" w:hAnsi="宋体"/>
          <w:sz w:val="28"/>
          <w:szCs w:val="28"/>
          <w:highlight w:val="none"/>
          <w:lang w:val="en-US"/>
        </w:rPr>
      </w:pPr>
      <w:r>
        <w:rPr>
          <w:rFonts w:hint="eastAsia" w:ascii="宋体" w:hAnsi="宋体"/>
          <w:sz w:val="28"/>
          <w:szCs w:val="28"/>
          <w:highlight w:val="none"/>
          <w:lang w:val="en-US" w:eastAsia="zh-CN"/>
        </w:rPr>
        <w:t>6</w:t>
      </w:r>
      <w:r>
        <w:rPr>
          <w:rFonts w:hint="eastAsia" w:ascii="宋体" w:hAnsi="宋体"/>
          <w:sz w:val="28"/>
          <w:szCs w:val="28"/>
          <w:highlight w:val="none"/>
          <w:lang w:val="en-US"/>
        </w:rPr>
        <w:t>.3水污染源在线监测仪器所使用的标准溶液应正确保存且经有证的标准样品验证合格后方可使用。</w:t>
      </w:r>
    </w:p>
    <w:p>
      <w:pPr>
        <w:pStyle w:val="22"/>
        <w:spacing w:line="240" w:lineRule="auto"/>
        <w:ind w:left="-420" w:leftChars="-200" w:firstLine="560"/>
        <w:outlineLvl w:val="1"/>
        <w:rPr>
          <w:rFonts w:ascii="宋体" w:hAnsi="宋体"/>
          <w:sz w:val="28"/>
          <w:szCs w:val="28"/>
          <w:highlight w:val="none"/>
          <w:lang w:val="en-US"/>
        </w:rPr>
      </w:pPr>
      <w:r>
        <w:rPr>
          <w:rFonts w:hint="eastAsia" w:ascii="宋体" w:hAnsi="宋体"/>
          <w:sz w:val="28"/>
          <w:szCs w:val="28"/>
          <w:highlight w:val="none"/>
          <w:lang w:val="en-US"/>
        </w:rPr>
        <w:t xml:space="preserve">八、监测信息公开 </w:t>
      </w:r>
    </w:p>
    <w:p>
      <w:pPr>
        <w:pStyle w:val="22"/>
        <w:spacing w:line="240" w:lineRule="auto"/>
        <w:ind w:left="-420" w:leftChars="-200" w:firstLine="560"/>
        <w:outlineLvl w:val="1"/>
        <w:rPr>
          <w:rFonts w:ascii="宋体" w:hAnsi="宋体"/>
          <w:sz w:val="28"/>
          <w:szCs w:val="28"/>
          <w:highlight w:val="none"/>
          <w:lang w:val="en-US"/>
        </w:rPr>
      </w:pPr>
      <w:r>
        <w:rPr>
          <w:rFonts w:hint="eastAsia" w:ascii="宋体" w:hAnsi="宋体"/>
          <w:sz w:val="28"/>
          <w:szCs w:val="28"/>
          <w:highlight w:val="none"/>
          <w:lang w:val="en-US"/>
        </w:rPr>
        <w:t>我公司在省市级环境保护主管部门统一组织建立的公布平台上公开自行监测信息，并至少保存五年。公开内容：企业基础信息和监测数据一并公布，若基础信息和自行监测方案有调整变化时，将在变更后的五日内公布。公开时限：监测数据将于每次监测完成后的次日公布，每年一月底前公布上年度自行监测年度报告。</w:t>
      </w:r>
    </w:p>
    <w:p>
      <w:pPr>
        <w:pStyle w:val="22"/>
        <w:spacing w:line="240" w:lineRule="auto"/>
        <w:ind w:left="-420" w:leftChars="-200" w:firstLine="560"/>
        <w:outlineLvl w:val="1"/>
        <w:rPr>
          <w:rFonts w:ascii="宋体" w:hAnsi="宋体"/>
          <w:sz w:val="28"/>
          <w:szCs w:val="28"/>
          <w:highlight w:val="none"/>
          <w:lang w:val="en-US"/>
        </w:rPr>
      </w:pPr>
    </w:p>
    <w:sectPr>
      <w:pgSz w:w="11906" w:h="16838"/>
      <w:pgMar w:top="1440" w:right="1803" w:bottom="1440" w:left="1803" w:header="851" w:footer="992" w:gutter="0"/>
      <w:cols w:space="0" w:num="1"/>
      <w:docGrid w:type="lines" w:linePitch="319"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Administrator" w:date="2022-10-08T15:41:00Z" w:initials="A">
    <w:p w14:paraId="70F46DF7">
      <w:pPr>
        <w:pStyle w:val="5"/>
      </w:pPr>
      <w:r>
        <w:rPr>
          <w:rFonts w:hint="eastAsia"/>
        </w:rPr>
        <w:t>改为“第三方检测机构”</w:t>
      </w:r>
    </w:p>
  </w:comment>
  <w:comment w:id="1" w:author="Administrator" w:date="2022-10-08T16:01:00Z" w:initials="A">
    <w:p w14:paraId="0FE85E9F">
      <w:pPr>
        <w:pStyle w:val="5"/>
      </w:pPr>
      <w:r>
        <w:rPr>
          <w:rFonts w:hint="eastAsia"/>
        </w:rPr>
        <w:t>这是HJ/T355-2007的内容，HJ355-2019已取消零漂、量漂、手工校准的内容。</w:t>
      </w:r>
    </w:p>
  </w:comment>
  <w:comment w:id="2" w:author="Administrator" w:date="2022-10-08T16:07:00Z" w:initials="A">
    <w:p w14:paraId="7678329F">
      <w:pPr>
        <w:pStyle w:val="5"/>
      </w:pPr>
      <w:r>
        <w:rPr>
          <w:rFonts w:hint="eastAsia"/>
        </w:rPr>
        <w:t>相应</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70F46DF7" w15:done="0"/>
  <w15:commentEx w15:paraId="0FE85E9F" w15:done="0"/>
  <w15:commentEx w15:paraId="7678329F"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7"/>
                          </w:pPr>
                          <w:r>
                            <w:t xml:space="preserve">第 </w:t>
                          </w:r>
                          <w:r>
                            <w:fldChar w:fldCharType="begin"/>
                          </w:r>
                          <w:r>
                            <w:instrText xml:space="preserve"> PAGE  \* MERGEFORMAT </w:instrText>
                          </w:r>
                          <w:r>
                            <w:fldChar w:fldCharType="separate"/>
                          </w:r>
                          <w:r>
                            <w:t>26</w:t>
                          </w:r>
                          <w:r>
                            <w:fldChar w:fldCharType="end"/>
                          </w:r>
                          <w:r>
                            <w:t xml:space="preserve"> 页 共 </w:t>
                          </w:r>
                          <w:r>
                            <w:fldChar w:fldCharType="begin"/>
                          </w:r>
                          <w:r>
                            <w:instrText xml:space="preserve"> NUMPAGES  \* MERGEFORMAT </w:instrText>
                          </w:r>
                          <w:r>
                            <w:fldChar w:fldCharType="separate"/>
                          </w:r>
                          <w:r>
                            <w:t>30</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vk47wyAgAAYwQAAA4AAABkcnMvZTJvRG9jLnhtbK1UzY7TMBC+I/EO&#10;lu80aVlW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TjvDICAABjBAAADgAAAAAAAAABACAAAAAfAQAAZHJzL2Uyb0RvYy54bWxQSwUG&#10;AAAAAAYABgBZAQAAwwUAAAAA&#10;">
              <v:fill on="f" focussize="0,0"/>
              <v:stroke on="f" weight="0.5pt"/>
              <v:imagedata o:title=""/>
              <o:lock v:ext="edit" aspectratio="f"/>
              <v:textbox inset="0mm,0mm,0mm,0mm" style="mso-fit-shape-to-text:t;">
                <w:txbxContent>
                  <w:p>
                    <w:pPr>
                      <w:pStyle w:val="7"/>
                    </w:pPr>
                    <w:r>
                      <w:t xml:space="preserve">第 </w:t>
                    </w:r>
                    <w:r>
                      <w:fldChar w:fldCharType="begin"/>
                    </w:r>
                    <w:r>
                      <w:instrText xml:space="preserve"> PAGE  \* MERGEFORMAT </w:instrText>
                    </w:r>
                    <w:r>
                      <w:fldChar w:fldCharType="separate"/>
                    </w:r>
                    <w:r>
                      <w:t>26</w:t>
                    </w:r>
                    <w:r>
                      <w:fldChar w:fldCharType="end"/>
                    </w:r>
                    <w:r>
                      <w:t xml:space="preserve"> 页 共 </w:t>
                    </w:r>
                    <w:r>
                      <w:fldChar w:fldCharType="begin"/>
                    </w:r>
                    <w:r>
                      <w:instrText xml:space="preserve"> NUMPAGES  \* MERGEFORMAT </w:instrText>
                    </w:r>
                    <w:r>
                      <w:fldChar w:fldCharType="separate"/>
                    </w:r>
                    <w:r>
                      <w:t>30</w:t>
                    </w:r>
                    <w:r>
                      <w:fldChar w:fldCharType="end"/>
                    </w:r>
                    <w:r>
                      <w:t xml:space="preserve"> 页</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83D5902"/>
    <w:multiLevelType w:val="singleLevel"/>
    <w:tmpl w:val="D83D5902"/>
    <w:lvl w:ilvl="0" w:tentative="0">
      <w:start w:val="2"/>
      <w:numFmt w:val="decimal"/>
      <w:suff w:val="nothing"/>
      <w:lvlText w:val="%1、"/>
      <w:lvlJc w:val="left"/>
    </w:lvl>
  </w:abstractNum>
  <w:abstractNum w:abstractNumId="1">
    <w:nsid w:val="ED74E18C"/>
    <w:multiLevelType w:val="singleLevel"/>
    <w:tmpl w:val="ED74E18C"/>
    <w:lvl w:ilvl="0" w:tentative="0">
      <w:start w:val="1"/>
      <w:numFmt w:val="chineseCounting"/>
      <w:suff w:val="nothing"/>
      <w:lvlText w:val="%1、"/>
      <w:lvlJc w:val="left"/>
      <w:rPr>
        <w:rFonts w:hint="eastAsia"/>
      </w:rPr>
    </w:lvl>
  </w:abstractNum>
  <w:abstractNum w:abstractNumId="2">
    <w:nsid w:val="1AE732F5"/>
    <w:multiLevelType w:val="singleLevel"/>
    <w:tmpl w:val="1AE732F5"/>
    <w:lvl w:ilvl="0" w:tentative="0">
      <w:start w:val="2"/>
      <w:numFmt w:val="decimal"/>
      <w:lvlText w:val="%1."/>
      <w:lvlJc w:val="left"/>
      <w:pPr>
        <w:tabs>
          <w:tab w:val="left" w:pos="312"/>
        </w:tabs>
        <w:ind w:left="630" w:leftChars="0" w:firstLine="0" w:firstLineChars="0"/>
      </w:pPr>
    </w:lvl>
  </w:abstractNum>
  <w:abstractNum w:abstractNumId="3">
    <w:nsid w:val="31DBACCA"/>
    <w:multiLevelType w:val="singleLevel"/>
    <w:tmpl w:val="31DBACCA"/>
    <w:lvl w:ilvl="0" w:tentative="0">
      <w:start w:val="5"/>
      <w:numFmt w:val="decimal"/>
      <w:suff w:val="nothing"/>
      <w:lvlText w:val="%1、"/>
      <w:lvlJc w:val="left"/>
    </w:lvl>
  </w:abstractNum>
  <w:num w:numId="1">
    <w:abstractNumId w:val="1"/>
  </w:num>
  <w:num w:numId="2">
    <w:abstractNumId w:val="0"/>
  </w:num>
  <w:num w:numId="3">
    <w:abstractNumId w:val="3"/>
  </w:num>
  <w:num w:numId="4">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Administrator">
    <w15:presenceInfo w15:providerId="None" w15:userId="Administra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revisionView w:markup="0"/>
  <w:documentProtection w:enforcement="0"/>
  <w:defaultTabStop w:val="420"/>
  <w:drawingGridVerticalSpacing w:val="159"/>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E3MDI5ODM3OWI5YWU0N2EwM2UzMzkxZTMxZTBlZGMifQ=="/>
  </w:docVars>
  <w:rsids>
    <w:rsidRoot w:val="00EF740B"/>
    <w:rsid w:val="00064DBF"/>
    <w:rsid w:val="00070C07"/>
    <w:rsid w:val="000B3138"/>
    <w:rsid w:val="000D17F1"/>
    <w:rsid w:val="000E27FE"/>
    <w:rsid w:val="000E651E"/>
    <w:rsid w:val="0010023F"/>
    <w:rsid w:val="001157E8"/>
    <w:rsid w:val="0011743D"/>
    <w:rsid w:val="00183297"/>
    <w:rsid w:val="00197220"/>
    <w:rsid w:val="001A1B94"/>
    <w:rsid w:val="001C7702"/>
    <w:rsid w:val="001F1FD9"/>
    <w:rsid w:val="001F5467"/>
    <w:rsid w:val="002263A0"/>
    <w:rsid w:val="002408BC"/>
    <w:rsid w:val="00273D88"/>
    <w:rsid w:val="00275634"/>
    <w:rsid w:val="00292837"/>
    <w:rsid w:val="00294959"/>
    <w:rsid w:val="002D0D64"/>
    <w:rsid w:val="002D4697"/>
    <w:rsid w:val="00366E28"/>
    <w:rsid w:val="0038537E"/>
    <w:rsid w:val="003960F7"/>
    <w:rsid w:val="003B0247"/>
    <w:rsid w:val="003F03DA"/>
    <w:rsid w:val="003F6058"/>
    <w:rsid w:val="004122C4"/>
    <w:rsid w:val="00450A96"/>
    <w:rsid w:val="00482745"/>
    <w:rsid w:val="004D0C88"/>
    <w:rsid w:val="004E2685"/>
    <w:rsid w:val="004E39B2"/>
    <w:rsid w:val="004F04D3"/>
    <w:rsid w:val="0050037C"/>
    <w:rsid w:val="00560BAE"/>
    <w:rsid w:val="005862F7"/>
    <w:rsid w:val="005938E3"/>
    <w:rsid w:val="005B603E"/>
    <w:rsid w:val="005C2C7D"/>
    <w:rsid w:val="00601C8E"/>
    <w:rsid w:val="00602A42"/>
    <w:rsid w:val="00620980"/>
    <w:rsid w:val="00621748"/>
    <w:rsid w:val="006705C9"/>
    <w:rsid w:val="0068247E"/>
    <w:rsid w:val="006C7931"/>
    <w:rsid w:val="006F2CBE"/>
    <w:rsid w:val="007172D2"/>
    <w:rsid w:val="00783AE4"/>
    <w:rsid w:val="00794811"/>
    <w:rsid w:val="007E24D0"/>
    <w:rsid w:val="007F2EDF"/>
    <w:rsid w:val="00812ABF"/>
    <w:rsid w:val="00854A45"/>
    <w:rsid w:val="0087052E"/>
    <w:rsid w:val="008771E6"/>
    <w:rsid w:val="008A70AA"/>
    <w:rsid w:val="008B122F"/>
    <w:rsid w:val="008F6D33"/>
    <w:rsid w:val="00903586"/>
    <w:rsid w:val="00907C51"/>
    <w:rsid w:val="00932FB8"/>
    <w:rsid w:val="0093670B"/>
    <w:rsid w:val="009D3F93"/>
    <w:rsid w:val="009F7B33"/>
    <w:rsid w:val="00A355C1"/>
    <w:rsid w:val="00A47A26"/>
    <w:rsid w:val="00A810DF"/>
    <w:rsid w:val="00B30E9A"/>
    <w:rsid w:val="00B719C7"/>
    <w:rsid w:val="00B85BB5"/>
    <w:rsid w:val="00BB72D6"/>
    <w:rsid w:val="00BD1F19"/>
    <w:rsid w:val="00BE161C"/>
    <w:rsid w:val="00C1235C"/>
    <w:rsid w:val="00C159AC"/>
    <w:rsid w:val="00C52710"/>
    <w:rsid w:val="00C57ED5"/>
    <w:rsid w:val="00C7554A"/>
    <w:rsid w:val="00C82528"/>
    <w:rsid w:val="00CB4920"/>
    <w:rsid w:val="00CC69D7"/>
    <w:rsid w:val="00CF36D2"/>
    <w:rsid w:val="00D00C9C"/>
    <w:rsid w:val="00D56C9B"/>
    <w:rsid w:val="00D92D23"/>
    <w:rsid w:val="00DA06A3"/>
    <w:rsid w:val="00DB0F36"/>
    <w:rsid w:val="00DB2958"/>
    <w:rsid w:val="00DC55A1"/>
    <w:rsid w:val="00DD56DD"/>
    <w:rsid w:val="00E20D49"/>
    <w:rsid w:val="00E23C7B"/>
    <w:rsid w:val="00E456A9"/>
    <w:rsid w:val="00E57738"/>
    <w:rsid w:val="00E60B51"/>
    <w:rsid w:val="00E75DA5"/>
    <w:rsid w:val="00EC7B5F"/>
    <w:rsid w:val="00EF740B"/>
    <w:rsid w:val="00F06454"/>
    <w:rsid w:val="00F631F4"/>
    <w:rsid w:val="00FB0213"/>
    <w:rsid w:val="00FB4E1C"/>
    <w:rsid w:val="0154099A"/>
    <w:rsid w:val="01555D7E"/>
    <w:rsid w:val="018A5A92"/>
    <w:rsid w:val="021F72E7"/>
    <w:rsid w:val="02A67C7E"/>
    <w:rsid w:val="02C8641C"/>
    <w:rsid w:val="02E1151B"/>
    <w:rsid w:val="02E66B31"/>
    <w:rsid w:val="034A3564"/>
    <w:rsid w:val="036D3B7E"/>
    <w:rsid w:val="03C02F63"/>
    <w:rsid w:val="03FE7EAB"/>
    <w:rsid w:val="041E42F8"/>
    <w:rsid w:val="048F69CA"/>
    <w:rsid w:val="04E21369"/>
    <w:rsid w:val="04FE17BB"/>
    <w:rsid w:val="0518059E"/>
    <w:rsid w:val="057A17B3"/>
    <w:rsid w:val="05CF1AFF"/>
    <w:rsid w:val="06C07F8B"/>
    <w:rsid w:val="06F15AA5"/>
    <w:rsid w:val="06F85085"/>
    <w:rsid w:val="06FF4F43"/>
    <w:rsid w:val="0727288B"/>
    <w:rsid w:val="07BB67DE"/>
    <w:rsid w:val="08033CE1"/>
    <w:rsid w:val="0814288D"/>
    <w:rsid w:val="0852358C"/>
    <w:rsid w:val="08DF59C7"/>
    <w:rsid w:val="08FF094D"/>
    <w:rsid w:val="093C394F"/>
    <w:rsid w:val="09BC49DB"/>
    <w:rsid w:val="09EF41EC"/>
    <w:rsid w:val="0A210514"/>
    <w:rsid w:val="0A935352"/>
    <w:rsid w:val="0ADF27E4"/>
    <w:rsid w:val="0AE43B71"/>
    <w:rsid w:val="0AEC0F9D"/>
    <w:rsid w:val="0B931C26"/>
    <w:rsid w:val="0B96552F"/>
    <w:rsid w:val="0B9F4F76"/>
    <w:rsid w:val="0BB772BD"/>
    <w:rsid w:val="0C0760A9"/>
    <w:rsid w:val="0C8F3D96"/>
    <w:rsid w:val="0C966D59"/>
    <w:rsid w:val="0CDC2F4B"/>
    <w:rsid w:val="0D1C4BAA"/>
    <w:rsid w:val="0D6C19DE"/>
    <w:rsid w:val="0DBD4932"/>
    <w:rsid w:val="0E141D3F"/>
    <w:rsid w:val="0E5940F9"/>
    <w:rsid w:val="0E707BF7"/>
    <w:rsid w:val="0F0231C0"/>
    <w:rsid w:val="0F1D4359"/>
    <w:rsid w:val="101352E4"/>
    <w:rsid w:val="101557F4"/>
    <w:rsid w:val="10172994"/>
    <w:rsid w:val="10864295"/>
    <w:rsid w:val="10875725"/>
    <w:rsid w:val="10CB0F9B"/>
    <w:rsid w:val="10EA4509"/>
    <w:rsid w:val="119C5D74"/>
    <w:rsid w:val="11FD3605"/>
    <w:rsid w:val="122A56AE"/>
    <w:rsid w:val="1298255A"/>
    <w:rsid w:val="13103119"/>
    <w:rsid w:val="1378723F"/>
    <w:rsid w:val="13F65B75"/>
    <w:rsid w:val="14566EF5"/>
    <w:rsid w:val="146A5814"/>
    <w:rsid w:val="14BA1BCC"/>
    <w:rsid w:val="153100E0"/>
    <w:rsid w:val="159C16D5"/>
    <w:rsid w:val="159D2094"/>
    <w:rsid w:val="165862A5"/>
    <w:rsid w:val="1733791F"/>
    <w:rsid w:val="178768B3"/>
    <w:rsid w:val="183D2675"/>
    <w:rsid w:val="185B536B"/>
    <w:rsid w:val="18B02E62"/>
    <w:rsid w:val="18BD1C8B"/>
    <w:rsid w:val="18D53478"/>
    <w:rsid w:val="19555E96"/>
    <w:rsid w:val="19AA27D5"/>
    <w:rsid w:val="19DD32EE"/>
    <w:rsid w:val="19E00C32"/>
    <w:rsid w:val="19EB6441"/>
    <w:rsid w:val="1AED7D1E"/>
    <w:rsid w:val="1B2163C7"/>
    <w:rsid w:val="1B2755EA"/>
    <w:rsid w:val="1B39309C"/>
    <w:rsid w:val="1BF135A1"/>
    <w:rsid w:val="1C1B3898"/>
    <w:rsid w:val="1C33298F"/>
    <w:rsid w:val="1C84143D"/>
    <w:rsid w:val="1CB11B06"/>
    <w:rsid w:val="1CD83537"/>
    <w:rsid w:val="1D37200B"/>
    <w:rsid w:val="1D5C7E55"/>
    <w:rsid w:val="1D853265"/>
    <w:rsid w:val="1DDE4B7D"/>
    <w:rsid w:val="1DED4DC0"/>
    <w:rsid w:val="1DF83E91"/>
    <w:rsid w:val="1E2210EC"/>
    <w:rsid w:val="1E24168F"/>
    <w:rsid w:val="1E2E78B2"/>
    <w:rsid w:val="1E4A4FE2"/>
    <w:rsid w:val="1F325180"/>
    <w:rsid w:val="1F4F77A7"/>
    <w:rsid w:val="1F703EFB"/>
    <w:rsid w:val="1F83778A"/>
    <w:rsid w:val="1F947EAF"/>
    <w:rsid w:val="1FDB04FB"/>
    <w:rsid w:val="1FF47FEF"/>
    <w:rsid w:val="20131E3F"/>
    <w:rsid w:val="20823EE5"/>
    <w:rsid w:val="20E15A18"/>
    <w:rsid w:val="21166E41"/>
    <w:rsid w:val="211C1C81"/>
    <w:rsid w:val="22146DBF"/>
    <w:rsid w:val="2234120F"/>
    <w:rsid w:val="22DE422B"/>
    <w:rsid w:val="23E059AB"/>
    <w:rsid w:val="23E31A2F"/>
    <w:rsid w:val="23FF1AF8"/>
    <w:rsid w:val="244637ED"/>
    <w:rsid w:val="254A19F9"/>
    <w:rsid w:val="254C061E"/>
    <w:rsid w:val="25A22934"/>
    <w:rsid w:val="25C70A92"/>
    <w:rsid w:val="25DB3B2C"/>
    <w:rsid w:val="25EB42DB"/>
    <w:rsid w:val="25FA2EAE"/>
    <w:rsid w:val="26FE0374"/>
    <w:rsid w:val="270D1AB7"/>
    <w:rsid w:val="27421195"/>
    <w:rsid w:val="27626C1B"/>
    <w:rsid w:val="277C546C"/>
    <w:rsid w:val="290A34EE"/>
    <w:rsid w:val="29B64C00"/>
    <w:rsid w:val="29D37560"/>
    <w:rsid w:val="29E8760E"/>
    <w:rsid w:val="2A1E4C2F"/>
    <w:rsid w:val="2A5A6669"/>
    <w:rsid w:val="2A941233"/>
    <w:rsid w:val="2B094C81"/>
    <w:rsid w:val="2B4A073D"/>
    <w:rsid w:val="2B4B2491"/>
    <w:rsid w:val="2B8D7D27"/>
    <w:rsid w:val="2BA024D1"/>
    <w:rsid w:val="2BFB64CE"/>
    <w:rsid w:val="2D597D7C"/>
    <w:rsid w:val="2DCD3306"/>
    <w:rsid w:val="2E982B26"/>
    <w:rsid w:val="2ECD0A22"/>
    <w:rsid w:val="2ED977CD"/>
    <w:rsid w:val="2F0401BB"/>
    <w:rsid w:val="305544E1"/>
    <w:rsid w:val="30665FF5"/>
    <w:rsid w:val="307F16BF"/>
    <w:rsid w:val="30872E52"/>
    <w:rsid w:val="30B74574"/>
    <w:rsid w:val="31244B45"/>
    <w:rsid w:val="32E225C2"/>
    <w:rsid w:val="33C02CE0"/>
    <w:rsid w:val="33DA4A24"/>
    <w:rsid w:val="33DE0FDB"/>
    <w:rsid w:val="33ED7A91"/>
    <w:rsid w:val="34256C0A"/>
    <w:rsid w:val="34362BC5"/>
    <w:rsid w:val="34ED34A4"/>
    <w:rsid w:val="351C000D"/>
    <w:rsid w:val="352F545C"/>
    <w:rsid w:val="35327830"/>
    <w:rsid w:val="35556F1C"/>
    <w:rsid w:val="358636D8"/>
    <w:rsid w:val="360C62D3"/>
    <w:rsid w:val="364345C9"/>
    <w:rsid w:val="368E67A1"/>
    <w:rsid w:val="36C02C1A"/>
    <w:rsid w:val="38735E4A"/>
    <w:rsid w:val="38780954"/>
    <w:rsid w:val="393A4F06"/>
    <w:rsid w:val="394144E6"/>
    <w:rsid w:val="39993D6C"/>
    <w:rsid w:val="39994922"/>
    <w:rsid w:val="399B1E64"/>
    <w:rsid w:val="39B9172E"/>
    <w:rsid w:val="39EB7274"/>
    <w:rsid w:val="3A52348C"/>
    <w:rsid w:val="3A7E52C6"/>
    <w:rsid w:val="3AD42B84"/>
    <w:rsid w:val="3B4402BD"/>
    <w:rsid w:val="3B506F27"/>
    <w:rsid w:val="3B552F2C"/>
    <w:rsid w:val="3B826075"/>
    <w:rsid w:val="3C2D0D52"/>
    <w:rsid w:val="3CAB7EC8"/>
    <w:rsid w:val="3CB52B44"/>
    <w:rsid w:val="3CB80047"/>
    <w:rsid w:val="3D085E9A"/>
    <w:rsid w:val="3D45371A"/>
    <w:rsid w:val="3D711112"/>
    <w:rsid w:val="3DE90CA8"/>
    <w:rsid w:val="3E085C41"/>
    <w:rsid w:val="3F256874"/>
    <w:rsid w:val="3F620EF7"/>
    <w:rsid w:val="3FB96E7A"/>
    <w:rsid w:val="41517CCF"/>
    <w:rsid w:val="415C05F7"/>
    <w:rsid w:val="425F6720"/>
    <w:rsid w:val="427F1C4F"/>
    <w:rsid w:val="42A1594A"/>
    <w:rsid w:val="43023801"/>
    <w:rsid w:val="432452BD"/>
    <w:rsid w:val="43346E69"/>
    <w:rsid w:val="436A288B"/>
    <w:rsid w:val="43874252"/>
    <w:rsid w:val="43C405C0"/>
    <w:rsid w:val="4416031D"/>
    <w:rsid w:val="44E977E0"/>
    <w:rsid w:val="45034D45"/>
    <w:rsid w:val="453E4FA7"/>
    <w:rsid w:val="45812510"/>
    <w:rsid w:val="461F5BAF"/>
    <w:rsid w:val="4621749D"/>
    <w:rsid w:val="463E2A0A"/>
    <w:rsid w:val="467852BF"/>
    <w:rsid w:val="467A1037"/>
    <w:rsid w:val="467F03FC"/>
    <w:rsid w:val="46DD580B"/>
    <w:rsid w:val="46F1419F"/>
    <w:rsid w:val="47502CE7"/>
    <w:rsid w:val="477B0A55"/>
    <w:rsid w:val="477B4F01"/>
    <w:rsid w:val="47CB0DA4"/>
    <w:rsid w:val="4822696E"/>
    <w:rsid w:val="4850658B"/>
    <w:rsid w:val="48963D9F"/>
    <w:rsid w:val="492359B6"/>
    <w:rsid w:val="493556E9"/>
    <w:rsid w:val="49CB4442"/>
    <w:rsid w:val="4AD77089"/>
    <w:rsid w:val="4B132F8D"/>
    <w:rsid w:val="4B5A1B2C"/>
    <w:rsid w:val="4B715AD9"/>
    <w:rsid w:val="4B987338"/>
    <w:rsid w:val="4BA669A3"/>
    <w:rsid w:val="4BD1530A"/>
    <w:rsid w:val="4BD86F06"/>
    <w:rsid w:val="4C6A67E4"/>
    <w:rsid w:val="4C9732FE"/>
    <w:rsid w:val="4CA73289"/>
    <w:rsid w:val="4CE0596C"/>
    <w:rsid w:val="4D4759EB"/>
    <w:rsid w:val="4DB75EEC"/>
    <w:rsid w:val="4DED20EF"/>
    <w:rsid w:val="4E465DE4"/>
    <w:rsid w:val="4E9B6783"/>
    <w:rsid w:val="4F7626B4"/>
    <w:rsid w:val="4FA21522"/>
    <w:rsid w:val="4FA40ED3"/>
    <w:rsid w:val="4FD64DEE"/>
    <w:rsid w:val="4FE439C5"/>
    <w:rsid w:val="4FF22F20"/>
    <w:rsid w:val="50084BCD"/>
    <w:rsid w:val="501716A5"/>
    <w:rsid w:val="501C705E"/>
    <w:rsid w:val="504D73FC"/>
    <w:rsid w:val="505815DA"/>
    <w:rsid w:val="50786E81"/>
    <w:rsid w:val="50812FC2"/>
    <w:rsid w:val="50B35AB2"/>
    <w:rsid w:val="50BC5FF4"/>
    <w:rsid w:val="50C7131D"/>
    <w:rsid w:val="51143D2F"/>
    <w:rsid w:val="51922196"/>
    <w:rsid w:val="522927F7"/>
    <w:rsid w:val="524C640B"/>
    <w:rsid w:val="525F5585"/>
    <w:rsid w:val="527B23BF"/>
    <w:rsid w:val="53065896"/>
    <w:rsid w:val="531E2D4A"/>
    <w:rsid w:val="537312E8"/>
    <w:rsid w:val="54796F37"/>
    <w:rsid w:val="54852C1C"/>
    <w:rsid w:val="548C6DB7"/>
    <w:rsid w:val="54A021C2"/>
    <w:rsid w:val="557230FD"/>
    <w:rsid w:val="5590622A"/>
    <w:rsid w:val="559B2D78"/>
    <w:rsid w:val="55BC0B98"/>
    <w:rsid w:val="564C3009"/>
    <w:rsid w:val="578A4E52"/>
    <w:rsid w:val="57974F6F"/>
    <w:rsid w:val="582A3F3F"/>
    <w:rsid w:val="587E2954"/>
    <w:rsid w:val="58BD0550"/>
    <w:rsid w:val="58CF22E8"/>
    <w:rsid w:val="58EF066F"/>
    <w:rsid w:val="58F20F01"/>
    <w:rsid w:val="592139D4"/>
    <w:rsid w:val="5938479C"/>
    <w:rsid w:val="59575208"/>
    <w:rsid w:val="595D3C25"/>
    <w:rsid w:val="595F2FF2"/>
    <w:rsid w:val="59AC7302"/>
    <w:rsid w:val="59AF69D0"/>
    <w:rsid w:val="59F42E1F"/>
    <w:rsid w:val="5A9658BC"/>
    <w:rsid w:val="5AA565F8"/>
    <w:rsid w:val="5ACF4FDC"/>
    <w:rsid w:val="5AF076C2"/>
    <w:rsid w:val="5B78116D"/>
    <w:rsid w:val="5C25514A"/>
    <w:rsid w:val="5C3C4CC4"/>
    <w:rsid w:val="5CA46A76"/>
    <w:rsid w:val="5CF71AC5"/>
    <w:rsid w:val="5DFB2398"/>
    <w:rsid w:val="5E8D2A1A"/>
    <w:rsid w:val="5EF10742"/>
    <w:rsid w:val="5F557AF4"/>
    <w:rsid w:val="5F780D96"/>
    <w:rsid w:val="5F9E614C"/>
    <w:rsid w:val="60897A34"/>
    <w:rsid w:val="60A42FA9"/>
    <w:rsid w:val="60EE4265"/>
    <w:rsid w:val="61990081"/>
    <w:rsid w:val="61EC5559"/>
    <w:rsid w:val="61ED7B7E"/>
    <w:rsid w:val="62214605"/>
    <w:rsid w:val="62612C54"/>
    <w:rsid w:val="62E80C7F"/>
    <w:rsid w:val="63064050"/>
    <w:rsid w:val="638213FF"/>
    <w:rsid w:val="641D41C0"/>
    <w:rsid w:val="65125090"/>
    <w:rsid w:val="652977A7"/>
    <w:rsid w:val="659406EA"/>
    <w:rsid w:val="65B67FEC"/>
    <w:rsid w:val="65DD0843"/>
    <w:rsid w:val="66081B74"/>
    <w:rsid w:val="66194291"/>
    <w:rsid w:val="665A00E6"/>
    <w:rsid w:val="682C6805"/>
    <w:rsid w:val="68356575"/>
    <w:rsid w:val="68376930"/>
    <w:rsid w:val="685A4111"/>
    <w:rsid w:val="68D329C6"/>
    <w:rsid w:val="68E5013A"/>
    <w:rsid w:val="69236EB5"/>
    <w:rsid w:val="69581903"/>
    <w:rsid w:val="69C02956"/>
    <w:rsid w:val="69F119F4"/>
    <w:rsid w:val="6BA73DCD"/>
    <w:rsid w:val="6BD44D33"/>
    <w:rsid w:val="6BF93EB1"/>
    <w:rsid w:val="6C4D627E"/>
    <w:rsid w:val="6CF1051B"/>
    <w:rsid w:val="6D363EE7"/>
    <w:rsid w:val="6D456E3D"/>
    <w:rsid w:val="6DA305C4"/>
    <w:rsid w:val="6E33701B"/>
    <w:rsid w:val="6E6A78E8"/>
    <w:rsid w:val="6E8B1784"/>
    <w:rsid w:val="6EE80067"/>
    <w:rsid w:val="6EF46A4E"/>
    <w:rsid w:val="6F3643B7"/>
    <w:rsid w:val="6F380483"/>
    <w:rsid w:val="6F60676D"/>
    <w:rsid w:val="6F965C2F"/>
    <w:rsid w:val="6FA43561"/>
    <w:rsid w:val="7007308C"/>
    <w:rsid w:val="70DC5ECC"/>
    <w:rsid w:val="711A6DEF"/>
    <w:rsid w:val="71975375"/>
    <w:rsid w:val="71E80C9B"/>
    <w:rsid w:val="72895D82"/>
    <w:rsid w:val="729D1A86"/>
    <w:rsid w:val="72DD7BA9"/>
    <w:rsid w:val="72E71D28"/>
    <w:rsid w:val="7447614D"/>
    <w:rsid w:val="74624D35"/>
    <w:rsid w:val="74744A68"/>
    <w:rsid w:val="74AE1D28"/>
    <w:rsid w:val="74C26DA2"/>
    <w:rsid w:val="74FA6D1C"/>
    <w:rsid w:val="75646F31"/>
    <w:rsid w:val="756D3991"/>
    <w:rsid w:val="75EF73FA"/>
    <w:rsid w:val="75F14E8B"/>
    <w:rsid w:val="76277EEE"/>
    <w:rsid w:val="763249C0"/>
    <w:rsid w:val="76870A83"/>
    <w:rsid w:val="768B7037"/>
    <w:rsid w:val="76A42953"/>
    <w:rsid w:val="76D0344E"/>
    <w:rsid w:val="76D348AD"/>
    <w:rsid w:val="76E25CB9"/>
    <w:rsid w:val="77062C53"/>
    <w:rsid w:val="77296687"/>
    <w:rsid w:val="77530725"/>
    <w:rsid w:val="77824FE1"/>
    <w:rsid w:val="7834699C"/>
    <w:rsid w:val="785726D7"/>
    <w:rsid w:val="787D038F"/>
    <w:rsid w:val="790E7239"/>
    <w:rsid w:val="79467729"/>
    <w:rsid w:val="794B1A56"/>
    <w:rsid w:val="7A477914"/>
    <w:rsid w:val="7B1C3799"/>
    <w:rsid w:val="7B5178B1"/>
    <w:rsid w:val="7C124026"/>
    <w:rsid w:val="7CA24B47"/>
    <w:rsid w:val="7D2F59D0"/>
    <w:rsid w:val="7D625DA6"/>
    <w:rsid w:val="7D731D61"/>
    <w:rsid w:val="7D7D2BE0"/>
    <w:rsid w:val="7DC9403A"/>
    <w:rsid w:val="7DFA5FDE"/>
    <w:rsid w:val="7E260B81"/>
    <w:rsid w:val="7E7D6750"/>
    <w:rsid w:val="7F363046"/>
    <w:rsid w:val="7F41333F"/>
    <w:rsid w:val="7F5D4A77"/>
    <w:rsid w:val="7FEC212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qFormat/>
    <w:uiPriority w:val="9"/>
    <w:pPr>
      <w:keepNext/>
      <w:keepLines/>
      <w:spacing w:before="340" w:after="330" w:line="578" w:lineRule="auto"/>
      <w:outlineLvl w:val="0"/>
    </w:pPr>
    <w:rPr>
      <w:b/>
      <w:bCs/>
      <w:kern w:val="44"/>
      <w:sz w:val="30"/>
      <w:szCs w:val="44"/>
    </w:rPr>
  </w:style>
  <w:style w:type="paragraph" w:styleId="2">
    <w:name w:val="heading 2"/>
    <w:basedOn w:val="1"/>
    <w:next w:val="1"/>
    <w:link w:val="24"/>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semiHidden/>
    <w:unhideWhenUsed/>
    <w:qFormat/>
    <w:uiPriority w:val="9"/>
    <w:pPr>
      <w:spacing w:beforeAutospacing="1" w:afterAutospacing="1"/>
      <w:jc w:val="left"/>
      <w:outlineLvl w:val="2"/>
    </w:pPr>
    <w:rPr>
      <w:rFonts w:hint="eastAsia" w:ascii="宋体" w:hAnsi="宋体" w:eastAsia="宋体" w:cs="Times New Roman"/>
      <w:b/>
      <w:bCs/>
      <w:kern w:val="0"/>
      <w:sz w:val="27"/>
      <w:szCs w:val="27"/>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5">
    <w:name w:val="annotation text"/>
    <w:basedOn w:val="1"/>
    <w:link w:val="38"/>
    <w:semiHidden/>
    <w:unhideWhenUsed/>
    <w:qFormat/>
    <w:uiPriority w:val="99"/>
    <w:pPr>
      <w:jc w:val="left"/>
    </w:pPr>
  </w:style>
  <w:style w:type="paragraph" w:styleId="6">
    <w:name w:val="Balloon Text"/>
    <w:basedOn w:val="1"/>
    <w:link w:val="37"/>
    <w:semiHidden/>
    <w:unhideWhenUsed/>
    <w:qFormat/>
    <w:uiPriority w:val="99"/>
    <w:rPr>
      <w:sz w:val="18"/>
      <w:szCs w:val="18"/>
    </w:rPr>
  </w:style>
  <w:style w:type="paragraph" w:styleId="7">
    <w:name w:val="footer"/>
    <w:basedOn w:val="1"/>
    <w:link w:val="20"/>
    <w:unhideWhenUsed/>
    <w:qFormat/>
    <w:uiPriority w:val="99"/>
    <w:pPr>
      <w:tabs>
        <w:tab w:val="center" w:pos="4153"/>
        <w:tab w:val="right" w:pos="8306"/>
      </w:tabs>
      <w:snapToGrid w:val="0"/>
      <w:jc w:val="left"/>
    </w:pPr>
    <w:rPr>
      <w:sz w:val="18"/>
      <w:szCs w:val="18"/>
    </w:rPr>
  </w:style>
  <w:style w:type="paragraph" w:styleId="8">
    <w:name w:val="header"/>
    <w:basedOn w:val="1"/>
    <w:link w:val="19"/>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Subtitle"/>
    <w:basedOn w:val="1"/>
    <w:next w:val="1"/>
    <w:qFormat/>
    <w:uiPriority w:val="11"/>
    <w:pPr>
      <w:spacing w:before="240" w:after="60" w:line="312" w:lineRule="auto"/>
      <w:jc w:val="center"/>
      <w:outlineLvl w:val="1"/>
    </w:pPr>
    <w:rPr>
      <w:b/>
      <w:bCs/>
      <w:kern w:val="28"/>
      <w:sz w:val="32"/>
      <w:szCs w:val="32"/>
    </w:rPr>
  </w:style>
  <w:style w:type="paragraph" w:styleId="10">
    <w:name w:val="Normal (Web)"/>
    <w:basedOn w:val="1"/>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11">
    <w:name w:val="annotation subject"/>
    <w:basedOn w:val="5"/>
    <w:next w:val="5"/>
    <w:link w:val="39"/>
    <w:semiHidden/>
    <w:unhideWhenUsed/>
    <w:qFormat/>
    <w:uiPriority w:val="99"/>
    <w:rPr>
      <w:b/>
      <w:bCs/>
    </w:rPr>
  </w:style>
  <w:style w:type="table" w:styleId="13">
    <w:name w:val="Table Grid"/>
    <w:basedOn w:val="12"/>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5">
    <w:name w:val="Strong"/>
    <w:basedOn w:val="14"/>
    <w:qFormat/>
    <w:uiPriority w:val="22"/>
    <w:rPr>
      <w:b/>
    </w:rPr>
  </w:style>
  <w:style w:type="character" w:styleId="16">
    <w:name w:val="Emphasis"/>
    <w:basedOn w:val="14"/>
    <w:qFormat/>
    <w:uiPriority w:val="20"/>
    <w:rPr>
      <w:i/>
    </w:rPr>
  </w:style>
  <w:style w:type="character" w:styleId="17">
    <w:name w:val="Hyperlink"/>
    <w:basedOn w:val="14"/>
    <w:semiHidden/>
    <w:unhideWhenUsed/>
    <w:qFormat/>
    <w:uiPriority w:val="99"/>
    <w:rPr>
      <w:color w:val="0000FF"/>
      <w:u w:val="single"/>
    </w:rPr>
  </w:style>
  <w:style w:type="character" w:styleId="18">
    <w:name w:val="annotation reference"/>
    <w:basedOn w:val="14"/>
    <w:semiHidden/>
    <w:unhideWhenUsed/>
    <w:qFormat/>
    <w:uiPriority w:val="99"/>
    <w:rPr>
      <w:sz w:val="21"/>
      <w:szCs w:val="21"/>
    </w:rPr>
  </w:style>
  <w:style w:type="character" w:customStyle="1" w:styleId="19">
    <w:name w:val="页眉 Char"/>
    <w:basedOn w:val="14"/>
    <w:link w:val="8"/>
    <w:qFormat/>
    <w:uiPriority w:val="99"/>
    <w:rPr>
      <w:sz w:val="18"/>
      <w:szCs w:val="18"/>
    </w:rPr>
  </w:style>
  <w:style w:type="character" w:customStyle="1" w:styleId="20">
    <w:name w:val="页脚 Char"/>
    <w:basedOn w:val="14"/>
    <w:link w:val="7"/>
    <w:qFormat/>
    <w:uiPriority w:val="99"/>
    <w:rPr>
      <w:sz w:val="18"/>
      <w:szCs w:val="18"/>
    </w:rPr>
  </w:style>
  <w:style w:type="paragraph" w:styleId="21">
    <w:name w:val="List Paragraph"/>
    <w:basedOn w:val="1"/>
    <w:qFormat/>
    <w:uiPriority w:val="34"/>
    <w:pPr>
      <w:ind w:firstLine="420" w:firstLineChars="200"/>
    </w:pPr>
  </w:style>
  <w:style w:type="paragraph" w:customStyle="1" w:styleId="22">
    <w:name w:val="A0正文"/>
    <w:basedOn w:val="1"/>
    <w:qFormat/>
    <w:uiPriority w:val="0"/>
    <w:pPr>
      <w:spacing w:line="500" w:lineRule="exact"/>
      <w:ind w:firstLine="480" w:firstLineChars="200"/>
    </w:pPr>
    <w:rPr>
      <w:rFonts w:ascii="Times New Roman" w:hAnsi="Times New Roman" w:eastAsia="宋体" w:cs="宋体"/>
      <w:sz w:val="24"/>
      <w:szCs w:val="20"/>
      <w:lang w:val="zh-CN"/>
    </w:rPr>
  </w:style>
  <w:style w:type="paragraph" w:customStyle="1" w:styleId="23">
    <w:name w:val="A标题2级"/>
    <w:basedOn w:val="2"/>
    <w:qFormat/>
    <w:uiPriority w:val="0"/>
    <w:pPr>
      <w:spacing w:before="240" w:after="0" w:line="500" w:lineRule="exact"/>
    </w:pPr>
    <w:rPr>
      <w:rFonts w:ascii="Times New Roman" w:hAnsi="Times New Roman" w:eastAsia="黑体" w:cs="宋体"/>
      <w:b w:val="0"/>
      <w:bCs w:val="0"/>
      <w:sz w:val="28"/>
      <w:szCs w:val="20"/>
    </w:rPr>
  </w:style>
  <w:style w:type="character" w:customStyle="1" w:styleId="24">
    <w:name w:val="标题 2 Char"/>
    <w:basedOn w:val="14"/>
    <w:link w:val="2"/>
    <w:qFormat/>
    <w:uiPriority w:val="9"/>
    <w:rPr>
      <w:rFonts w:asciiTheme="majorHAnsi" w:hAnsiTheme="majorHAnsi" w:eastAsiaTheme="majorEastAsia" w:cstheme="majorBidi"/>
      <w:b/>
      <w:bCs/>
      <w:sz w:val="32"/>
      <w:szCs w:val="32"/>
    </w:rPr>
  </w:style>
  <w:style w:type="paragraph" w:customStyle="1" w:styleId="25">
    <w:name w:val="Default"/>
    <w:qFormat/>
    <w:uiPriority w:val="0"/>
    <w:pPr>
      <w:widowControl w:val="0"/>
      <w:autoSpaceDE w:val="0"/>
      <w:autoSpaceDN w:val="0"/>
      <w:adjustRightInd w:val="0"/>
    </w:pPr>
    <w:rPr>
      <w:rFonts w:ascii="宋体" w:eastAsia="宋体" w:cs="宋体" w:hAnsiTheme="minorHAnsi"/>
      <w:color w:val="000000"/>
      <w:sz w:val="24"/>
      <w:szCs w:val="24"/>
      <w:lang w:val="en-US" w:eastAsia="zh-CN" w:bidi="ar-SA"/>
    </w:rPr>
  </w:style>
  <w:style w:type="paragraph" w:customStyle="1" w:styleId="26">
    <w:name w:val="正文_23"/>
    <w:qFormat/>
    <w:uiPriority w:val="0"/>
    <w:pPr>
      <w:widowControl w:val="0"/>
      <w:jc w:val="both"/>
    </w:pPr>
    <w:rPr>
      <w:rFonts w:ascii="Calibri" w:hAnsi="Calibri" w:eastAsia="宋体" w:cs="Times New Roman"/>
      <w:kern w:val="2"/>
      <w:sz w:val="21"/>
      <w:lang w:val="en-US" w:eastAsia="zh-CN" w:bidi="ar-SA"/>
    </w:rPr>
  </w:style>
  <w:style w:type="paragraph" w:customStyle="1" w:styleId="27">
    <w:name w:val="正文_22"/>
    <w:qFormat/>
    <w:uiPriority w:val="0"/>
    <w:pPr>
      <w:widowControl w:val="0"/>
      <w:jc w:val="both"/>
    </w:pPr>
    <w:rPr>
      <w:rFonts w:ascii="Calibri" w:hAnsi="Calibri" w:eastAsia="宋体" w:cs="Times New Roman"/>
      <w:kern w:val="2"/>
      <w:sz w:val="21"/>
      <w:lang w:val="en-US" w:eastAsia="zh-CN" w:bidi="ar-SA"/>
    </w:rPr>
  </w:style>
  <w:style w:type="paragraph" w:customStyle="1" w:styleId="28">
    <w:name w:val="正文_24"/>
    <w:qFormat/>
    <w:uiPriority w:val="0"/>
    <w:pPr>
      <w:widowControl w:val="0"/>
      <w:jc w:val="both"/>
    </w:pPr>
    <w:rPr>
      <w:rFonts w:ascii="Calibri" w:hAnsi="Calibri" w:eastAsia="宋体" w:cs="Times New Roman"/>
      <w:kern w:val="2"/>
      <w:sz w:val="21"/>
      <w:lang w:val="en-US" w:eastAsia="zh-CN" w:bidi="ar-SA"/>
    </w:rPr>
  </w:style>
  <w:style w:type="character" w:customStyle="1" w:styleId="29">
    <w:name w:val="font21"/>
    <w:basedOn w:val="14"/>
    <w:qFormat/>
    <w:uiPriority w:val="0"/>
    <w:rPr>
      <w:rFonts w:hint="eastAsia" w:ascii="黑体" w:hAnsi="宋体" w:eastAsia="黑体" w:cs="黑体"/>
      <w:color w:val="000000"/>
      <w:sz w:val="21"/>
      <w:szCs w:val="21"/>
      <w:u w:val="none"/>
    </w:rPr>
  </w:style>
  <w:style w:type="character" w:customStyle="1" w:styleId="30">
    <w:name w:val="font51"/>
    <w:basedOn w:val="14"/>
    <w:qFormat/>
    <w:uiPriority w:val="0"/>
    <w:rPr>
      <w:rFonts w:hint="default" w:ascii="Arial" w:hAnsi="Arial" w:cs="Arial"/>
      <w:color w:val="000000"/>
      <w:sz w:val="19"/>
      <w:szCs w:val="19"/>
      <w:u w:val="none"/>
    </w:rPr>
  </w:style>
  <w:style w:type="character" w:customStyle="1" w:styleId="31">
    <w:name w:val="font41"/>
    <w:basedOn w:val="14"/>
    <w:qFormat/>
    <w:uiPriority w:val="0"/>
    <w:rPr>
      <w:rFonts w:hint="default" w:ascii="Arial" w:hAnsi="Arial" w:cs="Arial"/>
      <w:color w:val="333333"/>
      <w:sz w:val="19"/>
      <w:szCs w:val="19"/>
      <w:u w:val="none"/>
    </w:rPr>
  </w:style>
  <w:style w:type="character" w:customStyle="1" w:styleId="32">
    <w:name w:val="font61"/>
    <w:basedOn w:val="14"/>
    <w:qFormat/>
    <w:uiPriority w:val="0"/>
    <w:rPr>
      <w:rFonts w:hint="eastAsia" w:ascii="宋体" w:hAnsi="宋体" w:eastAsia="宋体" w:cs="宋体"/>
      <w:color w:val="333333"/>
      <w:sz w:val="19"/>
      <w:szCs w:val="19"/>
      <w:u w:val="none"/>
    </w:rPr>
  </w:style>
  <w:style w:type="character" w:customStyle="1" w:styleId="33">
    <w:name w:val="font31"/>
    <w:basedOn w:val="14"/>
    <w:qFormat/>
    <w:uiPriority w:val="0"/>
    <w:rPr>
      <w:rFonts w:hint="eastAsia" w:ascii="宋体" w:hAnsi="宋体" w:eastAsia="宋体" w:cs="宋体"/>
      <w:color w:val="000000"/>
      <w:sz w:val="21"/>
      <w:szCs w:val="21"/>
      <w:u w:val="none"/>
    </w:rPr>
  </w:style>
  <w:style w:type="character" w:customStyle="1" w:styleId="34">
    <w:name w:val="font71"/>
    <w:basedOn w:val="14"/>
    <w:qFormat/>
    <w:uiPriority w:val="0"/>
    <w:rPr>
      <w:rFonts w:ascii="等线" w:hAnsi="等线" w:eastAsia="等线" w:cs="等线"/>
      <w:color w:val="000000"/>
      <w:sz w:val="21"/>
      <w:szCs w:val="21"/>
      <w:u w:val="none"/>
    </w:rPr>
  </w:style>
  <w:style w:type="character" w:customStyle="1" w:styleId="35">
    <w:name w:val="font01"/>
    <w:basedOn w:val="14"/>
    <w:qFormat/>
    <w:uiPriority w:val="0"/>
    <w:rPr>
      <w:rFonts w:hint="eastAsia" w:ascii="宋体" w:hAnsi="宋体" w:eastAsia="宋体" w:cs="宋体"/>
      <w:color w:val="FF0000"/>
      <w:sz w:val="21"/>
      <w:szCs w:val="21"/>
      <w:u w:val="none"/>
    </w:rPr>
  </w:style>
  <w:style w:type="character" w:customStyle="1" w:styleId="36">
    <w:name w:val="font81"/>
    <w:basedOn w:val="14"/>
    <w:qFormat/>
    <w:uiPriority w:val="0"/>
    <w:rPr>
      <w:rFonts w:hint="eastAsia" w:ascii="仿宋" w:hAnsi="仿宋" w:eastAsia="仿宋" w:cs="仿宋"/>
      <w:color w:val="000000"/>
      <w:sz w:val="22"/>
      <w:szCs w:val="22"/>
      <w:u w:val="none"/>
      <w:vertAlign w:val="superscript"/>
    </w:rPr>
  </w:style>
  <w:style w:type="character" w:customStyle="1" w:styleId="37">
    <w:name w:val="批注框文本 Char"/>
    <w:basedOn w:val="14"/>
    <w:link w:val="6"/>
    <w:semiHidden/>
    <w:qFormat/>
    <w:uiPriority w:val="99"/>
    <w:rPr>
      <w:rFonts w:asciiTheme="minorHAnsi" w:hAnsiTheme="minorHAnsi" w:eastAsiaTheme="minorEastAsia" w:cstheme="minorBidi"/>
      <w:kern w:val="2"/>
      <w:sz w:val="18"/>
      <w:szCs w:val="18"/>
    </w:rPr>
  </w:style>
  <w:style w:type="character" w:customStyle="1" w:styleId="38">
    <w:name w:val="批注文字 Char"/>
    <w:basedOn w:val="14"/>
    <w:link w:val="5"/>
    <w:semiHidden/>
    <w:qFormat/>
    <w:uiPriority w:val="99"/>
    <w:rPr>
      <w:rFonts w:asciiTheme="minorHAnsi" w:hAnsiTheme="minorHAnsi" w:eastAsiaTheme="minorEastAsia" w:cstheme="minorBidi"/>
      <w:kern w:val="2"/>
      <w:sz w:val="21"/>
      <w:szCs w:val="22"/>
    </w:rPr>
  </w:style>
  <w:style w:type="character" w:customStyle="1" w:styleId="39">
    <w:name w:val="批注主题 Char"/>
    <w:basedOn w:val="38"/>
    <w:link w:val="11"/>
    <w:qFormat/>
    <w:uiPriority w:val="0"/>
  </w:style>
  <w:style w:type="paragraph" w:customStyle="1" w:styleId="40">
    <w:name w:val="List Paragraph1"/>
    <w:basedOn w:val="1"/>
    <w:qFormat/>
    <w:uiPriority w:val="0"/>
    <w:pPr>
      <w:ind w:left="720"/>
    </w:pPr>
    <w:rPr>
      <w:rFonts w:ascii="Cambria" w:hAnsi="Cambria" w:eastAsia="Cambria"/>
      <w:sz w:val="22"/>
      <w:szCs w:val="22"/>
    </w:rPr>
  </w:style>
  <w:style w:type="paragraph" w:customStyle="1" w:styleId="41">
    <w:name w:val="列出段落1"/>
    <w:basedOn w:val="1"/>
    <w:qFormat/>
    <w:uiPriority w:val="0"/>
    <w:pPr>
      <w:ind w:left="720"/>
    </w:pPr>
    <w:rPr>
      <w:rFonts w:ascii="Cambria" w:hAnsi="Cambria" w:eastAsia="Cambria"/>
      <w:sz w:val="22"/>
      <w:szCs w:val="22"/>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microsoft.com/office/2011/relationships/commentsExtended" Target="commentsExtended.xml"/><Relationship Id="rId3" Type="http://schemas.openxmlformats.org/officeDocument/2006/relationships/comments" Target="comments.xml"/><Relationship Id="rId2" Type="http://schemas.openxmlformats.org/officeDocument/2006/relationships/settings" Target="settings.xml"/><Relationship Id="rId12" Type="http://schemas.microsoft.com/office/2011/relationships/people" Target="people.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33</Pages>
  <Words>14327</Words>
  <Characters>16968</Characters>
  <Lines>143</Lines>
  <Paragraphs>40</Paragraphs>
  <TotalTime>3</TotalTime>
  <ScaleCrop>false</ScaleCrop>
  <LinksUpToDate>false</LinksUpToDate>
  <CharactersWithSpaces>19319</CharactersWithSpaces>
  <Application>WPS Office_11.8.2.11813_F1E327BC-269C-435d-A152-05C5408002CA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2019-06-17T03:07:00Z</dcterms:created>
  <dc:creator>刘 莹莹</dc:creator>
  <cp:lastModifiedBy>爱着Summer</cp:lastModifiedBy>
  <cp:lastPrinted>2024-03-21T10:42:00Z</cp:lastPrinted>
  <dcterms:modified xsi:type="dcterms:W3CDTF">2024-08-14T07:35:17Z</dcterms:modified>
  <cp:revision>56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2052-11.8.2.11813</vt:lpwstr>
  </property>
  <property fmtid="{D5CDD505-2E9C-101B-9397-08002B2CF9AE}" pid="3" name="ICV">
    <vt:lpwstr>C532D19B0CB646AF815BEC4FB2944947</vt:lpwstr>
  </property>
</Properties>
</file>