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240" w:lineRule="auto"/>
        <w:ind w:firstLine="0" w:firstLineChars="0"/>
        <w:jc w:val="center"/>
        <w:rPr>
          <w:rFonts w:hint="eastAsia" w:ascii="宋体" w:hAnsi="宋体"/>
          <w:b/>
          <w:bCs/>
          <w:sz w:val="32"/>
          <w:szCs w:val="32"/>
          <w:lang w:val="en-US"/>
        </w:rPr>
      </w:pPr>
      <w:r>
        <w:rPr>
          <w:rFonts w:hint="eastAsia" w:ascii="宋体" w:hAnsi="宋体"/>
          <w:b/>
          <w:bCs/>
          <w:sz w:val="32"/>
          <w:szCs w:val="32"/>
        </w:rPr>
        <w:t>江西洪城水业环保有限公司</w:t>
      </w:r>
      <w:r>
        <w:rPr>
          <w:rFonts w:hint="eastAsia" w:ascii="宋体" w:hAnsi="宋体"/>
          <w:b/>
          <w:bCs/>
          <w:sz w:val="32"/>
          <w:szCs w:val="32"/>
          <w:lang w:val="en-US" w:eastAsia="zh-CN"/>
        </w:rPr>
        <w:t>安远</w:t>
      </w:r>
      <w:r>
        <w:rPr>
          <w:rFonts w:hint="eastAsia" w:ascii="宋体" w:hAnsi="宋体"/>
          <w:b/>
          <w:bCs/>
          <w:sz w:val="32"/>
          <w:szCs w:val="32"/>
        </w:rPr>
        <w:t>县分公司自行监测</w:t>
      </w:r>
      <w:r>
        <w:rPr>
          <w:rFonts w:hint="eastAsia" w:ascii="宋体" w:hAnsi="宋体"/>
          <w:b/>
          <w:bCs/>
          <w:sz w:val="32"/>
          <w:szCs w:val="32"/>
          <w:lang w:val="en-US"/>
        </w:rPr>
        <w:t>方案</w:t>
      </w:r>
    </w:p>
    <w:p>
      <w:pPr>
        <w:pStyle w:val="17"/>
        <w:spacing w:line="240" w:lineRule="auto"/>
        <w:ind w:firstLine="0" w:firstLineChars="0"/>
        <w:jc w:val="center"/>
        <w:rPr>
          <w:rFonts w:hint="default" w:ascii="宋体" w:hAnsi="宋体" w:eastAsia="宋体"/>
          <w:b/>
          <w:bCs/>
          <w:sz w:val="32"/>
          <w:szCs w:val="32"/>
          <w:lang w:val="en-US" w:eastAsia="zh-CN"/>
        </w:rPr>
      </w:pPr>
      <w:r>
        <w:rPr>
          <w:rFonts w:hint="eastAsia" w:ascii="宋体" w:hAnsi="宋体"/>
          <w:b/>
          <w:bCs/>
          <w:sz w:val="32"/>
          <w:szCs w:val="32"/>
          <w:lang w:val="en-US" w:eastAsia="zh-CN"/>
        </w:rPr>
        <w:t>(2024版)</w:t>
      </w:r>
    </w:p>
    <w:p>
      <w:pPr>
        <w:pStyle w:val="17"/>
        <w:numPr>
          <w:ilvl w:val="0"/>
          <w:numId w:val="1"/>
        </w:numPr>
        <w:spacing w:line="240" w:lineRule="auto"/>
        <w:ind w:firstLine="0" w:firstLineChars="0"/>
        <w:rPr>
          <w:rFonts w:ascii="宋体" w:hAnsi="宋体"/>
          <w:b/>
          <w:bCs/>
          <w:sz w:val="28"/>
          <w:szCs w:val="28"/>
        </w:rPr>
      </w:pPr>
      <w:r>
        <w:rPr>
          <w:rFonts w:hint="eastAsia" w:ascii="宋体" w:hAnsi="宋体"/>
          <w:b/>
          <w:bCs/>
          <w:sz w:val="28"/>
          <w:szCs w:val="28"/>
        </w:rPr>
        <w:t>排污单位基本情况</w:t>
      </w:r>
    </w:p>
    <w:p>
      <w:pPr>
        <w:pStyle w:val="17"/>
        <w:spacing w:line="240" w:lineRule="auto"/>
        <w:ind w:firstLine="0" w:firstLineChars="0"/>
        <w:rPr>
          <w:rFonts w:ascii="宋体" w:hAnsi="宋体"/>
          <w:sz w:val="28"/>
          <w:szCs w:val="28"/>
        </w:rPr>
      </w:pPr>
      <w:r>
        <w:rPr>
          <w:rFonts w:hint="eastAsia" w:ascii="宋体" w:hAnsi="宋体"/>
          <w:sz w:val="28"/>
          <w:szCs w:val="28"/>
        </w:rPr>
        <w:t>1、基本信息</w:t>
      </w:r>
    </w:p>
    <w:tbl>
      <w:tblPr>
        <w:tblStyle w:val="8"/>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943"/>
        <w:gridCol w:w="2127"/>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法定代表人</w:t>
            </w:r>
          </w:p>
        </w:tc>
        <w:tc>
          <w:tcPr>
            <w:tcW w:w="1943"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徐辉</w:t>
            </w:r>
          </w:p>
        </w:tc>
        <w:tc>
          <w:tcPr>
            <w:tcW w:w="2127"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企业曾用名</w:t>
            </w:r>
          </w:p>
        </w:tc>
        <w:tc>
          <w:tcPr>
            <w:tcW w:w="2376"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val="en-US" w:eastAsia="zh-CN"/>
              </w:rPr>
              <w:t>安远</w:t>
            </w:r>
            <w:r>
              <w:rPr>
                <w:rFonts w:hint="eastAsia" w:ascii="宋体" w:hAnsi="宋体" w:eastAsia="宋体" w:cs="宋体"/>
                <w:sz w:val="24"/>
                <w:szCs w:val="24"/>
              </w:rPr>
              <w:t>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企业类别</w:t>
            </w:r>
          </w:p>
        </w:tc>
        <w:tc>
          <w:tcPr>
            <w:tcW w:w="1943"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废水</w:t>
            </w:r>
          </w:p>
        </w:tc>
        <w:tc>
          <w:tcPr>
            <w:tcW w:w="2127"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社会信用代码</w:t>
            </w:r>
          </w:p>
        </w:tc>
        <w:tc>
          <w:tcPr>
            <w:tcW w:w="2376"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val="en-US" w:eastAsia="zh-CN"/>
              </w:rPr>
              <w:t>91360726556026687</w:t>
            </w:r>
            <w:r>
              <w:rPr>
                <w:rFonts w:hint="eastAsia" w:ascii="宋体" w:hAnsi="宋体" w:eastAsia="宋体" w:cs="宋体"/>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方案审核地址</w:t>
            </w:r>
          </w:p>
        </w:tc>
        <w:tc>
          <w:tcPr>
            <w:tcW w:w="6446" w:type="dxa"/>
            <w:gridSpan w:val="3"/>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b w:val="0"/>
                <w:bCs w:val="0"/>
                <w:sz w:val="24"/>
                <w:szCs w:val="24"/>
                <w:lang w:val="en-US" w:eastAsia="zh-CN"/>
              </w:rPr>
              <w:t>赣州市安远生态环境局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中心经度</w:t>
            </w:r>
          </w:p>
        </w:tc>
        <w:tc>
          <w:tcPr>
            <w:tcW w:w="1943" w:type="dxa"/>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度</w:t>
            </w:r>
          </w:p>
        </w:tc>
        <w:tc>
          <w:tcPr>
            <w:tcW w:w="2127"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中心纬度</w:t>
            </w:r>
          </w:p>
        </w:tc>
        <w:tc>
          <w:tcPr>
            <w:tcW w:w="2376" w:type="dxa"/>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rPr>
              <w:t>115度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c>
          <w:tcPr>
            <w:tcW w:w="1943" w:type="dxa"/>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lang w:val="en-US" w:eastAsia="zh-CN"/>
              </w:rPr>
              <w:t>09</w:t>
            </w:r>
            <w:r>
              <w:rPr>
                <w:rFonts w:hint="eastAsia" w:ascii="宋体" w:hAnsi="宋体" w:eastAsia="宋体" w:cs="宋体"/>
                <w:sz w:val="24"/>
                <w:szCs w:val="24"/>
              </w:rPr>
              <w:t>分</w:t>
            </w:r>
          </w:p>
        </w:tc>
        <w:tc>
          <w:tcPr>
            <w:tcW w:w="2127"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c>
          <w:tcPr>
            <w:tcW w:w="2376" w:type="dxa"/>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c>
          <w:tcPr>
            <w:tcW w:w="1943" w:type="dxa"/>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秒</w:t>
            </w:r>
          </w:p>
        </w:tc>
        <w:tc>
          <w:tcPr>
            <w:tcW w:w="2127"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c>
          <w:tcPr>
            <w:tcW w:w="2376" w:type="dxa"/>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联系人</w:t>
            </w:r>
          </w:p>
        </w:tc>
        <w:tc>
          <w:tcPr>
            <w:tcW w:w="1943"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徐辉</w:t>
            </w:r>
          </w:p>
        </w:tc>
        <w:tc>
          <w:tcPr>
            <w:tcW w:w="2127"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电话号码</w:t>
            </w:r>
          </w:p>
        </w:tc>
        <w:tc>
          <w:tcPr>
            <w:tcW w:w="2376"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15807076625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传真号码</w:t>
            </w:r>
          </w:p>
        </w:tc>
        <w:tc>
          <w:tcPr>
            <w:tcW w:w="1943"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0797-3756621</w:t>
            </w:r>
          </w:p>
        </w:tc>
        <w:tc>
          <w:tcPr>
            <w:tcW w:w="2127"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邮编</w:t>
            </w:r>
          </w:p>
        </w:tc>
        <w:tc>
          <w:tcPr>
            <w:tcW w:w="2376"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342</w:t>
            </w:r>
            <w:r>
              <w:rPr>
                <w:rFonts w:hint="eastAsia" w:ascii="宋体" w:hAnsi="宋体" w:eastAsia="宋体" w:cs="宋体"/>
                <w:sz w:val="24"/>
                <w:szCs w:val="24"/>
                <w:lang w:val="en-US" w:eastAsia="zh-CN"/>
              </w:rPr>
              <w:t>1</w:t>
            </w:r>
            <w:r>
              <w:rPr>
                <w:rFonts w:hint="eastAsia" w:ascii="宋体" w:hAnsi="宋体" w:eastAsia="宋体" w:cs="宋体"/>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是否为VOC企业</w:t>
            </w:r>
          </w:p>
        </w:tc>
        <w:tc>
          <w:tcPr>
            <w:tcW w:w="1943"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否</w:t>
            </w:r>
          </w:p>
        </w:tc>
        <w:tc>
          <w:tcPr>
            <w:tcW w:w="2127"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自行监测开展方式</w:t>
            </w:r>
          </w:p>
        </w:tc>
        <w:tc>
          <w:tcPr>
            <w:tcW w:w="2376"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手工+自动+委托监测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default" w:ascii="宋体" w:hAnsi="宋体" w:eastAsia="宋体" w:cs="宋体"/>
                <w:sz w:val="24"/>
                <w:szCs w:val="24"/>
              </w:rPr>
            </w:pPr>
            <w:r>
              <w:rPr>
                <w:rFonts w:hint="eastAsia" w:ascii="宋体" w:hAnsi="宋体" w:eastAsia="宋体" w:cs="宋体"/>
                <w:b w:val="0"/>
                <w:bCs w:val="0"/>
                <w:sz w:val="24"/>
                <w:szCs w:val="24"/>
              </w:rPr>
              <w:t>行业类别</w:t>
            </w:r>
          </w:p>
        </w:tc>
        <w:tc>
          <w:tcPr>
            <w:tcW w:w="1943"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default" w:ascii="宋体" w:hAnsi="宋体" w:eastAsia="宋体" w:cs="宋体"/>
                <w:sz w:val="24"/>
                <w:szCs w:val="24"/>
              </w:rPr>
            </w:pPr>
            <w:r>
              <w:rPr>
                <w:rFonts w:hint="eastAsia" w:ascii="宋体" w:hAnsi="宋体" w:eastAsia="宋体" w:cs="宋体"/>
                <w:b w:val="0"/>
                <w:bCs w:val="0"/>
                <w:sz w:val="24"/>
                <w:szCs w:val="24"/>
              </w:rPr>
              <w:t>污水处理及其再生利用</w:t>
            </w:r>
          </w:p>
        </w:tc>
        <w:tc>
          <w:tcPr>
            <w:tcW w:w="2127"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default" w:ascii="宋体" w:hAnsi="宋体" w:eastAsia="宋体" w:cs="宋体"/>
                <w:sz w:val="24"/>
                <w:szCs w:val="24"/>
              </w:rPr>
            </w:pPr>
            <w:r>
              <w:rPr>
                <w:rFonts w:hint="eastAsia" w:ascii="宋体" w:hAnsi="宋体" w:eastAsia="宋体" w:cs="宋体"/>
                <w:b w:val="0"/>
                <w:bCs w:val="0"/>
                <w:sz w:val="24"/>
                <w:szCs w:val="24"/>
              </w:rPr>
              <w:t>行业代码</w:t>
            </w:r>
          </w:p>
        </w:tc>
        <w:tc>
          <w:tcPr>
            <w:tcW w:w="2376"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default" w:ascii="宋体" w:hAnsi="宋体" w:eastAsia="宋体" w:cs="宋体"/>
                <w:sz w:val="24"/>
                <w:szCs w:val="24"/>
                <w:lang w:val="en-US"/>
              </w:rPr>
            </w:pPr>
            <w:r>
              <w:rPr>
                <w:rFonts w:hint="eastAsia" w:ascii="宋体" w:hAnsi="宋体" w:eastAsia="宋体" w:cs="宋体"/>
                <w:b w:val="0"/>
                <w:bCs w:val="0"/>
                <w:sz w:val="24"/>
                <w:szCs w:val="24"/>
                <w:lang w:val="en-US" w:eastAsia="zh-CN"/>
              </w:rPr>
              <w:t>D4620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rPr>
              <w:t>技术负责人</w:t>
            </w:r>
          </w:p>
        </w:tc>
        <w:tc>
          <w:tcPr>
            <w:tcW w:w="1943"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欧阳辉</w:t>
            </w:r>
          </w:p>
        </w:tc>
        <w:tc>
          <w:tcPr>
            <w:tcW w:w="2127"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rPr>
              <w:t>数据公开时限</w:t>
            </w:r>
          </w:p>
        </w:tc>
        <w:tc>
          <w:tcPr>
            <w:tcW w:w="2376"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rPr>
              <w:t>手工：次日，自动：实时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b w:val="0"/>
                <w:bCs w:val="0"/>
                <w:sz w:val="24"/>
                <w:szCs w:val="24"/>
                <w:lang w:eastAsia="zh-CN"/>
              </w:rPr>
              <w:t>排放方式</w:t>
            </w:r>
          </w:p>
        </w:tc>
        <w:tc>
          <w:tcPr>
            <w:tcW w:w="1943"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b w:val="0"/>
                <w:bCs w:val="0"/>
                <w:sz w:val="24"/>
                <w:szCs w:val="24"/>
                <w:lang w:val="en-US" w:eastAsia="zh-CN"/>
              </w:rPr>
              <w:t>管道</w:t>
            </w:r>
          </w:p>
        </w:tc>
        <w:tc>
          <w:tcPr>
            <w:tcW w:w="2127"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b w:val="0"/>
                <w:bCs w:val="0"/>
                <w:sz w:val="24"/>
                <w:szCs w:val="24"/>
                <w:lang w:eastAsia="zh-CN"/>
              </w:rPr>
              <w:t>受纳水体</w:t>
            </w:r>
          </w:p>
        </w:tc>
        <w:tc>
          <w:tcPr>
            <w:tcW w:w="2376"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b w:val="0"/>
                <w:bCs w:val="0"/>
                <w:sz w:val="24"/>
                <w:szCs w:val="24"/>
                <w:lang w:eastAsia="zh-CN"/>
              </w:rPr>
              <w:t>濂</w:t>
            </w:r>
            <w:r>
              <w:rPr>
                <w:rFonts w:hint="eastAsia" w:ascii="宋体" w:hAnsi="宋体" w:eastAsia="宋体" w:cs="宋体"/>
                <w:b w:val="0"/>
                <w:bCs w:val="0"/>
                <w:sz w:val="24"/>
                <w:szCs w:val="24"/>
                <w:lang w:val="en-US" w:eastAsia="zh-CN"/>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default" w:ascii="宋体" w:hAnsi="宋体" w:eastAsia="宋体" w:cs="宋体"/>
                <w:sz w:val="24"/>
                <w:szCs w:val="24"/>
              </w:rPr>
            </w:pPr>
            <w:r>
              <w:rPr>
                <w:rFonts w:hint="eastAsia" w:ascii="宋体" w:hAnsi="宋体" w:eastAsia="宋体" w:cs="宋体"/>
                <w:b w:val="0"/>
                <w:bCs w:val="0"/>
                <w:sz w:val="24"/>
                <w:szCs w:val="24"/>
                <w:lang w:eastAsia="zh-CN"/>
              </w:rPr>
              <w:t>设计规模</w:t>
            </w:r>
          </w:p>
        </w:tc>
        <w:tc>
          <w:tcPr>
            <w:tcW w:w="1943"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sz w:val="24"/>
                <w:szCs w:val="24"/>
                <w:lang w:eastAsia="zh-CN"/>
              </w:rPr>
            </w:pPr>
            <w:r>
              <w:rPr>
                <w:rFonts w:hint="eastAsia" w:ascii="宋体" w:hAnsi="宋体" w:eastAsia="宋体" w:cs="宋体"/>
                <w:b w:val="0"/>
                <w:bCs w:val="0"/>
                <w:sz w:val="24"/>
                <w:szCs w:val="24"/>
                <w:lang w:val="en-US" w:eastAsia="zh-CN"/>
              </w:rPr>
              <w:t>2万吨/日</w:t>
            </w:r>
          </w:p>
        </w:tc>
        <w:tc>
          <w:tcPr>
            <w:tcW w:w="2127"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default" w:ascii="宋体" w:hAnsi="宋体" w:eastAsia="宋体" w:cs="宋体"/>
                <w:sz w:val="24"/>
                <w:szCs w:val="24"/>
              </w:rPr>
            </w:pPr>
            <w:r>
              <w:rPr>
                <w:rFonts w:hint="eastAsia" w:ascii="宋体" w:hAnsi="宋体" w:eastAsia="宋体" w:cs="宋体"/>
                <w:b w:val="0"/>
                <w:bCs w:val="0"/>
                <w:sz w:val="24"/>
                <w:szCs w:val="24"/>
                <w:lang w:eastAsia="zh-CN"/>
              </w:rPr>
              <w:t>数据公开时限</w:t>
            </w:r>
          </w:p>
        </w:tc>
        <w:tc>
          <w:tcPr>
            <w:tcW w:w="2376"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default" w:ascii="宋体" w:hAnsi="宋体" w:eastAsia="宋体" w:cs="宋体"/>
                <w:sz w:val="24"/>
                <w:szCs w:val="24"/>
              </w:rPr>
            </w:pPr>
            <w:r>
              <w:rPr>
                <w:rFonts w:hint="eastAsia" w:ascii="宋体" w:hAnsi="宋体" w:eastAsia="宋体" w:cs="宋体"/>
                <w:b w:val="0"/>
                <w:bCs w:val="0"/>
                <w:sz w:val="24"/>
                <w:szCs w:val="24"/>
              </w:rPr>
              <w:t>手工：</w:t>
            </w:r>
            <w:r>
              <w:rPr>
                <w:rFonts w:hint="eastAsia" w:ascii="宋体" w:hAnsi="宋体" w:eastAsia="宋体" w:cs="宋体"/>
                <w:b w:val="0"/>
                <w:bCs w:val="0"/>
                <w:sz w:val="24"/>
                <w:szCs w:val="24"/>
                <w:lang w:eastAsia="zh-CN"/>
              </w:rPr>
              <w:t>收到报告后的</w:t>
            </w:r>
            <w:r>
              <w:rPr>
                <w:rFonts w:hint="eastAsia" w:ascii="宋体" w:hAnsi="宋体" w:eastAsia="宋体" w:cs="宋体"/>
                <w:b w:val="0"/>
                <w:bCs w:val="0"/>
                <w:sz w:val="24"/>
                <w:szCs w:val="24"/>
              </w:rPr>
              <w:t>次日，自动：实时</w:t>
            </w:r>
          </w:p>
        </w:tc>
      </w:tr>
    </w:tbl>
    <w:p>
      <w:pPr>
        <w:pStyle w:val="17"/>
        <w:spacing w:line="240" w:lineRule="auto"/>
        <w:ind w:firstLine="0" w:firstLineChars="0"/>
        <w:rPr>
          <w:rFonts w:ascii="宋体" w:hAnsi="宋体"/>
          <w:sz w:val="28"/>
          <w:szCs w:val="28"/>
        </w:rPr>
      </w:pPr>
      <w:r>
        <w:rPr>
          <w:rFonts w:hint="eastAsia" w:ascii="宋体" w:hAnsi="宋体"/>
          <w:sz w:val="28"/>
          <w:szCs w:val="28"/>
        </w:rPr>
        <w:t>2、污染物产生情况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废水</w:t>
            </w:r>
          </w:p>
        </w:tc>
        <w:tc>
          <w:tcPr>
            <w:tcW w:w="7592" w:type="dxa"/>
            <w:shd w:val="clear" w:color="auto" w:fill="auto"/>
          </w:tcPr>
          <w:p>
            <w:pPr>
              <w:keepNext w:val="0"/>
              <w:keepLines w:val="0"/>
              <w:suppressLineNumbers w:val="0"/>
              <w:spacing w:before="0" w:beforeAutospacing="0" w:after="0" w:afterAutospacing="0"/>
              <w:ind w:left="0" w:right="0" w:firstLine="480" w:firstLineChars="200"/>
              <w:jc w:val="left"/>
              <w:rPr>
                <w:rFonts w:hint="default" w:ascii="宋体" w:hAnsi="宋体" w:eastAsia="宋体" w:cs="宋体"/>
                <w:sz w:val="24"/>
                <w:szCs w:val="24"/>
              </w:rPr>
            </w:pPr>
            <w:r>
              <w:rPr>
                <w:rFonts w:hint="eastAsia" w:ascii="宋体" w:hAnsi="宋体" w:eastAsia="宋体" w:cs="宋体"/>
                <w:sz w:val="24"/>
                <w:szCs w:val="24"/>
              </w:rPr>
              <w:t>处理</w:t>
            </w:r>
            <w:r>
              <w:rPr>
                <w:rFonts w:hint="eastAsia" w:ascii="宋体" w:hAnsi="宋体" w:eastAsia="宋体" w:cs="宋体"/>
                <w:sz w:val="24"/>
                <w:szCs w:val="24"/>
                <w:lang w:eastAsia="zh-CN"/>
              </w:rPr>
              <w:t>安远县</w:t>
            </w:r>
            <w:r>
              <w:rPr>
                <w:rFonts w:hint="eastAsia" w:ascii="宋体" w:hAnsi="宋体" w:eastAsia="宋体" w:cs="宋体"/>
                <w:sz w:val="24"/>
                <w:szCs w:val="24"/>
              </w:rPr>
              <w:t>城镇</w:t>
            </w:r>
            <w:r>
              <w:rPr>
                <w:rFonts w:hint="eastAsia" w:ascii="宋体" w:hAnsi="宋体" w:eastAsia="宋体" w:cs="宋体"/>
                <w:color w:val="auto"/>
                <w:sz w:val="24"/>
                <w:szCs w:val="24"/>
              </w:rPr>
              <w:t>生活管网收集的负荷相关接管标准的生活污水</w:t>
            </w:r>
            <w:r>
              <w:rPr>
                <w:rFonts w:hint="eastAsia" w:ascii="宋体" w:hAnsi="宋体" w:eastAsia="宋体" w:cs="宋体"/>
                <w:sz w:val="24"/>
                <w:szCs w:val="24"/>
              </w:rPr>
              <w:t>，脱泥压滤产生的少量污水回流至厂区</w:t>
            </w:r>
            <w:r>
              <w:rPr>
                <w:rFonts w:hint="eastAsia" w:ascii="宋体" w:hAnsi="宋体" w:eastAsia="宋体" w:cs="宋体"/>
                <w:color w:val="auto"/>
                <w:sz w:val="24"/>
                <w:szCs w:val="24"/>
                <w:lang w:eastAsia="zh-CN"/>
              </w:rPr>
              <w:t>配水井</w:t>
            </w:r>
            <w:r>
              <w:rPr>
                <w:rFonts w:hint="eastAsia" w:ascii="宋体" w:hAnsi="宋体" w:eastAsia="宋体" w:cs="宋体"/>
                <w:sz w:val="24"/>
                <w:szCs w:val="24"/>
              </w:rPr>
              <w:t>，进行处理。</w:t>
            </w:r>
            <w:r>
              <w:rPr>
                <w:rFonts w:hint="eastAsia" w:ascii="宋体" w:hAnsi="宋体" w:eastAsia="宋体" w:cs="宋体"/>
                <w:color w:val="auto"/>
                <w:sz w:val="24"/>
                <w:szCs w:val="24"/>
                <w:highlight w:val="none"/>
              </w:rPr>
              <w:t>出水排至</w:t>
            </w:r>
            <w:r>
              <w:rPr>
                <w:rFonts w:hint="eastAsia" w:ascii="宋体" w:hAnsi="宋体" w:eastAsia="宋体" w:cs="宋体"/>
                <w:color w:val="auto"/>
                <w:sz w:val="24"/>
                <w:szCs w:val="24"/>
                <w:highlight w:val="none"/>
                <w:lang w:eastAsia="zh-CN"/>
              </w:rPr>
              <w:t>濂水</w:t>
            </w:r>
            <w:r>
              <w:rPr>
                <w:rFonts w:hint="eastAsia" w:ascii="宋体" w:hAnsi="宋体" w:eastAsia="宋体" w:cs="宋体"/>
                <w:color w:val="auto"/>
                <w:sz w:val="24"/>
                <w:szCs w:val="24"/>
                <w:highlight w:val="none"/>
              </w:rPr>
              <w:t>，</w:t>
            </w:r>
            <w:r>
              <w:rPr>
                <w:rFonts w:hint="eastAsia" w:ascii="宋体" w:hAnsi="宋体" w:eastAsia="宋体" w:cs="宋体"/>
                <w:sz w:val="24"/>
                <w:szCs w:val="24"/>
              </w:rPr>
              <w:t>出水执行《城镇污水处理厂污染物排放标准》（GB18918-2002）一级</w:t>
            </w:r>
            <w:r>
              <w:rPr>
                <w:rFonts w:hint="eastAsia" w:ascii="宋体" w:hAnsi="宋体" w:eastAsia="宋体" w:cs="宋体"/>
                <w:color w:val="auto"/>
                <w:sz w:val="24"/>
                <w:szCs w:val="24"/>
              </w:rPr>
              <w:t>A</w:t>
            </w:r>
            <w:r>
              <w:rPr>
                <w:rFonts w:hint="eastAsia" w:ascii="宋体" w:hAnsi="宋体" w:eastAsia="宋体" w:cs="宋体"/>
                <w:sz w:val="24"/>
                <w:szCs w:val="24"/>
              </w:rPr>
              <w:t>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废气</w:t>
            </w:r>
          </w:p>
        </w:tc>
        <w:tc>
          <w:tcPr>
            <w:tcW w:w="7592"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根据环评及环评批复，废气主要为污水及污泥处理过程中产生的恶臭，相关废气执行《城镇污水处理厂污染物排放标准》（GB18918-2002）二级标准排放。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噪声</w:t>
            </w:r>
          </w:p>
        </w:tc>
        <w:tc>
          <w:tcPr>
            <w:tcW w:w="7592"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污水处理提升泵等设备运行过程中产生噪声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执行</w:t>
            </w:r>
            <w:r>
              <w:rPr>
                <w:rFonts w:hint="eastAsia" w:ascii="宋体" w:hAnsi="宋体" w:eastAsia="宋体" w:cs="宋体"/>
                <w:sz w:val="24"/>
                <w:szCs w:val="24"/>
              </w:rPr>
              <w:t>工业企业厂界环境噪声排放标准 GB12348-2008 二类标准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固废</w:t>
            </w:r>
          </w:p>
        </w:tc>
        <w:tc>
          <w:tcPr>
            <w:tcW w:w="7592" w:type="dxa"/>
            <w:shd w:val="clear" w:color="auto" w:fill="auto"/>
          </w:tcPr>
          <w:p>
            <w:pPr>
              <w:keepNext w:val="0"/>
              <w:keepLines w:val="0"/>
              <w:suppressLineNumbers w:val="0"/>
              <w:spacing w:before="0" w:beforeAutospacing="0" w:after="0" w:afterAutospacing="0"/>
              <w:ind w:left="0" w:right="0" w:firstLine="480" w:firstLineChars="200"/>
              <w:jc w:val="left"/>
              <w:rPr>
                <w:rFonts w:hint="default" w:ascii="宋体" w:hAnsi="宋体" w:eastAsia="宋体" w:cs="宋体"/>
                <w:sz w:val="24"/>
                <w:szCs w:val="24"/>
                <w:lang w:val="en-US"/>
              </w:rPr>
            </w:pPr>
            <w:r>
              <w:rPr>
                <w:rFonts w:hint="eastAsia" w:ascii="宋体" w:hAnsi="宋体" w:eastAsia="宋体" w:cs="宋体"/>
                <w:sz w:val="24"/>
                <w:szCs w:val="24"/>
              </w:rPr>
              <w:t>根据环评及环评批复，我司污水处理厂固体废物主要为污水处理过程中产生的剩余污泥、格栅渣，固体废物满足相关稳定化和脱水处理后，进入</w:t>
            </w:r>
            <w:r>
              <w:rPr>
                <w:rFonts w:hint="eastAsia" w:ascii="宋体" w:hAnsi="宋体" w:eastAsia="宋体" w:cs="宋体"/>
                <w:sz w:val="24"/>
                <w:szCs w:val="24"/>
                <w:lang w:eastAsia="zh-CN"/>
              </w:rPr>
              <w:t>安远县</w:t>
            </w:r>
            <w:r>
              <w:rPr>
                <w:rFonts w:hint="eastAsia" w:ascii="宋体" w:hAnsi="宋体" w:eastAsia="宋体" w:cs="宋体"/>
                <w:sz w:val="24"/>
                <w:szCs w:val="24"/>
              </w:rPr>
              <w:t>垃圾填埋场进行妥善处理，防止二次污染。</w:t>
            </w:r>
            <w:r>
              <w:rPr>
                <w:rFonts w:hint="eastAsia" w:ascii="宋体" w:hAnsi="宋体" w:eastAsia="宋体" w:cs="宋体"/>
                <w:sz w:val="24"/>
                <w:szCs w:val="24"/>
                <w:lang w:eastAsia="zh-CN"/>
              </w:rPr>
              <w:t>一年预计产量</w:t>
            </w:r>
            <w:r>
              <w:rPr>
                <w:rFonts w:hint="eastAsia" w:ascii="宋体" w:hAnsi="宋体" w:eastAsia="宋体" w:cs="宋体"/>
                <w:sz w:val="24"/>
                <w:szCs w:val="24"/>
                <w:lang w:val="en-US" w:eastAsia="zh-CN"/>
              </w:rPr>
              <w:t>1600吨</w:t>
            </w:r>
            <w:r>
              <w:rPr>
                <w:rFonts w:hint="eastAsia" w:ascii="宋体" w:hAnsi="宋体" w:eastAsia="宋体" w:cs="宋体"/>
                <w:sz w:val="24"/>
                <w:szCs w:val="24"/>
              </w:rPr>
              <w:t>。</w:t>
            </w:r>
          </w:p>
        </w:tc>
      </w:tr>
    </w:tbl>
    <w:p>
      <w:pPr>
        <w:pStyle w:val="17"/>
        <w:spacing w:line="240" w:lineRule="auto"/>
        <w:ind w:firstLine="0" w:firstLineChars="0"/>
        <w:rPr>
          <w:rFonts w:ascii="宋体" w:hAnsi="宋体"/>
          <w:color w:val="FF0000"/>
          <w:sz w:val="28"/>
          <w:szCs w:val="28"/>
        </w:rPr>
      </w:pPr>
      <w:r>
        <w:rPr>
          <w:rFonts w:hint="eastAsia" w:ascii="宋体" w:hAnsi="宋体"/>
          <w:sz w:val="28"/>
          <w:szCs w:val="28"/>
        </w:rPr>
        <w:t>3、污染处理设施情况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废水治理设施</w:t>
            </w:r>
          </w:p>
        </w:tc>
        <w:tc>
          <w:tcPr>
            <w:tcW w:w="6741"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安远</w:t>
            </w:r>
            <w:r>
              <w:rPr>
                <w:rFonts w:hint="eastAsia" w:ascii="宋体" w:hAnsi="宋体" w:eastAsia="宋体" w:cs="宋体"/>
                <w:sz w:val="24"/>
                <w:szCs w:val="24"/>
              </w:rPr>
              <w:t>县生活污水处理厂占地面积</w:t>
            </w:r>
            <w:r>
              <w:rPr>
                <w:rFonts w:hint="eastAsia" w:ascii="宋体" w:hAnsi="宋体" w:eastAsia="宋体" w:cs="宋体"/>
                <w:sz w:val="24"/>
                <w:szCs w:val="24"/>
                <w:lang w:val="en-US" w:eastAsia="zh-CN"/>
              </w:rPr>
              <w:t>40</w:t>
            </w:r>
            <w:r>
              <w:rPr>
                <w:rFonts w:hint="eastAsia" w:ascii="宋体" w:hAnsi="宋体" w:eastAsia="宋体" w:cs="宋体"/>
                <w:sz w:val="24"/>
                <w:szCs w:val="24"/>
              </w:rPr>
              <w:t>亩，主要收集处理城区生活污水的处理，2009年完成一期日处理一万吨规模的建设，设计总处理规模为一万吨/日。2020年</w:t>
            </w:r>
            <w:r>
              <w:rPr>
                <w:rFonts w:hint="eastAsia" w:ascii="宋体" w:hAnsi="宋体" w:eastAsia="宋体" w:cs="宋体"/>
                <w:sz w:val="24"/>
                <w:szCs w:val="24"/>
                <w:lang w:val="en-US" w:eastAsia="zh-CN"/>
              </w:rPr>
              <w:t>7</w:t>
            </w:r>
            <w:r>
              <w:rPr>
                <w:rFonts w:hint="eastAsia" w:ascii="宋体" w:hAnsi="宋体" w:eastAsia="宋体" w:cs="宋体"/>
                <w:sz w:val="24"/>
                <w:szCs w:val="24"/>
              </w:rPr>
              <w:t>月已完成提标改造，现已通过环保验收，污水处理工艺为“</w:t>
            </w:r>
            <w:r>
              <w:rPr>
                <w:rFonts w:hint="eastAsia" w:ascii="宋体" w:hAnsi="宋体" w:eastAsia="宋体" w:cs="宋体"/>
                <w:sz w:val="24"/>
                <w:szCs w:val="24"/>
                <w:lang w:val="en-US" w:eastAsia="zh-CN"/>
              </w:rPr>
              <w:t>高效沉淀</w:t>
            </w:r>
            <w:r>
              <w:rPr>
                <w:rFonts w:hint="eastAsia" w:ascii="宋体" w:hAnsi="宋体" w:eastAsia="宋体" w:cs="宋体"/>
                <w:sz w:val="24"/>
                <w:szCs w:val="24"/>
              </w:rPr>
              <w:t>池+</w:t>
            </w:r>
            <w:r>
              <w:rPr>
                <w:rFonts w:hint="eastAsia" w:ascii="宋体" w:hAnsi="宋体" w:eastAsia="宋体" w:cs="宋体"/>
                <w:sz w:val="24"/>
                <w:szCs w:val="24"/>
                <w:lang w:val="en-US" w:eastAsia="zh-CN"/>
              </w:rPr>
              <w:t>连续砂滤池</w:t>
            </w:r>
            <w:r>
              <w:rPr>
                <w:rFonts w:hint="eastAsia" w:ascii="宋体" w:hAnsi="宋体" w:eastAsia="宋体" w:cs="宋体"/>
                <w:sz w:val="24"/>
                <w:szCs w:val="24"/>
              </w:rPr>
              <w:t>+接触消毒池工艺，主要污染处理设施包括格栅，提升泵、沉砂池、</w:t>
            </w:r>
            <w:r>
              <w:rPr>
                <w:rFonts w:hint="eastAsia" w:ascii="宋体" w:hAnsi="宋体" w:eastAsia="宋体" w:cs="宋体"/>
                <w:sz w:val="24"/>
                <w:szCs w:val="24"/>
                <w:lang w:val="en-US" w:eastAsia="zh-CN"/>
              </w:rPr>
              <w:t>改良型氧化沟</w:t>
            </w:r>
            <w:r>
              <w:rPr>
                <w:rFonts w:hint="eastAsia" w:ascii="宋体" w:hAnsi="宋体" w:eastAsia="宋体" w:cs="宋体"/>
                <w:sz w:val="24"/>
                <w:szCs w:val="24"/>
              </w:rPr>
              <w:t>、二沉池，二次提升泵、高效沉淀池、</w:t>
            </w:r>
            <w:r>
              <w:rPr>
                <w:rFonts w:hint="eastAsia" w:ascii="宋体" w:hAnsi="宋体" w:eastAsia="宋体" w:cs="宋体"/>
                <w:sz w:val="24"/>
                <w:szCs w:val="24"/>
                <w:lang w:val="en-US" w:eastAsia="zh-CN"/>
              </w:rPr>
              <w:t>连续砂滤池</w:t>
            </w:r>
            <w:r>
              <w:rPr>
                <w:rFonts w:hint="eastAsia" w:ascii="宋体" w:hAnsi="宋体" w:eastAsia="宋体" w:cs="宋体"/>
                <w:sz w:val="24"/>
                <w:szCs w:val="24"/>
              </w:rPr>
              <w:t>、接触消毒池等设备设施。</w:t>
            </w:r>
            <w:r>
              <w:rPr>
                <w:rFonts w:hint="eastAsia" w:ascii="宋体" w:hAnsi="宋体" w:eastAsia="宋体" w:cs="宋体"/>
                <w:sz w:val="24"/>
                <w:szCs w:val="24"/>
                <w:lang w:val="en-US" w:eastAsia="zh-CN"/>
              </w:rPr>
              <w:t>2023年3月二期项目收购，处理水量为2万吨/日。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废气治理设施</w:t>
            </w:r>
          </w:p>
        </w:tc>
        <w:tc>
          <w:tcPr>
            <w:tcW w:w="6741"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按环评要求设置了卫生防护距离，并在厂界四周种植了绿化隔离带，在预处理段和污泥处理段设置除臭设施，废气源通过风管收集至生物土壤滤池处理后无组织排放。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噪声治理设施</w:t>
            </w:r>
          </w:p>
        </w:tc>
        <w:tc>
          <w:tcPr>
            <w:tcW w:w="6741"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采用低噪音环保设备并通过安装在室内、水下和消音装置及厂区内外种植树木等措施防治噪音。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固废治理设施</w:t>
            </w:r>
          </w:p>
        </w:tc>
        <w:tc>
          <w:tcPr>
            <w:tcW w:w="6741" w:type="dxa"/>
            <w:shd w:val="clear" w:color="auto" w:fill="auto"/>
          </w:tcPr>
          <w:p>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污泥（经过稳定化和脱水处理后）和格栅渣外运至</w:t>
            </w:r>
            <w:r>
              <w:rPr>
                <w:rFonts w:hint="eastAsia" w:ascii="宋体" w:hAnsi="宋体" w:eastAsia="宋体" w:cs="宋体"/>
                <w:sz w:val="24"/>
                <w:szCs w:val="24"/>
                <w:lang w:val="en-US" w:eastAsia="zh-CN"/>
              </w:rPr>
              <w:t>安远</w:t>
            </w:r>
            <w:r>
              <w:rPr>
                <w:rFonts w:hint="eastAsia" w:ascii="宋体" w:hAnsi="宋体" w:eastAsia="宋体" w:cs="宋体"/>
                <w:sz w:val="24"/>
                <w:szCs w:val="24"/>
              </w:rPr>
              <w:t>县垃圾填埋场卫生填埋。</w:t>
            </w:r>
          </w:p>
        </w:tc>
      </w:tr>
    </w:tbl>
    <w:p>
      <w:pPr>
        <w:pStyle w:val="4"/>
        <w:numPr>
          <w:ilvl w:val="0"/>
          <w:numId w:val="1"/>
        </w:numPr>
        <w:ind w:left="0" w:leftChars="0" w:firstLine="0" w:firstLineChars="0"/>
        <w:rPr>
          <w:rFonts w:hint="eastAsia" w:ascii="宋体" w:hAnsi="宋体" w:eastAsia="宋体" w:cs="宋体"/>
          <w:b/>
          <w:bCs/>
          <w:sz w:val="28"/>
          <w:szCs w:val="28"/>
        </w:rPr>
      </w:pPr>
      <w:r>
        <w:rPr>
          <w:rFonts w:hint="eastAsia" w:ascii="宋体" w:hAnsi="宋体" w:eastAsia="宋体" w:cs="宋体"/>
          <w:b/>
          <w:bCs/>
          <w:sz w:val="28"/>
          <w:szCs w:val="28"/>
        </w:rPr>
        <w:t>工艺流程及废水监测点位</w:t>
      </w:r>
    </w:p>
    <w:p>
      <w:pPr>
        <w:pStyle w:val="4"/>
        <w:numPr>
          <w:ilvl w:val="0"/>
          <w:numId w:val="0"/>
        </w:numPr>
        <w:ind w:left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drawing>
          <wp:inline distT="0" distB="0" distL="114300" distR="114300">
            <wp:extent cx="5269230" cy="5313045"/>
            <wp:effectExtent l="0" t="0" r="7620" b="190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5269230" cy="5313045"/>
                    </a:xfrm>
                    <a:prstGeom prst="rect">
                      <a:avLst/>
                    </a:prstGeom>
                  </pic:spPr>
                </pic:pic>
              </a:graphicData>
            </a:graphic>
          </wp:inline>
        </w:drawing>
      </w:r>
    </w:p>
    <w:p>
      <w:pPr>
        <w:pStyle w:val="4"/>
        <w:numPr>
          <w:ilvl w:val="0"/>
          <w:numId w:val="0"/>
        </w:numPr>
        <w:ind w:left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drawing>
          <wp:inline distT="0" distB="0" distL="114300" distR="114300">
            <wp:extent cx="5264150" cy="3509645"/>
            <wp:effectExtent l="0" t="0" r="12700" b="14605"/>
            <wp:docPr id="2" name="图片 2" descr="修改后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修改后图"/>
                    <pic:cNvPicPr>
                      <a:picLocks noChangeAspect="1"/>
                    </pic:cNvPicPr>
                  </pic:nvPicPr>
                  <pic:blipFill>
                    <a:blip r:embed="rId6"/>
                    <a:stretch>
                      <a:fillRect/>
                    </a:stretch>
                  </pic:blipFill>
                  <pic:spPr>
                    <a:xfrm>
                      <a:off x="0" y="0"/>
                      <a:ext cx="5264150" cy="3509645"/>
                    </a:xfrm>
                    <a:prstGeom prst="rect">
                      <a:avLst/>
                    </a:prstGeom>
                  </pic:spPr>
                </pic:pic>
              </a:graphicData>
            </a:graphic>
          </wp:inline>
        </w:drawing>
      </w:r>
    </w:p>
    <w:p>
      <w:pPr>
        <w:pStyle w:val="4"/>
        <w:rPr>
          <w:rFonts w:hint="eastAsia" w:ascii="宋体" w:hAnsi="宋体" w:eastAsia="宋体" w:cs="宋体"/>
          <w:b/>
          <w:bCs/>
          <w:sz w:val="28"/>
          <w:szCs w:val="28"/>
          <w:lang w:eastAsia="zh-CN"/>
        </w:rPr>
      </w:pPr>
    </w:p>
    <w:p>
      <w:pPr>
        <w:pStyle w:val="17"/>
        <w:spacing w:line="240" w:lineRule="auto"/>
        <w:ind w:firstLine="557" w:firstLineChars="199"/>
        <w:jc w:val="center"/>
        <w:rPr>
          <w:rFonts w:hint="eastAsia" w:ascii="宋体" w:hAnsi="宋体"/>
          <w:sz w:val="28"/>
          <w:szCs w:val="28"/>
        </w:rPr>
      </w:pPr>
      <w:r>
        <w:rPr>
          <w:rFonts w:hint="eastAsia" w:ascii="宋体" w:hAnsi="宋体"/>
          <w:sz w:val="28"/>
          <w:szCs w:val="28"/>
        </w:rPr>
        <w:t>图1  工艺流程图和废水监测点</w:t>
      </w:r>
    </w:p>
    <w:p>
      <w:pPr>
        <w:pStyle w:val="17"/>
        <w:spacing w:line="240" w:lineRule="auto"/>
        <w:ind w:firstLine="557" w:firstLineChars="199"/>
        <w:jc w:val="center"/>
        <w:rPr>
          <w:rFonts w:hint="eastAsia" w:ascii="宋体" w:hAnsi="宋体"/>
          <w:sz w:val="28"/>
          <w:szCs w:val="28"/>
        </w:rPr>
      </w:pPr>
    </w:p>
    <w:p>
      <w:pPr>
        <w:pStyle w:val="17"/>
        <w:spacing w:line="240" w:lineRule="auto"/>
        <w:ind w:firstLine="557" w:firstLineChars="199"/>
        <w:jc w:val="center"/>
        <w:rPr>
          <w:rFonts w:hint="eastAsia" w:ascii="宋体" w:hAnsi="宋体"/>
          <w:sz w:val="28"/>
          <w:szCs w:val="28"/>
        </w:rPr>
      </w:pPr>
    </w:p>
    <w:p>
      <w:pPr>
        <w:pStyle w:val="17"/>
        <w:spacing w:line="240" w:lineRule="auto"/>
        <w:ind w:firstLine="557" w:firstLineChars="199"/>
        <w:jc w:val="center"/>
        <w:rPr>
          <w:rFonts w:hint="eastAsia" w:ascii="宋体" w:hAnsi="宋体"/>
          <w:sz w:val="28"/>
          <w:szCs w:val="28"/>
        </w:rPr>
      </w:pPr>
    </w:p>
    <w:p>
      <w:pPr>
        <w:pStyle w:val="17"/>
        <w:spacing w:line="240" w:lineRule="auto"/>
        <w:ind w:firstLine="557" w:firstLineChars="199"/>
        <w:jc w:val="center"/>
        <w:rPr>
          <w:rFonts w:hint="eastAsia" w:ascii="宋体" w:hAnsi="宋体"/>
          <w:sz w:val="28"/>
          <w:szCs w:val="28"/>
        </w:rPr>
      </w:pPr>
    </w:p>
    <w:p>
      <w:pPr>
        <w:pStyle w:val="17"/>
        <w:spacing w:line="240" w:lineRule="auto"/>
        <w:ind w:firstLine="557" w:firstLineChars="199"/>
        <w:jc w:val="center"/>
        <w:rPr>
          <w:rFonts w:hint="eastAsia" w:ascii="宋体" w:hAnsi="宋体"/>
          <w:sz w:val="28"/>
          <w:szCs w:val="28"/>
        </w:rPr>
      </w:pPr>
    </w:p>
    <w:p>
      <w:pPr>
        <w:pStyle w:val="17"/>
        <w:spacing w:line="240" w:lineRule="auto"/>
        <w:ind w:firstLine="557" w:firstLineChars="199"/>
        <w:jc w:val="center"/>
        <w:rPr>
          <w:rFonts w:hint="eastAsia" w:ascii="宋体" w:hAnsi="宋体"/>
          <w:sz w:val="28"/>
          <w:szCs w:val="28"/>
        </w:rPr>
      </w:pPr>
    </w:p>
    <w:p>
      <w:pPr>
        <w:pStyle w:val="17"/>
        <w:spacing w:line="240" w:lineRule="auto"/>
        <w:ind w:firstLine="557" w:firstLineChars="199"/>
        <w:jc w:val="center"/>
        <w:rPr>
          <w:rFonts w:hint="eastAsia" w:ascii="宋体" w:hAnsi="宋体"/>
          <w:sz w:val="28"/>
          <w:szCs w:val="28"/>
        </w:rPr>
      </w:pPr>
    </w:p>
    <w:p>
      <w:pPr>
        <w:pStyle w:val="17"/>
        <w:spacing w:line="240" w:lineRule="auto"/>
        <w:ind w:firstLine="557" w:firstLineChars="199"/>
        <w:jc w:val="center"/>
        <w:rPr>
          <w:rFonts w:hint="eastAsia" w:ascii="宋体" w:hAnsi="宋体"/>
          <w:sz w:val="28"/>
          <w:szCs w:val="28"/>
        </w:rPr>
      </w:pPr>
    </w:p>
    <w:p>
      <w:pPr>
        <w:pStyle w:val="17"/>
        <w:spacing w:line="240" w:lineRule="auto"/>
        <w:ind w:firstLine="557" w:firstLineChars="199"/>
        <w:jc w:val="center"/>
        <w:rPr>
          <w:rFonts w:hint="eastAsia" w:ascii="宋体" w:hAnsi="宋体"/>
          <w:sz w:val="28"/>
          <w:szCs w:val="28"/>
        </w:rPr>
      </w:pPr>
    </w:p>
    <w:p>
      <w:pPr>
        <w:pStyle w:val="17"/>
        <w:spacing w:line="240" w:lineRule="auto"/>
        <w:ind w:firstLine="557" w:firstLineChars="199"/>
        <w:jc w:val="center"/>
        <w:rPr>
          <w:rFonts w:hint="eastAsia" w:ascii="宋体" w:hAnsi="宋体"/>
          <w:sz w:val="28"/>
          <w:szCs w:val="28"/>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cs="宋体"/>
          <w:b/>
          <w:bCs/>
          <w:sz w:val="28"/>
          <w:szCs w:val="28"/>
          <w:lang w:eastAsia="zh-CN"/>
        </w:rPr>
        <w:t>三</w:t>
      </w:r>
      <w:r>
        <w:rPr>
          <w:rFonts w:hint="eastAsia" w:ascii="宋体" w:hAnsi="宋体" w:eastAsia="宋体" w:cs="宋体"/>
          <w:b/>
          <w:bCs/>
          <w:sz w:val="28"/>
          <w:szCs w:val="28"/>
          <w:lang w:eastAsia="zh-CN"/>
        </w:rPr>
        <w:t>、监测指标及相关信息</w:t>
      </w:r>
    </w:p>
    <w:p>
      <w:pPr>
        <w:pStyle w:val="17"/>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本公司自行监测的具体监测点位、监测指标、监测频次和监测方法见下表。</w:t>
      </w:r>
    </w:p>
    <w:tbl>
      <w:tblPr>
        <w:tblStyle w:val="8"/>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
        <w:gridCol w:w="705"/>
        <w:gridCol w:w="1260"/>
        <w:gridCol w:w="1309"/>
        <w:gridCol w:w="2188"/>
        <w:gridCol w:w="2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2830" w:type="dxa"/>
            <w:gridSpan w:val="3"/>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污染源类型</w:t>
            </w:r>
          </w:p>
        </w:tc>
        <w:tc>
          <w:tcPr>
            <w:tcW w:w="1309"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序号</w:t>
            </w:r>
          </w:p>
        </w:tc>
        <w:tc>
          <w:tcPr>
            <w:tcW w:w="2188"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监测点位名称</w:t>
            </w:r>
          </w:p>
        </w:tc>
        <w:tc>
          <w:tcPr>
            <w:tcW w:w="2599"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排口编号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restart"/>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废水</w:t>
            </w:r>
          </w:p>
        </w:tc>
        <w:tc>
          <w:tcPr>
            <w:tcW w:w="1309"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color w:val="FF0000"/>
                <w:sz w:val="28"/>
                <w:szCs w:val="28"/>
                <w:lang w:val="en-US" w:eastAsia="zh-CN"/>
              </w:rPr>
            </w:pPr>
            <w:r>
              <w:rPr>
                <w:rFonts w:hint="eastAsia" w:ascii="宋体" w:hAnsi="宋体" w:eastAsia="宋体" w:cs="宋体"/>
                <w:sz w:val="28"/>
                <w:szCs w:val="28"/>
              </w:rPr>
              <w:t>1</w:t>
            </w:r>
          </w:p>
        </w:tc>
        <w:tc>
          <w:tcPr>
            <w:tcW w:w="2188"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lang w:eastAsia="zh-CN"/>
              </w:rPr>
            </w:pPr>
            <w:r>
              <w:rPr>
                <w:rFonts w:hint="eastAsia" w:ascii="宋体" w:hAnsi="宋体" w:eastAsia="宋体" w:cs="宋体"/>
                <w:sz w:val="28"/>
                <w:szCs w:val="28"/>
              </w:rPr>
              <w:t>进水口</w:t>
            </w:r>
          </w:p>
        </w:tc>
        <w:tc>
          <w:tcPr>
            <w:tcW w:w="2599"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lang w:val="en-US" w:eastAsia="zh-CN"/>
              </w:rPr>
            </w:pPr>
            <w:r>
              <w:rPr>
                <w:rFonts w:hint="default" w:ascii="Arial" w:hAnsi="Arial" w:eastAsia="宋体" w:cs="Arial"/>
                <w:sz w:val="21"/>
                <w:szCs w:val="21"/>
                <w:shd w:val="clear" w:color="auto" w:fill="FFFFFF"/>
              </w:rPr>
              <w:t>MW001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830" w:type="dxa"/>
            <w:gridSpan w:val="3"/>
            <w:vMerge w:val="continue"/>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p>
        </w:tc>
        <w:tc>
          <w:tcPr>
            <w:tcW w:w="1309"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lang w:eastAsia="zh-CN"/>
              </w:rPr>
            </w:pPr>
            <w:r>
              <w:rPr>
                <w:rFonts w:hint="eastAsia" w:ascii="宋体" w:hAnsi="宋体" w:eastAsia="宋体" w:cs="宋体"/>
                <w:sz w:val="28"/>
                <w:szCs w:val="28"/>
              </w:rPr>
              <w:t>2</w:t>
            </w:r>
          </w:p>
        </w:tc>
        <w:tc>
          <w:tcPr>
            <w:tcW w:w="2188"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出水排放口</w:t>
            </w:r>
          </w:p>
        </w:tc>
        <w:tc>
          <w:tcPr>
            <w:tcW w:w="2599"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default" w:ascii="宋体" w:hAnsi="宋体" w:eastAsia="宋体" w:cs="宋体"/>
                <w:sz w:val="28"/>
                <w:szCs w:val="28"/>
                <w:lang w:val="en-US" w:eastAsia="zh-CN"/>
              </w:rPr>
            </w:pPr>
            <w:r>
              <w:rPr>
                <w:rFonts w:hint="eastAsia" w:ascii="宋体" w:hAnsi="宋体" w:eastAsia="宋体" w:cs="宋体"/>
                <w:sz w:val="28"/>
                <w:szCs w:val="28"/>
              </w:rPr>
              <w:t>DW001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continue"/>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p>
        </w:tc>
        <w:tc>
          <w:tcPr>
            <w:tcW w:w="1309"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rPr>
              <w:t>3</w:t>
            </w:r>
          </w:p>
        </w:tc>
        <w:tc>
          <w:tcPr>
            <w:tcW w:w="2188"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rPr>
              <w:t>雨水排放口</w:t>
            </w:r>
          </w:p>
        </w:tc>
        <w:tc>
          <w:tcPr>
            <w:tcW w:w="2599"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rPr>
              <w:t>DW002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570" w:type="dxa"/>
            <w:gridSpan w:val="2"/>
            <w:vMerge w:val="restart"/>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废气</w:t>
            </w:r>
          </w:p>
        </w:tc>
        <w:tc>
          <w:tcPr>
            <w:tcW w:w="1260" w:type="dxa"/>
            <w:vMerge w:val="restart"/>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无组织</w:t>
            </w:r>
          </w:p>
        </w:tc>
        <w:tc>
          <w:tcPr>
            <w:tcW w:w="1309"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188"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上风向</w:t>
            </w:r>
          </w:p>
        </w:tc>
        <w:tc>
          <w:tcPr>
            <w:tcW w:w="2599"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SF001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570" w:type="dxa"/>
            <w:gridSpan w:val="2"/>
            <w:vMerge w:val="continue"/>
            <w:vAlign w:val="center"/>
          </w:tcPr>
          <w:p>
            <w:pPr>
              <w:keepNext w:val="0"/>
              <w:keepLines w:val="0"/>
              <w:suppressLineNumbers w:val="0"/>
              <w:spacing w:before="0" w:beforeAutospacing="0" w:after="0" w:afterAutospacing="0"/>
              <w:ind w:left="0" w:right="0"/>
              <w:rPr>
                <w:rFonts w:hint="default"/>
              </w:rPr>
            </w:pPr>
          </w:p>
        </w:tc>
        <w:tc>
          <w:tcPr>
            <w:tcW w:w="1260" w:type="dxa"/>
            <w:vMerge w:val="continue"/>
            <w:vAlign w:val="center"/>
          </w:tcPr>
          <w:p>
            <w:pPr>
              <w:keepNext w:val="0"/>
              <w:keepLines w:val="0"/>
              <w:suppressLineNumbers w:val="0"/>
              <w:spacing w:before="0" w:beforeAutospacing="0" w:after="0" w:afterAutospacing="0"/>
              <w:ind w:left="0" w:right="0"/>
              <w:rPr>
                <w:rFonts w:hint="default"/>
              </w:rPr>
            </w:pPr>
          </w:p>
        </w:tc>
        <w:tc>
          <w:tcPr>
            <w:tcW w:w="1309"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188"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下风向</w:t>
            </w:r>
            <w:r>
              <w:rPr>
                <w:rFonts w:hint="eastAsia" w:ascii="宋体" w:hAnsi="宋体" w:eastAsia="宋体" w:cs="宋体"/>
                <w:color w:val="auto"/>
                <w:sz w:val="28"/>
                <w:szCs w:val="28"/>
                <w:lang w:val="en-US" w:eastAsia="zh-CN"/>
              </w:rPr>
              <w:t>1</w:t>
            </w:r>
          </w:p>
        </w:tc>
        <w:tc>
          <w:tcPr>
            <w:tcW w:w="2599"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XF001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1570" w:type="dxa"/>
            <w:gridSpan w:val="2"/>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260" w:type="dxa"/>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309"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188"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下风向</w:t>
            </w:r>
            <w:r>
              <w:rPr>
                <w:rFonts w:hint="eastAsia" w:ascii="宋体" w:hAnsi="宋体" w:eastAsia="宋体" w:cs="宋体"/>
                <w:color w:val="auto"/>
                <w:sz w:val="28"/>
                <w:szCs w:val="28"/>
                <w:lang w:val="en-US" w:eastAsia="zh-CN"/>
              </w:rPr>
              <w:t>2</w:t>
            </w:r>
          </w:p>
        </w:tc>
        <w:tc>
          <w:tcPr>
            <w:tcW w:w="2599"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color w:val="auto"/>
                <w:sz w:val="28"/>
                <w:szCs w:val="28"/>
                <w:lang w:val="en-US"/>
              </w:rPr>
            </w:pPr>
            <w:r>
              <w:rPr>
                <w:rFonts w:hint="eastAsia" w:ascii="宋体" w:hAnsi="宋体" w:eastAsia="宋体" w:cs="宋体"/>
                <w:color w:val="auto"/>
                <w:sz w:val="28"/>
                <w:szCs w:val="28"/>
                <w:lang w:val="en-US" w:eastAsia="zh-CN"/>
              </w:rPr>
              <w:t>XF002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570" w:type="dxa"/>
            <w:gridSpan w:val="2"/>
            <w:vMerge w:val="continue"/>
            <w:vAlign w:val="center"/>
          </w:tcPr>
          <w:p>
            <w:pPr>
              <w:keepNext w:val="0"/>
              <w:keepLines w:val="0"/>
              <w:suppressLineNumbers w:val="0"/>
              <w:spacing w:before="0" w:beforeAutospacing="0" w:after="0" w:afterAutospacing="0"/>
              <w:ind w:left="0" w:right="0"/>
              <w:rPr>
                <w:rFonts w:hint="default"/>
              </w:rPr>
            </w:pPr>
          </w:p>
        </w:tc>
        <w:tc>
          <w:tcPr>
            <w:tcW w:w="1260" w:type="dxa"/>
            <w:vMerge w:val="continue"/>
            <w:vAlign w:val="center"/>
          </w:tcPr>
          <w:p>
            <w:pPr>
              <w:keepNext w:val="0"/>
              <w:keepLines w:val="0"/>
              <w:suppressLineNumbers w:val="0"/>
              <w:spacing w:before="0" w:beforeAutospacing="0" w:after="0" w:afterAutospacing="0"/>
              <w:ind w:left="0" w:right="0"/>
              <w:rPr>
                <w:rFonts w:hint="default"/>
              </w:rPr>
            </w:pPr>
          </w:p>
        </w:tc>
        <w:tc>
          <w:tcPr>
            <w:tcW w:w="1309"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2188"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下风向</w:t>
            </w:r>
            <w:r>
              <w:rPr>
                <w:rFonts w:hint="eastAsia" w:ascii="宋体" w:hAnsi="宋体" w:eastAsia="宋体" w:cs="宋体"/>
                <w:color w:val="auto"/>
                <w:sz w:val="28"/>
                <w:szCs w:val="28"/>
                <w:lang w:val="en-US" w:eastAsia="zh-CN"/>
              </w:rPr>
              <w:t>3</w:t>
            </w:r>
          </w:p>
        </w:tc>
        <w:tc>
          <w:tcPr>
            <w:tcW w:w="2599"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color w:val="auto"/>
                <w:sz w:val="28"/>
                <w:szCs w:val="28"/>
                <w:lang w:val="en-US"/>
              </w:rPr>
            </w:pPr>
            <w:r>
              <w:rPr>
                <w:rFonts w:hint="eastAsia" w:ascii="宋体" w:hAnsi="宋体" w:eastAsia="宋体" w:cs="宋体"/>
                <w:color w:val="auto"/>
                <w:sz w:val="28"/>
                <w:szCs w:val="28"/>
                <w:lang w:val="en-US" w:eastAsia="zh-CN"/>
              </w:rPr>
              <w:t>XF003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570" w:type="dxa"/>
            <w:gridSpan w:val="2"/>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260" w:type="dxa"/>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309"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p>
        </w:tc>
        <w:tc>
          <w:tcPr>
            <w:tcW w:w="2188"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lang w:eastAsia="zh-CN"/>
              </w:rPr>
            </w:pPr>
            <w:r>
              <w:rPr>
                <w:rFonts w:hint="eastAsia" w:ascii="宋体" w:hAnsi="宋体" w:eastAsia="宋体" w:cs="宋体"/>
                <w:sz w:val="28"/>
                <w:szCs w:val="28"/>
              </w:rPr>
              <w:t>厂区体积浓度最高处</w:t>
            </w:r>
          </w:p>
        </w:tc>
        <w:tc>
          <w:tcPr>
            <w:tcW w:w="2599"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CN001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570" w:type="dxa"/>
            <w:gridSpan w:val="2"/>
            <w:vMerge w:val="continue"/>
            <w:vAlign w:val="center"/>
          </w:tcPr>
          <w:p>
            <w:pPr>
              <w:pStyle w:val="31"/>
              <w:keepNext w:val="0"/>
              <w:keepLines w:val="0"/>
              <w:suppressLineNumbers w:val="0"/>
              <w:snapToGrid w:val="0"/>
              <w:spacing w:before="0" w:beforeAutospacing="0" w:after="0" w:afterAutospacing="0"/>
              <w:ind w:left="0" w:leftChars="0" w:right="0"/>
              <w:contextualSpacing/>
              <w:jc w:val="center"/>
              <w:rPr>
                <w:rFonts w:hint="default"/>
              </w:rPr>
            </w:pPr>
          </w:p>
        </w:tc>
        <w:tc>
          <w:tcPr>
            <w:tcW w:w="1260" w:type="dxa"/>
            <w:vMerge w:val="continue"/>
            <w:vAlign w:val="center"/>
          </w:tcPr>
          <w:p>
            <w:pPr>
              <w:pStyle w:val="31"/>
              <w:keepNext w:val="0"/>
              <w:keepLines w:val="0"/>
              <w:suppressLineNumbers w:val="0"/>
              <w:snapToGrid w:val="0"/>
              <w:spacing w:before="0" w:beforeAutospacing="0" w:after="0" w:afterAutospacing="0"/>
              <w:ind w:left="0" w:leftChars="0" w:right="0"/>
              <w:contextualSpacing/>
              <w:jc w:val="center"/>
              <w:rPr>
                <w:rFonts w:hint="default"/>
              </w:rPr>
            </w:pPr>
          </w:p>
        </w:tc>
        <w:tc>
          <w:tcPr>
            <w:tcW w:w="1309"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6</w:t>
            </w:r>
          </w:p>
        </w:tc>
        <w:tc>
          <w:tcPr>
            <w:tcW w:w="2188"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厂区体积浓度最高处</w:t>
            </w:r>
          </w:p>
        </w:tc>
        <w:tc>
          <w:tcPr>
            <w:tcW w:w="2599"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CN00</w:t>
            </w:r>
            <w:r>
              <w:rPr>
                <w:rFonts w:hint="eastAsia" w:ascii="宋体" w:hAnsi="宋体" w:eastAsia="宋体" w:cs="宋体"/>
                <w:sz w:val="28"/>
                <w:szCs w:val="2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restart"/>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噪声</w:t>
            </w:r>
          </w:p>
        </w:tc>
        <w:tc>
          <w:tcPr>
            <w:tcW w:w="1309"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1</w:t>
            </w:r>
          </w:p>
        </w:tc>
        <w:tc>
          <w:tcPr>
            <w:tcW w:w="2188" w:type="dxa"/>
            <w:vAlign w:val="center"/>
          </w:tcPr>
          <w:p>
            <w:pPr>
              <w:pStyle w:val="32"/>
              <w:keepNext w:val="0"/>
              <w:keepLines w:val="0"/>
              <w:suppressLineNumbers w:val="0"/>
              <w:snapToGrid w:val="0"/>
              <w:spacing w:before="0" w:beforeAutospacing="0" w:after="0" w:afterAutospacing="0"/>
              <w:ind w:left="0" w:leftChars="0" w:right="0" w:rightChars="0"/>
              <w:contextualSpacing/>
              <w:rPr>
                <w:rFonts w:hint="eastAsia" w:ascii="宋体" w:hAnsi="宋体" w:eastAsia="宋体" w:cs="宋体"/>
                <w:sz w:val="28"/>
                <w:szCs w:val="28"/>
              </w:rPr>
            </w:pPr>
            <w:r>
              <w:rPr>
                <w:rFonts w:hint="eastAsia" w:ascii="宋体" w:hAnsi="宋体" w:eastAsia="宋体" w:cs="宋体"/>
                <w:sz w:val="28"/>
                <w:szCs w:val="28"/>
              </w:rPr>
              <w:t xml:space="preserve">  厂界噪</w:t>
            </w:r>
            <w:r>
              <w:rPr>
                <w:rFonts w:hint="eastAsia" w:ascii="宋体" w:hAnsi="宋体" w:eastAsia="宋体" w:cs="宋体"/>
                <w:sz w:val="28"/>
                <w:szCs w:val="28"/>
                <w:lang w:eastAsia="zh-CN"/>
              </w:rPr>
              <w:t>声</w:t>
            </w:r>
            <w:r>
              <w:rPr>
                <w:rFonts w:hint="eastAsia" w:ascii="宋体" w:hAnsi="宋体" w:eastAsia="宋体" w:cs="宋体"/>
                <w:sz w:val="28"/>
                <w:szCs w:val="28"/>
              </w:rPr>
              <w:t>（东）</w:t>
            </w:r>
          </w:p>
        </w:tc>
        <w:tc>
          <w:tcPr>
            <w:tcW w:w="2599" w:type="dxa"/>
            <w:vAlign w:val="center"/>
          </w:tcPr>
          <w:p>
            <w:pPr>
              <w:pStyle w:val="33"/>
              <w:keepNext w:val="0"/>
              <w:keepLines w:val="0"/>
              <w:suppressLineNumbers w:val="0"/>
              <w:snapToGrid w:val="0"/>
              <w:spacing w:before="0" w:beforeAutospacing="0" w:after="0" w:afterAutospacing="0"/>
              <w:ind w:left="720" w:leftChars="0" w:right="0" w:rightChars="0"/>
              <w:contextualSpacing/>
              <w:jc w:val="both"/>
              <w:rPr>
                <w:rFonts w:hint="eastAsia" w:ascii="宋体" w:hAnsi="宋体" w:eastAsia="宋体" w:cs="宋体"/>
                <w:sz w:val="28"/>
                <w:szCs w:val="28"/>
              </w:rPr>
            </w:pPr>
            <w:r>
              <w:rPr>
                <w:rFonts w:hint="eastAsia" w:ascii="宋体" w:hAnsi="宋体" w:eastAsia="宋体" w:cs="宋体"/>
                <w:sz w:val="28"/>
                <w:szCs w:val="28"/>
              </w:rPr>
              <w:t>ZS001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309"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2</w:t>
            </w:r>
          </w:p>
        </w:tc>
        <w:tc>
          <w:tcPr>
            <w:tcW w:w="2188" w:type="dxa"/>
            <w:vAlign w:val="center"/>
          </w:tcPr>
          <w:p>
            <w:pPr>
              <w:pStyle w:val="32"/>
              <w:keepNext w:val="0"/>
              <w:keepLines w:val="0"/>
              <w:suppressLineNumbers w:val="0"/>
              <w:snapToGrid w:val="0"/>
              <w:spacing w:before="0" w:beforeAutospacing="0" w:after="0" w:afterAutospacing="0"/>
              <w:ind w:left="0" w:leftChars="0" w:right="0" w:rightChars="0"/>
              <w:contextualSpacing/>
              <w:rPr>
                <w:rFonts w:hint="eastAsia" w:ascii="宋体" w:hAnsi="宋体" w:eastAsia="宋体" w:cs="宋体"/>
                <w:sz w:val="28"/>
                <w:szCs w:val="28"/>
              </w:rPr>
            </w:pPr>
            <w:r>
              <w:rPr>
                <w:rFonts w:hint="eastAsia" w:ascii="宋体" w:hAnsi="宋体" w:eastAsia="宋体" w:cs="宋体"/>
                <w:sz w:val="28"/>
                <w:szCs w:val="28"/>
              </w:rPr>
              <w:t xml:space="preserve">  厂界噪</w:t>
            </w:r>
            <w:r>
              <w:rPr>
                <w:rFonts w:hint="eastAsia" w:ascii="宋体" w:hAnsi="宋体" w:eastAsia="宋体" w:cs="宋体"/>
                <w:sz w:val="28"/>
                <w:szCs w:val="28"/>
                <w:lang w:eastAsia="zh-CN"/>
              </w:rPr>
              <w:t>声</w:t>
            </w:r>
            <w:r>
              <w:rPr>
                <w:rFonts w:hint="eastAsia" w:ascii="宋体" w:hAnsi="宋体" w:eastAsia="宋体" w:cs="宋体"/>
                <w:sz w:val="28"/>
                <w:szCs w:val="28"/>
              </w:rPr>
              <w:t>（南）</w:t>
            </w:r>
          </w:p>
        </w:tc>
        <w:tc>
          <w:tcPr>
            <w:tcW w:w="2599" w:type="dxa"/>
            <w:vAlign w:val="center"/>
          </w:tcPr>
          <w:p>
            <w:pPr>
              <w:pStyle w:val="33"/>
              <w:keepNext w:val="0"/>
              <w:keepLines w:val="0"/>
              <w:suppressLineNumbers w:val="0"/>
              <w:snapToGrid w:val="0"/>
              <w:spacing w:before="0" w:beforeAutospacing="0" w:after="0" w:afterAutospacing="0"/>
              <w:ind w:left="720" w:leftChars="0" w:right="0" w:rightChars="0"/>
              <w:contextualSpacing/>
              <w:jc w:val="both"/>
              <w:rPr>
                <w:rFonts w:hint="eastAsia" w:ascii="宋体" w:hAnsi="宋体" w:eastAsia="宋体" w:cs="宋体"/>
                <w:sz w:val="28"/>
                <w:szCs w:val="28"/>
              </w:rPr>
            </w:pPr>
            <w:r>
              <w:rPr>
                <w:rFonts w:hint="eastAsia" w:ascii="宋体" w:hAnsi="宋体" w:eastAsia="宋体" w:cs="宋体"/>
                <w:sz w:val="28"/>
                <w:szCs w:val="28"/>
              </w:rPr>
              <w:t>ZS002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309"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3</w:t>
            </w:r>
          </w:p>
        </w:tc>
        <w:tc>
          <w:tcPr>
            <w:tcW w:w="2188" w:type="dxa"/>
            <w:vAlign w:val="center"/>
          </w:tcPr>
          <w:p>
            <w:pPr>
              <w:pStyle w:val="32"/>
              <w:keepNext w:val="0"/>
              <w:keepLines w:val="0"/>
              <w:suppressLineNumbers w:val="0"/>
              <w:snapToGrid w:val="0"/>
              <w:spacing w:before="0" w:beforeAutospacing="0" w:after="0" w:afterAutospacing="0"/>
              <w:ind w:left="0" w:leftChars="0" w:right="0" w:rightChars="0" w:firstLine="280" w:firstLineChars="100"/>
              <w:contextualSpacing/>
              <w:rPr>
                <w:rFonts w:hint="eastAsia" w:ascii="宋体" w:hAnsi="宋体" w:eastAsia="宋体" w:cs="宋体"/>
                <w:sz w:val="28"/>
                <w:szCs w:val="28"/>
              </w:rPr>
            </w:pPr>
            <w:r>
              <w:rPr>
                <w:rFonts w:hint="eastAsia" w:ascii="宋体" w:hAnsi="宋体" w:eastAsia="宋体" w:cs="宋体"/>
                <w:sz w:val="28"/>
                <w:szCs w:val="28"/>
              </w:rPr>
              <w:t>厂界噪</w:t>
            </w:r>
            <w:r>
              <w:rPr>
                <w:rFonts w:hint="eastAsia" w:ascii="宋体" w:hAnsi="宋体" w:eastAsia="宋体" w:cs="宋体"/>
                <w:sz w:val="28"/>
                <w:szCs w:val="28"/>
                <w:lang w:eastAsia="zh-CN"/>
              </w:rPr>
              <w:t>声</w:t>
            </w:r>
            <w:r>
              <w:rPr>
                <w:rFonts w:hint="eastAsia" w:ascii="宋体" w:hAnsi="宋体" w:eastAsia="宋体" w:cs="宋体"/>
                <w:sz w:val="28"/>
                <w:szCs w:val="28"/>
              </w:rPr>
              <w:t>（西）</w:t>
            </w:r>
          </w:p>
        </w:tc>
        <w:tc>
          <w:tcPr>
            <w:tcW w:w="2599" w:type="dxa"/>
            <w:vAlign w:val="center"/>
          </w:tcPr>
          <w:p>
            <w:pPr>
              <w:pStyle w:val="33"/>
              <w:keepNext w:val="0"/>
              <w:keepLines w:val="0"/>
              <w:suppressLineNumbers w:val="0"/>
              <w:snapToGrid w:val="0"/>
              <w:spacing w:before="0" w:beforeAutospacing="0" w:after="200" w:afterAutospacing="0" w:line="252" w:lineRule="auto"/>
              <w:ind w:left="720" w:leftChars="0" w:right="0" w:rightChars="0"/>
              <w:contextualSpacing/>
              <w:jc w:val="both"/>
              <w:rPr>
                <w:rFonts w:hint="eastAsia" w:ascii="宋体" w:hAnsi="宋体" w:eastAsia="宋体" w:cs="宋体"/>
                <w:sz w:val="28"/>
                <w:szCs w:val="28"/>
              </w:rPr>
            </w:pPr>
            <w:r>
              <w:rPr>
                <w:rFonts w:hint="eastAsia" w:ascii="宋体" w:hAnsi="宋体" w:eastAsia="宋体" w:cs="宋体"/>
                <w:sz w:val="28"/>
                <w:szCs w:val="28"/>
              </w:rPr>
              <w:t>ZS003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309" w:type="dxa"/>
            <w:vAlign w:val="center"/>
          </w:tcPr>
          <w:p>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4</w:t>
            </w:r>
          </w:p>
        </w:tc>
        <w:tc>
          <w:tcPr>
            <w:tcW w:w="2188" w:type="dxa"/>
            <w:vAlign w:val="center"/>
          </w:tcPr>
          <w:p>
            <w:pPr>
              <w:pStyle w:val="32"/>
              <w:keepNext w:val="0"/>
              <w:keepLines w:val="0"/>
              <w:suppressLineNumbers w:val="0"/>
              <w:snapToGrid w:val="0"/>
              <w:spacing w:before="0" w:beforeAutospacing="0" w:after="0" w:afterAutospacing="0"/>
              <w:ind w:left="0" w:leftChars="0" w:right="0" w:rightChars="0" w:firstLine="280" w:firstLineChars="100"/>
              <w:contextualSpacing/>
              <w:rPr>
                <w:rFonts w:hint="eastAsia" w:ascii="宋体" w:hAnsi="宋体" w:eastAsia="宋体" w:cs="宋体"/>
                <w:sz w:val="28"/>
                <w:szCs w:val="28"/>
              </w:rPr>
            </w:pPr>
            <w:r>
              <w:rPr>
                <w:rFonts w:hint="eastAsia" w:ascii="宋体" w:hAnsi="宋体" w:eastAsia="宋体" w:cs="宋体"/>
                <w:sz w:val="28"/>
                <w:szCs w:val="28"/>
              </w:rPr>
              <w:t>厂界噪</w:t>
            </w:r>
            <w:r>
              <w:rPr>
                <w:rFonts w:hint="eastAsia" w:ascii="宋体" w:hAnsi="宋体" w:eastAsia="宋体" w:cs="宋体"/>
                <w:sz w:val="28"/>
                <w:szCs w:val="28"/>
                <w:lang w:eastAsia="zh-CN"/>
              </w:rPr>
              <w:t>声</w:t>
            </w:r>
            <w:r>
              <w:rPr>
                <w:rFonts w:hint="eastAsia" w:ascii="宋体" w:hAnsi="宋体" w:eastAsia="宋体" w:cs="宋体"/>
                <w:sz w:val="28"/>
                <w:szCs w:val="28"/>
              </w:rPr>
              <w:t>（北）</w:t>
            </w:r>
          </w:p>
        </w:tc>
        <w:tc>
          <w:tcPr>
            <w:tcW w:w="2599" w:type="dxa"/>
            <w:vAlign w:val="center"/>
          </w:tcPr>
          <w:p>
            <w:pPr>
              <w:pStyle w:val="33"/>
              <w:keepNext w:val="0"/>
              <w:keepLines w:val="0"/>
              <w:suppressLineNumbers w:val="0"/>
              <w:snapToGrid w:val="0"/>
              <w:spacing w:before="0" w:beforeAutospacing="0" w:after="200" w:afterAutospacing="0" w:line="252" w:lineRule="auto"/>
              <w:ind w:left="720" w:leftChars="0" w:right="0" w:rightChars="0"/>
              <w:contextualSpacing/>
              <w:jc w:val="both"/>
              <w:rPr>
                <w:rFonts w:hint="eastAsia" w:ascii="宋体" w:hAnsi="宋体" w:eastAsia="宋体" w:cs="宋体"/>
                <w:sz w:val="28"/>
                <w:szCs w:val="28"/>
              </w:rPr>
            </w:pPr>
            <w:r>
              <w:rPr>
                <w:rFonts w:hint="eastAsia" w:ascii="宋体" w:hAnsi="宋体" w:eastAsia="宋体" w:cs="宋体"/>
                <w:sz w:val="28"/>
                <w:szCs w:val="28"/>
              </w:rPr>
              <w:t>ZS004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865" w:type="dxa"/>
            <w:vAlign w:val="center"/>
          </w:tcPr>
          <w:p>
            <w:pPr>
              <w:pStyle w:val="16"/>
              <w:keepNext w:val="0"/>
              <w:keepLines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sz w:val="28"/>
                <w:szCs w:val="28"/>
              </w:rPr>
            </w:pPr>
            <w:r>
              <w:rPr>
                <w:rFonts w:hint="eastAsia" w:ascii="宋体" w:hAnsi="宋体" w:eastAsia="宋体" w:cs="宋体"/>
                <w:sz w:val="28"/>
                <w:szCs w:val="28"/>
              </w:rPr>
              <w:t>周边环境质量</w:t>
            </w:r>
          </w:p>
        </w:tc>
        <w:tc>
          <w:tcPr>
            <w:tcW w:w="1965" w:type="dxa"/>
            <w:gridSpan w:val="2"/>
            <w:vAlign w:val="center"/>
          </w:tcPr>
          <w:p>
            <w:pPr>
              <w:pStyle w:val="16"/>
              <w:keepNext w:val="0"/>
              <w:keepLines w:val="0"/>
              <w:suppressLineNumbers w:val="0"/>
              <w:adjustRightInd w:val="0"/>
              <w:snapToGrid w:val="0"/>
              <w:spacing w:before="0" w:beforeAutospacing="0" w:after="0" w:afterAutospacing="0"/>
              <w:ind w:left="0" w:leftChars="0" w:right="0" w:firstLine="560" w:firstLineChars="200"/>
              <w:jc w:val="both"/>
              <w:rPr>
                <w:rFonts w:hint="eastAsia" w:ascii="宋体" w:hAnsi="宋体" w:eastAsia="宋体" w:cs="宋体"/>
                <w:sz w:val="28"/>
                <w:szCs w:val="28"/>
              </w:rPr>
            </w:pPr>
            <w:r>
              <w:rPr>
                <w:rFonts w:hint="eastAsia" w:ascii="宋体" w:hAnsi="宋体" w:eastAsia="宋体" w:cs="宋体"/>
                <w:sz w:val="28"/>
                <w:szCs w:val="28"/>
              </w:rPr>
              <w:t>地</w:t>
            </w:r>
            <w:r>
              <w:rPr>
                <w:rFonts w:hint="eastAsia" w:ascii="宋体" w:hAnsi="宋体" w:eastAsia="宋体" w:cs="宋体"/>
                <w:sz w:val="28"/>
                <w:szCs w:val="28"/>
                <w:lang w:eastAsia="zh-CN"/>
              </w:rPr>
              <w:t>表</w:t>
            </w:r>
            <w:r>
              <w:rPr>
                <w:rFonts w:hint="eastAsia" w:ascii="宋体" w:hAnsi="宋体" w:eastAsia="宋体" w:cs="宋体"/>
                <w:sz w:val="28"/>
                <w:szCs w:val="28"/>
              </w:rPr>
              <w:t>水</w:t>
            </w:r>
          </w:p>
        </w:tc>
        <w:tc>
          <w:tcPr>
            <w:tcW w:w="1309" w:type="dxa"/>
            <w:vAlign w:val="center"/>
          </w:tcPr>
          <w:p>
            <w:pPr>
              <w:pStyle w:val="16"/>
              <w:keepNext w:val="0"/>
              <w:keepLines w:val="0"/>
              <w:suppressLineNumbers w:val="0"/>
              <w:adjustRightInd w:val="0"/>
              <w:snapToGrid w:val="0"/>
              <w:spacing w:before="0" w:beforeAutospacing="0" w:after="0" w:afterAutospacing="0"/>
              <w:ind w:left="0" w:leftChars="0" w:right="0"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188" w:type="dxa"/>
            <w:vAlign w:val="center"/>
          </w:tcPr>
          <w:p>
            <w:pPr>
              <w:pStyle w:val="16"/>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环评报告中提到影响不大，未要求开展</w:t>
            </w:r>
          </w:p>
        </w:tc>
        <w:tc>
          <w:tcPr>
            <w:tcW w:w="2599" w:type="dxa"/>
            <w:vAlign w:val="center"/>
          </w:tcPr>
          <w:p>
            <w:pPr>
              <w:pStyle w:val="16"/>
              <w:keepNext w:val="0"/>
              <w:keepLines w:val="0"/>
              <w:suppressLineNumbers w:val="0"/>
              <w:adjustRightInd w:val="0"/>
              <w:snapToGrid w:val="0"/>
              <w:spacing w:before="0" w:beforeAutospacing="0" w:after="0" w:afterAutospacing="0"/>
              <w:ind w:left="0" w:right="0" w:firstLine="1120" w:firstLineChars="4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tc>
      </w:tr>
    </w:tbl>
    <w:p>
      <w:pPr>
        <w:pStyle w:val="31"/>
        <w:spacing w:after="200" w:line="252" w:lineRule="auto"/>
        <w:ind w:left="0"/>
        <w:contextualSpacing/>
        <w:jc w:val="left"/>
        <w:outlineLvl w:val="0"/>
        <w:rPr>
          <w:rFonts w:ascii="宋体" w:eastAsia="宋体"/>
          <w:sz w:val="21"/>
          <w:szCs w:val="21"/>
        </w:rPr>
      </w:pPr>
    </w:p>
    <w:p>
      <w:pPr>
        <w:pStyle w:val="31"/>
        <w:spacing w:after="200" w:line="252" w:lineRule="auto"/>
        <w:ind w:left="0"/>
        <w:contextualSpacing/>
        <w:jc w:val="left"/>
        <w:outlineLvl w:val="0"/>
        <w:rPr>
          <w:rFonts w:ascii="宋体"/>
          <w:sz w:val="21"/>
          <w:szCs w:val="21"/>
        </w:rPr>
      </w:pPr>
    </w:p>
    <w:p>
      <w:pPr>
        <w:pStyle w:val="31"/>
        <w:spacing w:after="200" w:line="252" w:lineRule="auto"/>
        <w:ind w:left="0"/>
        <w:contextualSpacing/>
        <w:jc w:val="left"/>
        <w:outlineLvl w:val="0"/>
        <w:rPr>
          <w:rFonts w:ascii="宋体"/>
          <w:sz w:val="21"/>
          <w:szCs w:val="21"/>
        </w:rPr>
      </w:pPr>
      <w:r>
        <w:rPr>
          <w:rFonts w:ascii="宋体"/>
          <w:sz w:val="21"/>
          <w:szCs w:val="21"/>
        </w:rPr>
        <w:t>注</w:t>
      </w:r>
      <w:r>
        <w:rPr>
          <w:rFonts w:hint="eastAsia" w:ascii="宋体" w:hAnsi="宋体" w:eastAsia="宋体"/>
          <w:sz w:val="21"/>
          <w:szCs w:val="21"/>
          <w:lang w:val="en-US" w:eastAsia="zh-CN"/>
        </w:rPr>
        <w:t>1</w:t>
      </w:r>
      <w:r>
        <w:rPr>
          <w:rFonts w:ascii="宋体"/>
          <w:sz w:val="21"/>
          <w:szCs w:val="21"/>
        </w:rPr>
        <w:t>：以环保部门编号为准，如环保部门未进行编号，以企业自行编号为准；</w: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sz w:val="21"/>
          <w:szCs w:val="21"/>
        </w:rPr>
        <w:t>注</w:t>
      </w:r>
      <w:r>
        <w:rPr>
          <w:rFonts w:hint="eastAsia" w:ascii="宋体" w:hAnsi="宋体"/>
          <w:sz w:val="21"/>
          <w:szCs w:val="21"/>
          <w:lang w:val="en-US" w:eastAsia="zh-CN"/>
        </w:rPr>
        <w:t>2</w:t>
      </w:r>
      <w:r>
        <w:rPr>
          <w:rFonts w:ascii="宋体"/>
          <w:sz w:val="21"/>
          <w:szCs w:val="21"/>
        </w:rPr>
        <w:t>：若污染物排放标准等环境管理文件对污染治理设施有特别要求的，应开展此项监测。</w:t>
      </w:r>
    </w:p>
    <w:p>
      <w:pPr>
        <w:keepNext w:val="0"/>
        <w:keepLines w:val="0"/>
        <w:pageBreakBefore w:val="0"/>
        <w:numPr>
          <w:ilvl w:val="0"/>
          <w:numId w:val="2"/>
        </w:numPr>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000000"/>
          <w:sz w:val="28"/>
          <w:szCs w:val="28"/>
        </w:rPr>
      </w:pPr>
      <w:r>
        <w:rPr>
          <w:rFonts w:hint="eastAsia" w:ascii="宋体" w:hAnsi="宋体" w:eastAsia="宋体" w:cs="宋体"/>
          <w:color w:val="000000"/>
          <w:sz w:val="28"/>
          <w:szCs w:val="28"/>
        </w:rPr>
        <w:t>废气</w:t>
      </w:r>
      <w:r>
        <w:rPr>
          <w:rFonts w:hint="eastAsia" w:ascii="宋体" w:hAnsi="宋体" w:eastAsia="宋体" w:cs="宋体"/>
          <w:color w:val="000000"/>
          <w:sz w:val="28"/>
          <w:szCs w:val="28"/>
          <w:lang w:eastAsia="zh-CN"/>
        </w:rPr>
        <w:t>无组织</w:t>
      </w:r>
      <w:r>
        <w:rPr>
          <w:rFonts w:hint="eastAsia" w:ascii="宋体" w:hAnsi="宋体" w:eastAsia="宋体" w:cs="宋体"/>
          <w:color w:val="000000"/>
          <w:sz w:val="28"/>
          <w:szCs w:val="28"/>
        </w:rPr>
        <w:t>自行监测及记录信息</w:t>
      </w:r>
      <w:r>
        <w:rPr>
          <w:rFonts w:hint="eastAsia" w:ascii="宋体" w:hAnsi="宋体" w:eastAsia="宋体" w:cs="宋体"/>
          <w:b w:val="0"/>
          <w:bCs w:val="0"/>
          <w:color w:val="000000"/>
          <w:sz w:val="28"/>
          <w:szCs w:val="28"/>
        </w:rPr>
        <w:t>表</w:t>
      </w:r>
      <w:bookmarkStart w:id="0" w:name="BIAO15"/>
    </w:p>
    <w:tbl>
      <w:tblPr>
        <w:tblStyle w:val="8"/>
        <w:tblpPr w:leftFromText="180" w:rightFromText="180" w:vertAnchor="text" w:horzAnchor="page" w:tblpX="1201" w:tblpY="573"/>
        <w:tblOverlap w:val="never"/>
        <w:tblW w:w="221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808"/>
        <w:gridCol w:w="808"/>
        <w:gridCol w:w="910"/>
        <w:gridCol w:w="808"/>
        <w:gridCol w:w="858"/>
        <w:gridCol w:w="809"/>
        <w:gridCol w:w="2983"/>
        <w:gridCol w:w="1418"/>
        <w:gridCol w:w="1580"/>
        <w:gridCol w:w="1822"/>
        <w:gridCol w:w="1701"/>
        <w:gridCol w:w="3827"/>
        <w:gridCol w:w="1984"/>
        <w:gridCol w:w="18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858" w:hRule="atLeast"/>
          <w:tblHeader/>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污染源类别/监测类别</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排放口编号/监测点位</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监测点位名称</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监测指标</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监测设施</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排放标准</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排放限值</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方法检出限</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手工监测采样方法及个数</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手工监测频次</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手工测定方法</w:t>
            </w:r>
          </w:p>
        </w:tc>
        <w:tc>
          <w:tcPr>
            <w:tcW w:w="198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手工检测设备</w:t>
            </w:r>
          </w:p>
        </w:tc>
        <w:tc>
          <w:tcPr>
            <w:tcW w:w="184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其他信息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333333"/>
                <w:sz w:val="21"/>
                <w:szCs w:val="21"/>
              </w:rPr>
              <w:t>MF0019</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color w:val="auto"/>
                <w:highlight w:val="none"/>
              </w:rPr>
              <w:t>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20</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093"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333333"/>
                <w:sz w:val="21"/>
                <w:szCs w:val="21"/>
              </w:rPr>
              <w:t>MF0019</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20</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95"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3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333333"/>
                <w:sz w:val="21"/>
                <w:szCs w:val="21"/>
              </w:rPr>
              <w:t>MF0019</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20</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CN001</w:t>
            </w:r>
          </w:p>
        </w:tc>
        <w:tc>
          <w:tcPr>
            <w:tcW w:w="808"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厂区体积浓度最高处</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98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bidi="ar"/>
              </w:rPr>
              <w:t>福立</w:t>
            </w:r>
            <w:r>
              <w:rPr>
                <w:rFonts w:hint="eastAsia" w:ascii="宋体" w:hAnsi="宋体" w:eastAsia="宋体" w:cs="宋体"/>
                <w:color w:val="auto"/>
                <w:kern w:val="0"/>
                <w:sz w:val="24"/>
                <w:szCs w:val="24"/>
                <w:highlight w:val="none"/>
                <w:lang w:val="en-US" w:eastAsia="zh-CN" w:bidi="ar"/>
              </w:rPr>
              <w:t>GC9790II非甲烷专用仪</w:t>
            </w:r>
          </w:p>
        </w:tc>
        <w:tc>
          <w:tcPr>
            <w:tcW w:w="184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9"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CN00</w:t>
            </w:r>
            <w:r>
              <w:rPr>
                <w:rFonts w:hint="eastAsia" w:ascii="宋体" w:hAnsi="宋体" w:eastAsia="宋体" w:cs="宋体"/>
                <w:color w:val="auto"/>
                <w:sz w:val="24"/>
                <w:szCs w:val="24"/>
                <w:highlight w:val="none"/>
                <w:lang w:val="en-US" w:eastAsia="zh-CN"/>
              </w:rPr>
              <w:t>2</w:t>
            </w:r>
          </w:p>
        </w:tc>
        <w:tc>
          <w:tcPr>
            <w:tcW w:w="808" w:type="dxa"/>
            <w:tcBorders>
              <w:tl2br w:val="nil"/>
              <w:tr2bl w:val="nil"/>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厂区体积浓度最高处</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上限:1%</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1次/年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98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福立</w:t>
            </w:r>
            <w:r>
              <w:rPr>
                <w:rFonts w:hint="eastAsia" w:ascii="宋体" w:hAnsi="宋体" w:eastAsia="宋体" w:cs="宋体"/>
                <w:color w:val="auto"/>
                <w:kern w:val="0"/>
                <w:sz w:val="24"/>
                <w:szCs w:val="24"/>
                <w:highlight w:val="none"/>
                <w:lang w:val="en-US" w:eastAsia="zh-CN" w:bidi="ar"/>
              </w:rPr>
              <w:t>GC9790II非甲烷专用仪</w:t>
            </w:r>
          </w:p>
        </w:tc>
        <w:tc>
          <w:tcPr>
            <w:tcW w:w="184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委托检测</w:t>
            </w:r>
          </w:p>
        </w:tc>
      </w:tr>
    </w:tbl>
    <w:p>
      <w:pPr>
        <w:adjustRightInd w:val="0"/>
        <w:snapToGrid w:val="0"/>
        <w:jc w:val="center"/>
        <w:rPr>
          <w:rFonts w:ascii="宋体" w:hAnsi="宋体" w:eastAsia="宋体" w:cs="宋体"/>
          <w:color w:val="auto"/>
          <w:sz w:val="28"/>
          <w:szCs w:val="28"/>
          <w:highlight w:val="none"/>
        </w:rPr>
      </w:pPr>
    </w:p>
    <w:p>
      <w:pPr>
        <w:keepNext w:val="0"/>
        <w:keepLines w:val="0"/>
        <w:pageBreakBefore w:val="0"/>
        <w:numPr>
          <w:ilvl w:val="0"/>
          <w:numId w:val="0"/>
        </w:numPr>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000000"/>
          <w:sz w:val="28"/>
          <w:szCs w:val="28"/>
          <w:lang w:val="en-US" w:eastAsia="zh-CN"/>
        </w:rPr>
      </w:pPr>
      <w:r>
        <w:rPr>
          <w:rFonts w:ascii="宋体" w:hAnsi="宋体" w:eastAsia="宋体" w:cs="宋体"/>
          <w:color w:val="000000"/>
          <w:sz w:val="28"/>
          <w:szCs w:val="28"/>
        </w:rPr>
        <w:br w:type="page"/>
      </w:r>
      <w:bookmarkEnd w:id="0"/>
    </w:p>
    <w:p>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2.废水</w:t>
      </w:r>
      <w:r>
        <w:rPr>
          <w:rFonts w:hint="eastAsia" w:ascii="宋体" w:hAnsi="宋体" w:eastAsia="宋体" w:cs="宋体"/>
          <w:b w:val="0"/>
          <w:bCs w:val="0"/>
          <w:color w:val="000000"/>
          <w:sz w:val="28"/>
          <w:szCs w:val="28"/>
        </w:rPr>
        <w:t>自行监测及记录信息表</w:t>
      </w:r>
    </w:p>
    <w:tbl>
      <w:tblPr>
        <w:tblStyle w:val="8"/>
        <w:tblpPr w:leftFromText="180" w:rightFromText="180" w:vertAnchor="text" w:horzAnchor="page" w:tblpX="1063" w:tblpY="396"/>
        <w:tblOverlap w:val="never"/>
        <w:tblW w:w="2212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Layout w:type="fixed"/>
        <w:tblCellMar>
          <w:top w:w="0" w:type="dxa"/>
          <w:left w:w="108" w:type="dxa"/>
          <w:bottom w:w="0" w:type="dxa"/>
          <w:right w:w="108" w:type="dxa"/>
        </w:tblCellMar>
      </w:tblPr>
      <w:tblGrid>
        <w:gridCol w:w="525"/>
        <w:gridCol w:w="684"/>
        <w:gridCol w:w="160"/>
        <w:gridCol w:w="900"/>
        <w:gridCol w:w="1125"/>
        <w:gridCol w:w="826"/>
        <w:gridCol w:w="580"/>
        <w:gridCol w:w="943"/>
        <w:gridCol w:w="2712"/>
        <w:gridCol w:w="971"/>
        <w:gridCol w:w="845"/>
        <w:gridCol w:w="1134"/>
        <w:gridCol w:w="1284"/>
        <w:gridCol w:w="1540"/>
        <w:gridCol w:w="1197"/>
        <w:gridCol w:w="1589"/>
        <w:gridCol w:w="1209"/>
        <w:gridCol w:w="1209"/>
        <w:gridCol w:w="1489"/>
        <w:gridCol w:w="120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55" w:hRule="atLeast"/>
          <w:tblHeader/>
        </w:trPr>
        <w:tc>
          <w:tcPr>
            <w:tcW w:w="525"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序号</w:t>
            </w:r>
          </w:p>
        </w:tc>
        <w:tc>
          <w:tcPr>
            <w:tcW w:w="844" w:type="dxa"/>
            <w:gridSpan w:val="2"/>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污染源类别/监测类别</w:t>
            </w:r>
          </w:p>
        </w:tc>
        <w:tc>
          <w:tcPr>
            <w:tcW w:w="900"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排放口编号/监测点位</w:t>
            </w:r>
          </w:p>
        </w:tc>
        <w:tc>
          <w:tcPr>
            <w:tcW w:w="1125"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排放口名称/监测点位名称</w:t>
            </w:r>
          </w:p>
        </w:tc>
        <w:tc>
          <w:tcPr>
            <w:tcW w:w="826"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监测指标</w:t>
            </w:r>
          </w:p>
        </w:tc>
        <w:tc>
          <w:tcPr>
            <w:tcW w:w="580"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监测设施</w:t>
            </w:r>
          </w:p>
        </w:tc>
        <w:tc>
          <w:tcPr>
            <w:tcW w:w="943"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w:t>
            </w:r>
            <w:r>
              <w:rPr>
                <w:rStyle w:val="10"/>
                <w:rFonts w:hint="eastAsia" w:ascii="宋体" w:hAnsi="宋体" w:cs="宋体"/>
                <w:b w:val="0"/>
                <w:bCs w:val="0"/>
                <w:sz w:val="24"/>
                <w:szCs w:val="24"/>
                <w:lang w:val="en-US" w:eastAsia="zh-CN"/>
              </w:rPr>
              <w:t>限值</w:t>
            </w:r>
          </w:p>
        </w:tc>
        <w:tc>
          <w:tcPr>
            <w:tcW w:w="2712"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lang w:val="en-US" w:eastAsia="zh-CN"/>
              </w:rPr>
            </w:pPr>
            <w:r>
              <w:rPr>
                <w:rStyle w:val="10"/>
                <w:rFonts w:hint="eastAsia" w:ascii="宋体" w:hAnsi="宋体" w:cs="宋体"/>
                <w:b w:val="0"/>
                <w:bCs w:val="0"/>
                <w:sz w:val="24"/>
                <w:szCs w:val="24"/>
                <w:lang w:val="en-US" w:eastAsia="zh-CN"/>
              </w:rPr>
              <w:t>排放标准</w:t>
            </w:r>
          </w:p>
        </w:tc>
        <w:tc>
          <w:tcPr>
            <w:tcW w:w="971"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自动监测是否联网</w:t>
            </w:r>
          </w:p>
        </w:tc>
        <w:tc>
          <w:tcPr>
            <w:tcW w:w="845"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自动监测仪器名称</w:t>
            </w:r>
          </w:p>
        </w:tc>
        <w:tc>
          <w:tcPr>
            <w:tcW w:w="1134"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自动监测设施安装位置</w:t>
            </w:r>
          </w:p>
        </w:tc>
        <w:tc>
          <w:tcPr>
            <w:tcW w:w="1284"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自动监测设施是否符合安装、运行、维护等管理要求</w:t>
            </w:r>
          </w:p>
        </w:tc>
        <w:tc>
          <w:tcPr>
            <w:tcW w:w="1540"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手工监测采样方法及个数</w:t>
            </w:r>
          </w:p>
        </w:tc>
        <w:tc>
          <w:tcPr>
            <w:tcW w:w="1197"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手工监测频次（处理量≥2万吨/日）</w:t>
            </w:r>
          </w:p>
        </w:tc>
        <w:tc>
          <w:tcPr>
            <w:tcW w:w="1589"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手工测定方法</w:t>
            </w:r>
          </w:p>
        </w:tc>
        <w:tc>
          <w:tcPr>
            <w:tcW w:w="1209"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eastAsia="zh-CN"/>
              </w:rPr>
              <w:t>方法检出限</w:t>
            </w:r>
          </w:p>
        </w:tc>
        <w:tc>
          <w:tcPr>
            <w:tcW w:w="1209"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lang w:val="en-US" w:eastAsia="zh-CN"/>
              </w:rPr>
            </w:pPr>
            <w:r>
              <w:rPr>
                <w:rFonts w:hint="eastAsia" w:ascii="宋体" w:hAnsi="宋体" w:cs="宋体"/>
                <w:sz w:val="24"/>
                <w:szCs w:val="24"/>
              </w:rPr>
              <w:t>手工检测设备</w:t>
            </w:r>
          </w:p>
        </w:tc>
        <w:tc>
          <w:tcPr>
            <w:tcW w:w="1489"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lang w:val="en-US" w:eastAsia="zh-CN"/>
              </w:rPr>
            </w:pPr>
            <w:r>
              <w:rPr>
                <w:rFonts w:hint="eastAsia" w:ascii="宋体" w:hAnsi="宋体" w:cs="宋体"/>
                <w:sz w:val="24"/>
                <w:szCs w:val="24"/>
              </w:rPr>
              <w:t>样品保存</w:t>
            </w:r>
          </w:p>
        </w:tc>
        <w:tc>
          <w:tcPr>
            <w:tcW w:w="1200"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其他信息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87"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pH值</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6-9</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pH/T在线监测设备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总排口堰槽</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lang w:val="en-US" w:eastAsia="zh-CN"/>
              </w:rPr>
              <w:t>/</w:t>
            </w:r>
          </w:p>
        </w:tc>
        <w:tc>
          <w:tcPr>
            <w:tcW w:w="1209" w:type="dxa"/>
            <w:tcBorders>
              <w:tl2br w:val="nil"/>
              <w:tr2bl w:val="nil"/>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firstLine="480" w:firstLineChars="200"/>
              <w:jc w:val="both"/>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firstLine="480" w:firstLineChars="200"/>
              <w:jc w:val="both"/>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jc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色度（稀释倍数）</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30倍</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 xml:space="preserve">1次/月 </w:t>
            </w:r>
          </w:p>
        </w:tc>
        <w:tc>
          <w:tcPr>
            <w:tcW w:w="158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色度的测定》</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Style w:val="25"/>
                <w:rFonts w:hint="eastAsia" w:ascii="宋体" w:hAnsi="宋体" w:eastAsia="宋体" w:cs="宋体"/>
                <w:color w:val="auto"/>
                <w:sz w:val="24"/>
                <w:szCs w:val="24"/>
                <w:highlight w:val="none"/>
                <w:lang w:bidi="ar"/>
              </w:rPr>
              <w:t xml:space="preserve"> HJ 1182-2021</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2倍</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比色管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悬浮物</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 xml:space="preserve">混合采样多个混合样 </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GB</w:t>
            </w:r>
            <w:r>
              <w:rPr>
                <w:rStyle w:val="25"/>
                <w:rFonts w:hint="eastAsia" w:ascii="宋体" w:hAnsi="宋体" w:eastAsia="宋体" w:cs="宋体"/>
                <w:b w:val="0"/>
                <w:bCs w:val="0"/>
                <w:color w:val="auto"/>
                <w:sz w:val="24"/>
                <w:szCs w:val="24"/>
                <w:lang w:val="en-US" w:eastAsia="zh-CN" w:bidi="ar"/>
              </w:rPr>
              <w:t xml:space="preserve">/T 11901-1989 </w:t>
            </w:r>
            <w:r>
              <w:rPr>
                <w:rStyle w:val="26"/>
                <w:rFonts w:hint="eastAsia" w:ascii="宋体" w:hAnsi="宋体" w:eastAsia="宋体" w:cs="宋体"/>
                <w:b w:val="0"/>
                <w:bCs w:val="0"/>
                <w:color w:val="auto"/>
                <w:sz w:val="24"/>
                <w:szCs w:val="24"/>
                <w:lang w:val="en-US" w:eastAsia="zh-CN" w:bidi="ar"/>
              </w:rPr>
              <w:t>水质悬浮物的测定重量法</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default" w:ascii="宋体" w:hAnsi="宋体" w:eastAsia="宋体" w:cs="宋体"/>
                <w:sz w:val="24"/>
                <w:szCs w:val="24"/>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eastAsia="zh-CN" w:bidi="ar"/>
              </w:rPr>
              <w:t>万分之一天平</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814"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五日生化需氧量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HJ 505-2009</w:t>
            </w:r>
            <w:r>
              <w:rPr>
                <w:rStyle w:val="26"/>
                <w:rFonts w:hint="eastAsia" w:ascii="宋体" w:hAnsi="宋体" w:eastAsia="宋体" w:cs="宋体"/>
                <w:b w:val="0"/>
                <w:bCs w:val="0"/>
                <w:color w:val="auto"/>
                <w:sz w:val="24"/>
                <w:szCs w:val="24"/>
                <w:lang w:val="en-US" w:eastAsia="zh-CN" w:bidi="ar"/>
              </w:rPr>
              <w:t xml:space="preserve"> </w:t>
            </w:r>
            <w:r>
              <w:rPr>
                <w:rStyle w:val="27"/>
                <w:rFonts w:hint="eastAsia" w:ascii="宋体" w:hAnsi="宋体" w:eastAsia="宋体" w:cs="宋体"/>
                <w:b w:val="0"/>
                <w:bCs w:val="0"/>
                <w:color w:val="auto"/>
                <w:sz w:val="24"/>
                <w:szCs w:val="24"/>
                <w:lang w:val="en-US" w:eastAsia="zh-CN" w:bidi="ar"/>
              </w:rPr>
              <w:t>水质五日生化需氧量</w:t>
            </w:r>
            <w:r>
              <w:rPr>
                <w:rStyle w:val="26"/>
                <w:rFonts w:hint="eastAsia" w:ascii="宋体" w:hAnsi="宋体" w:eastAsia="宋体" w:cs="宋体"/>
                <w:b w:val="0"/>
                <w:bCs w:val="0"/>
                <w:color w:val="auto"/>
                <w:sz w:val="24"/>
                <w:szCs w:val="24"/>
                <w:lang w:val="en-US" w:eastAsia="zh-CN" w:bidi="ar"/>
              </w:rPr>
              <w:t>(BOD5)</w:t>
            </w:r>
            <w:r>
              <w:rPr>
                <w:rStyle w:val="27"/>
                <w:rFonts w:hint="eastAsia" w:ascii="宋体" w:hAnsi="宋体" w:eastAsia="宋体" w:cs="宋体"/>
                <w:b w:val="0"/>
                <w:bCs w:val="0"/>
                <w:color w:val="auto"/>
                <w:sz w:val="24"/>
                <w:szCs w:val="24"/>
                <w:lang w:val="en-US" w:eastAsia="zh-CN" w:bidi="ar"/>
              </w:rPr>
              <w:t>的测定稀释与接种法</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eastAsia" w:ascii="宋体" w:hAnsi="宋体" w:eastAsia="宋体" w:cs="宋体"/>
                <w:sz w:val="24"/>
                <w:szCs w:val="24"/>
                <w:lang w:bidi="ar"/>
              </w:rPr>
            </w:pPr>
            <w:r>
              <w:rPr>
                <w:rFonts w:hint="eastAsia" w:ascii="宋体" w:hAnsi="宋体" w:eastAsia="宋体" w:cs="宋体"/>
                <w:color w:val="auto"/>
                <w:sz w:val="24"/>
                <w:szCs w:val="24"/>
              </w:rPr>
              <w:t>0.5</w:t>
            </w:r>
            <w:r>
              <w:rPr>
                <w:rFonts w:hint="default" w:ascii="宋体" w:hAnsi="宋体" w:eastAsia="宋体" w:cs="宋体"/>
                <w:color w:val="auto"/>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bidi="ar"/>
              </w:rPr>
              <w:t>生化培养箱</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化学需氧量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50mg/L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COD在线监测设备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sz w:val="24"/>
                <w:szCs w:val="24"/>
                <w:u w:val="none"/>
                <w:lang w:val="en-US" w:eastAsia="zh-CN"/>
              </w:rPr>
              <w:t>10mg/L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阴离子表面活性剂</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0.5mg/L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亚甲蓝分光光度法</w:t>
            </w:r>
            <w:r>
              <w:rPr>
                <w:rFonts w:hint="eastAsia" w:ascii="宋体" w:hAnsi="宋体" w:eastAsia="宋体" w:cs="宋体"/>
                <w:color w:val="auto"/>
                <w:sz w:val="24"/>
                <w:szCs w:val="24"/>
                <w:lang w:val="en-US" w:eastAsia="zh-CN"/>
              </w:rPr>
              <w:t>HJ826-2017</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0.05</w:t>
            </w:r>
            <w:r>
              <w:rPr>
                <w:rFonts w:hint="default" w:ascii="宋体" w:hAnsi="宋体" w:eastAsia="宋体" w:cs="宋体"/>
                <w:color w:val="auto"/>
                <w:sz w:val="24"/>
                <w:szCs w:val="24"/>
              </w:rPr>
              <w:t>mg/ 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kern w:val="0"/>
                <w:sz w:val="24"/>
                <w:szCs w:val="24"/>
                <w:lang w:bidi="ar"/>
              </w:rPr>
              <w:t>连续流动分析仪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Style w:val="26"/>
                <w:rFonts w:ascii="宋体" w:hAnsi="宋体" w:eastAsia="宋体" w:cs="宋体"/>
                <w:color w:val="auto"/>
                <w:sz w:val="24"/>
                <w:szCs w:val="24"/>
                <w:highlight w:val="none"/>
                <w:lang w:bidi="ar"/>
              </w:rPr>
              <w:t>1</w:t>
            </w:r>
            <w:r>
              <w:rPr>
                <w:rStyle w:val="26"/>
                <w:rFonts w:hint="eastAsia" w:ascii="宋体" w:hAnsi="宋体" w:eastAsia="宋体" w:cs="宋体"/>
                <w:color w:val="auto"/>
                <w:sz w:val="24"/>
                <w:szCs w:val="24"/>
                <w:highlight w:val="none"/>
                <w:lang w:bidi="ar"/>
              </w:rPr>
              <w:t>%的甲醛，冷藏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总汞</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color w:val="auto"/>
                <w:sz w:val="24"/>
                <w:szCs w:val="24"/>
              </w:rPr>
              <w:t>冷原子吸收分光光度法</w:t>
            </w:r>
            <w:r>
              <w:rPr>
                <w:rFonts w:hint="eastAsia" w:ascii="宋体" w:hAnsi="宋体" w:eastAsia="宋体" w:cs="宋体"/>
                <w:b w:val="0"/>
                <w:bCs w:val="0"/>
                <w:i w:val="0"/>
                <w:iCs w:val="0"/>
                <w:color w:val="auto"/>
                <w:kern w:val="0"/>
                <w:sz w:val="24"/>
                <w:szCs w:val="24"/>
                <w:u w:val="none"/>
                <w:lang w:val="en-US" w:eastAsia="zh-CN" w:bidi="ar"/>
              </w:rPr>
              <w:t xml:space="preserve"> HJ 597-2011</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0.04</w:t>
            </w:r>
            <w:r>
              <w:rPr>
                <w:rFonts w:hint="eastAsia"/>
                <w:color w:val="auto"/>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全自动测汞仪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000000"/>
                <w:kern w:val="0"/>
                <w:sz w:val="24"/>
                <w:szCs w:val="24"/>
                <w:lang w:bidi="ar"/>
              </w:rPr>
              <w:t>HCl 1%，如水样为中性，1L水样中加浓HCl10ml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872"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烷基汞</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sz w:val="24"/>
                <w:szCs w:val="24"/>
                <w:u w:val="none"/>
                <w:lang w:eastAsia="zh-CN"/>
              </w:rPr>
              <w:t>不得检出</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1次/半年</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center"/>
              <w:rPr>
                <w:rFonts w:hint="eastAsia" w:ascii="宋体" w:hAnsi="宋体" w:eastAsia="宋体" w:cs="宋体"/>
                <w:b w:val="0"/>
                <w:bCs w:val="0"/>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气相色谱法 GB/T 14204-1993</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0.02ng/L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气相色谱仪</w:t>
            </w:r>
          </w:p>
        </w:tc>
        <w:tc>
          <w:tcPr>
            <w:tcW w:w="148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如在数小时内样品不能分析，应在样品瓶中预 </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先加入 CuSO</w:t>
            </w:r>
            <w:r>
              <w:rPr>
                <w:rFonts w:hint="eastAsia" w:ascii="宋体" w:hAnsi="宋体" w:eastAsia="宋体" w:cs="宋体"/>
                <w:color w:val="000000"/>
                <w:kern w:val="0"/>
                <w:sz w:val="24"/>
                <w:szCs w:val="24"/>
                <w:vertAlign w:val="subscript"/>
                <w:lang w:bidi="ar"/>
              </w:rPr>
              <w:t>4</w:t>
            </w:r>
            <w:r>
              <w:rPr>
                <w:rFonts w:hint="eastAsia" w:ascii="宋体" w:hAnsi="宋体" w:eastAsia="宋体" w:cs="宋体"/>
                <w:color w:val="000000"/>
                <w:kern w:val="0"/>
                <w:sz w:val="24"/>
                <w:szCs w:val="24"/>
                <w:lang w:bidi="ar"/>
              </w:rPr>
              <w:t>，加入量为每升 1g，冷藏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8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总镉</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65种元素的测定 电感耦合等离子体质谱法 HJ 700-2014</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0.05</w:t>
            </w:r>
            <w:r>
              <w:rPr>
                <w:rFonts w:hint="eastAsia"/>
                <w:color w:val="auto"/>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，1L水样中加浓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 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3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10</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总铬</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65种元素的测定 电感耦合等离子体质谱法HJ 700-2014</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0.11</w:t>
            </w:r>
            <w:r>
              <w:rPr>
                <w:rFonts w:hint="eastAsia"/>
                <w:color w:val="auto"/>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Cs/>
                <w:color w:val="000000"/>
                <w:sz w:val="24"/>
                <w:szCs w:val="24"/>
              </w:rPr>
              <w:t>1</w:t>
            </w:r>
            <w:r>
              <w:rPr>
                <w:rFonts w:hint="eastAsia" w:ascii="宋体" w:hAnsi="宋体" w:eastAsia="宋体" w:cs="宋体"/>
                <w:bCs/>
                <w:color w:val="000000"/>
                <w:sz w:val="24"/>
                <w:szCs w:val="24"/>
                <w:lang w:val="en-US" w:eastAsia="zh-CN"/>
              </w:rPr>
              <w:t>L</w:t>
            </w:r>
            <w:r>
              <w:rPr>
                <w:rFonts w:hint="eastAsia" w:ascii="宋体" w:hAnsi="宋体" w:eastAsia="宋体" w:cs="宋体"/>
                <w:bCs/>
                <w:color w:val="000000"/>
                <w:sz w:val="24"/>
                <w:szCs w:val="24"/>
              </w:rPr>
              <w:t>水样中加浓HNO</w:t>
            </w:r>
            <w:r>
              <w:rPr>
                <w:rFonts w:hint="eastAsia" w:ascii="宋体" w:hAnsi="宋体" w:eastAsia="宋体" w:cs="宋体"/>
                <w:bCs/>
                <w:color w:val="000000"/>
                <w:sz w:val="24"/>
                <w:szCs w:val="24"/>
                <w:vertAlign w:val="subscript"/>
              </w:rPr>
              <w:t xml:space="preserve">3 </w:t>
            </w:r>
            <w:r>
              <w:rPr>
                <w:rFonts w:hint="eastAsia" w:ascii="宋体" w:hAnsi="宋体" w:eastAsia="宋体" w:cs="宋体"/>
                <w:bCs/>
                <w:color w:val="000000"/>
                <w:sz w:val="24"/>
                <w:szCs w:val="24"/>
              </w:rPr>
              <w:t>10ml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31"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11</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六价铬</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0.05mg/L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二苯碳酰二肼分光光度法 GB 7467-87</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0.001mg/L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lang w:eastAsia="zh-CN"/>
              </w:rPr>
              <w:t>可见</w:t>
            </w:r>
            <w:r>
              <w:rPr>
                <w:rFonts w:hint="eastAsia" w:ascii="宋体" w:hAnsi="宋体" w:eastAsia="宋体" w:cs="宋体"/>
                <w:color w:val="auto"/>
                <w:sz w:val="24"/>
                <w:szCs w:val="24"/>
              </w:rPr>
              <w:t>分光光度计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NaOH，pH 8～9</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0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总砷</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 xml:space="preserve">电感耦合等离子体质谱法HJ </w:t>
            </w:r>
            <w:r>
              <w:rPr>
                <w:rFonts w:hint="eastAsia" w:ascii="宋体" w:hAnsi="宋体" w:eastAsia="宋体" w:cs="宋体"/>
                <w:color w:val="auto"/>
                <w:sz w:val="24"/>
                <w:szCs w:val="24"/>
                <w:lang w:val="en-US" w:eastAsia="zh-CN"/>
              </w:rPr>
              <w:t>700-201</w:t>
            </w:r>
            <w:r>
              <w:rPr>
                <w:rFonts w:hint="eastAsia" w:ascii="宋体" w:hAnsi="宋体" w:eastAsia="宋体" w:cs="宋体"/>
                <w:color w:val="auto"/>
                <w:sz w:val="24"/>
                <w:szCs w:val="24"/>
              </w:rPr>
              <w:t>4</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0.3</w:t>
            </w:r>
            <w:r>
              <w:rPr>
                <w:rFonts w:hint="eastAsia"/>
                <w:color w:val="auto"/>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L</w:t>
            </w:r>
            <w:r>
              <w:rPr>
                <w:rFonts w:hint="eastAsia" w:ascii="宋体" w:hAnsi="宋体" w:eastAsia="宋体" w:cs="宋体"/>
                <w:color w:val="000000"/>
                <w:kern w:val="0"/>
                <w:sz w:val="24"/>
                <w:szCs w:val="24"/>
                <w:lang w:bidi="ar"/>
              </w:rPr>
              <w:t>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93"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总铅</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 xml:space="preserve">电感耦合等离子体质谱HJ </w:t>
            </w:r>
            <w:r>
              <w:rPr>
                <w:rFonts w:hint="eastAsia" w:ascii="宋体" w:hAnsi="宋体" w:eastAsia="宋体" w:cs="宋体"/>
                <w:color w:val="auto"/>
                <w:sz w:val="24"/>
                <w:szCs w:val="24"/>
                <w:lang w:val="en-US" w:eastAsia="zh-CN"/>
              </w:rPr>
              <w:t>700-201</w:t>
            </w:r>
            <w:r>
              <w:rPr>
                <w:rFonts w:hint="eastAsia" w:ascii="宋体" w:hAnsi="宋体" w:eastAsia="宋体" w:cs="宋体"/>
                <w:color w:val="auto"/>
                <w:sz w:val="24"/>
                <w:szCs w:val="24"/>
              </w:rPr>
              <w:t>4</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0.09</w:t>
            </w:r>
            <w:r>
              <w:rPr>
                <w:rFonts w:hint="eastAsia"/>
                <w:color w:val="auto"/>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1"/>
                <w:szCs w:val="21"/>
                <w:lang w:bidi="ar"/>
              </w:rPr>
              <w:t>HNO3</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bidi="ar"/>
              </w:rPr>
              <w:t>1%，如水样为中性，1L水样中加浓 HNO</w:t>
            </w:r>
            <w:r>
              <w:rPr>
                <w:rFonts w:hint="eastAsia" w:ascii="宋体" w:hAnsi="宋体" w:eastAsia="宋体" w:cs="宋体"/>
                <w:color w:val="000000"/>
                <w:kern w:val="0"/>
                <w:sz w:val="21"/>
                <w:szCs w:val="21"/>
                <w:vertAlign w:val="subscript"/>
                <w:lang w:bidi="ar"/>
              </w:rPr>
              <w:t>3</w:t>
            </w:r>
            <w:r>
              <w:rPr>
                <w:rFonts w:hint="eastAsia" w:ascii="宋体" w:hAnsi="宋体" w:eastAsia="宋体" w:cs="宋体"/>
                <w:color w:val="000000"/>
                <w:kern w:val="0"/>
                <w:sz w:val="21"/>
                <w:szCs w:val="21"/>
                <w:lang w:bidi="ar"/>
              </w:rPr>
              <w:t>10ml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6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总氮（以N计）</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15mg/L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总磷总氮在线监测设备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8</w:t>
            </w:r>
            <w:r>
              <w:rPr>
                <w:rFonts w:hint="default" w:ascii="宋体" w:hAnsi="宋体" w:eastAsia="宋体" w:cs="宋体"/>
                <w:color w:val="auto"/>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15</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氨氮（NH3-N）</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5(8)mg/L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2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16</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总磷（以P计）</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0.5mg/L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总磷总氮在线监测设备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03</w:t>
            </w:r>
            <w:r>
              <w:rPr>
                <w:rFonts w:hint="default" w:ascii="宋体" w:hAnsi="宋体" w:eastAsia="宋体" w:cs="宋体"/>
                <w:color w:val="auto"/>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4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17</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石油类</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石油类和动植物油类的测定 红外分光光度法 HJ 637-2018</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0.06mg/L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红外</w:t>
            </w:r>
            <w:r>
              <w:rPr>
                <w:rFonts w:hint="eastAsia" w:ascii="宋体" w:hAnsi="宋体" w:eastAsia="宋体" w:cs="宋体"/>
                <w:color w:val="auto"/>
                <w:sz w:val="24"/>
                <w:szCs w:val="24"/>
                <w:lang w:eastAsia="zh-CN"/>
              </w:rPr>
              <w:t>分光</w:t>
            </w:r>
            <w:r>
              <w:rPr>
                <w:rFonts w:hint="eastAsia" w:ascii="宋体" w:hAnsi="宋体" w:eastAsia="宋体" w:cs="宋体"/>
                <w:color w:val="auto"/>
                <w:sz w:val="24"/>
                <w:szCs w:val="24"/>
              </w:rPr>
              <w:t>测油仪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4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18</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动植物油</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石油类和动植物油类的测定 红外分光光度法 HJ 637-2018</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0.06mg/L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红外</w:t>
            </w:r>
            <w:r>
              <w:rPr>
                <w:rFonts w:hint="eastAsia" w:ascii="宋体" w:hAnsi="宋体" w:eastAsia="宋体" w:cs="宋体"/>
                <w:color w:val="auto"/>
                <w:sz w:val="24"/>
                <w:szCs w:val="24"/>
                <w:lang w:eastAsia="zh-CN"/>
              </w:rPr>
              <w:t>分光</w:t>
            </w:r>
            <w:r>
              <w:rPr>
                <w:rFonts w:hint="eastAsia" w:ascii="宋体" w:hAnsi="宋体" w:eastAsia="宋体" w:cs="宋体"/>
                <w:color w:val="auto"/>
                <w:sz w:val="24"/>
                <w:szCs w:val="24"/>
              </w:rPr>
              <w:t>测油仪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19</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粪大肠菌群数/（个/L）</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1000</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水质粪大肠菌群的测定多管发酵法</w:t>
            </w:r>
            <w:r>
              <w:rPr>
                <w:rStyle w:val="29"/>
                <w:rFonts w:hint="eastAsia" w:ascii="宋体" w:hAnsi="宋体" w:eastAsia="宋体" w:cs="宋体"/>
                <w:b w:val="0"/>
                <w:bCs w:val="0"/>
                <w:color w:val="auto"/>
                <w:sz w:val="24"/>
                <w:szCs w:val="24"/>
                <w:lang w:val="en-US" w:eastAsia="zh-CN" w:bidi="ar"/>
              </w:rPr>
              <w:t>HJ 347.2-2018</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10CFU/L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生化培养箱</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1"/>
                <w:szCs w:val="21"/>
                <w:lang w:bidi="ar"/>
              </w:rPr>
              <w:t>单独采集微生物样品，不预洗采样</w:t>
            </w:r>
            <w:r>
              <w:rPr>
                <w:rFonts w:hint="eastAsia" w:ascii="宋体" w:hAnsi="宋体" w:eastAsia="宋体" w:cs="宋体"/>
                <w:color w:val="000000"/>
                <w:kern w:val="0"/>
                <w:sz w:val="21"/>
                <w:szCs w:val="21"/>
                <w:lang w:eastAsia="zh-CN" w:bidi="ar"/>
              </w:rPr>
              <w:t>袋</w:t>
            </w:r>
            <w:r>
              <w:rPr>
                <w:rFonts w:hint="eastAsia" w:ascii="宋体" w:hAnsi="宋体" w:eastAsia="宋体" w:cs="宋体"/>
                <w:color w:val="000000"/>
                <w:kern w:val="0"/>
                <w:sz w:val="21"/>
                <w:szCs w:val="21"/>
                <w:lang w:bidi="ar"/>
              </w:rPr>
              <w:t>，样品采集至采样瓶体积的8</w:t>
            </w:r>
            <w:r>
              <w:rPr>
                <w:rFonts w:hint="default" w:ascii="宋体" w:hAnsi="宋体" w:eastAsia="宋体" w:cs="宋体"/>
                <w:color w:val="000000"/>
                <w:kern w:val="0"/>
                <w:sz w:val="21"/>
                <w:szCs w:val="21"/>
                <w:lang w:bidi="ar"/>
              </w:rPr>
              <w:t>0</w:t>
            </w:r>
            <w:r>
              <w:rPr>
                <w:rFonts w:hint="eastAsia" w:ascii="宋体" w:hAnsi="宋体" w:eastAsia="宋体" w:cs="宋体"/>
                <w:color w:val="000000"/>
                <w:kern w:val="0"/>
                <w:sz w:val="21"/>
                <w:szCs w:val="21"/>
                <w:lang w:bidi="ar"/>
              </w:rPr>
              <w:t>%左右，冷藏，避光</w:t>
            </w:r>
            <w:r>
              <w:rPr>
                <w:rFonts w:hint="eastAsia" w:ascii="宋体" w:hAnsi="宋体" w:eastAsia="宋体" w:cs="宋体"/>
                <w:color w:val="000000"/>
                <w:kern w:val="0"/>
                <w:sz w:val="21"/>
                <w:szCs w:val="21"/>
                <w:lang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53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20</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流量计</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总排口堰槽</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21</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水温</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pH/T水温在线监测设备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总排口堰槽</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22</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化学需氧量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220mg/L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COD在线监测设备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进水仪表小屋</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44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23</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总氮（以N计）</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35mg/L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混合采样多个混合样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1次/日</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水质总氮的测定碱性过硫酸钾消解紫外分光光度法</w:t>
            </w:r>
            <w:r>
              <w:rPr>
                <w:rStyle w:val="29"/>
                <w:rFonts w:hint="eastAsia" w:ascii="宋体" w:hAnsi="宋体" w:eastAsia="宋体" w:cs="宋体"/>
                <w:b w:val="0"/>
                <w:bCs w:val="0"/>
                <w:color w:val="auto"/>
                <w:sz w:val="24"/>
                <w:szCs w:val="24"/>
                <w:lang w:val="en-US" w:eastAsia="zh-CN" w:bidi="ar"/>
              </w:rPr>
              <w:t>HJ636-2012</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0.05mg/L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bidi="ar"/>
              </w:rPr>
              <w:t>紫外可见分光光度计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24</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氨氮（NH3-N）</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25mg/L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进水仪表小屋</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25</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总磷（以P计）</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3mg/L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混合采样多个混合样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1次/日</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水质总磷的测定钼酸铵分光光度法</w:t>
            </w:r>
            <w:r>
              <w:rPr>
                <w:rStyle w:val="29"/>
                <w:rFonts w:hint="eastAsia" w:ascii="宋体" w:hAnsi="宋体" w:eastAsia="宋体" w:cs="宋体"/>
                <w:b w:val="0"/>
                <w:bCs w:val="0"/>
                <w:color w:val="auto"/>
                <w:sz w:val="24"/>
                <w:szCs w:val="24"/>
                <w:lang w:val="en-US" w:eastAsia="zh-CN" w:bidi="ar"/>
              </w:rPr>
              <w:t>GB11893-89</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0.01mg/L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bidi="ar"/>
              </w:rPr>
              <w:t>紫外可见分光光度计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64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26</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流量计</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sz w:val="24"/>
                <w:szCs w:val="24"/>
                <w:u w:val="none"/>
                <w:lang w:eastAsia="zh-CN"/>
              </w:rPr>
              <w:t>提升泵房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80" w:firstLineChars="200"/>
              <w:jc w:val="both"/>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80" w:firstLineChars="200"/>
              <w:jc w:val="both"/>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720" w:firstLineChars="300"/>
              <w:jc w:val="both"/>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80" w:firstLineChars="200"/>
              <w:jc w:val="both"/>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28</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pH值</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6-9</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pH/T在线监测设备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2"/>
                <w:sz w:val="24"/>
                <w:szCs w:val="24"/>
                <w:u w:val="none"/>
                <w:lang w:val="en-US" w:eastAsia="zh-CN" w:bidi="ar-SA"/>
              </w:rPr>
              <w:t>沉砂池前端</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default"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51"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29</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水温</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pH/T水温在线监测设备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沉砂池前端</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48"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29</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w:t>
            </w:r>
            <w:r>
              <w:rPr>
                <w:rStyle w:val="30"/>
                <w:rFonts w:hint="eastAsia" w:ascii="宋体" w:hAnsi="宋体" w:eastAsia="宋体" w:cs="宋体"/>
                <w:b w:val="0"/>
                <w:bCs w:val="0"/>
                <w:color w:val="auto"/>
                <w:sz w:val="24"/>
                <w:szCs w:val="24"/>
                <w:lang w:val="en-US" w:eastAsia="zh-CN" w:bidi="ar"/>
              </w:rPr>
              <w:t>2</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pH值</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6-9</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pH值的测定 电极法》（HJ 1147-2020）</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default"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1"/>
                <w:szCs w:val="21"/>
                <w:lang w:val="en-US" w:eastAsia="zh-CN"/>
              </w:rPr>
              <w:t>pH计PH5-25C</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720" w:firstLineChars="300"/>
              <w:jc w:val="both"/>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30</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kern w:val="0"/>
                <w:sz w:val="24"/>
                <w:szCs w:val="24"/>
                <w:u w:val="none"/>
                <w:lang w:val="en-US" w:eastAsia="zh-CN" w:bidi="ar"/>
              </w:rPr>
              <w:t>DW002</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highlight w:val="none"/>
                <w:lang w:val="en-US" w:eastAsia="zh-CN"/>
              </w:rPr>
              <w:t>15mg/L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eastAsia="zh-CN"/>
              </w:rPr>
              <w:t>纳氏试剂分光光度法</w:t>
            </w:r>
            <w:r>
              <w:rPr>
                <w:rFonts w:hint="eastAsia" w:ascii="宋体" w:hAnsi="宋体" w:eastAsia="宋体" w:cs="宋体"/>
                <w:b w:val="0"/>
                <w:bCs w:val="0"/>
                <w:i w:val="0"/>
                <w:iCs w:val="0"/>
                <w:color w:val="auto"/>
                <w:sz w:val="24"/>
                <w:szCs w:val="24"/>
                <w:u w:val="none"/>
                <w:lang w:val="en-US" w:eastAsia="zh-CN"/>
              </w:rPr>
              <w:t>HJ535-2009</w:t>
            </w:r>
          </w:p>
        </w:tc>
        <w:tc>
          <w:tcPr>
            <w:tcW w:w="120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0.025</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bidi="ar"/>
              </w:rPr>
              <w:t>可见分光光度计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31</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DW002</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悬浮物</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240" w:firstLineChars="100"/>
              <w:jc w:val="both"/>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highlight w:val="none"/>
                <w:u w:val="none"/>
                <w:lang w:val="en-US" w:eastAsia="zh-CN"/>
              </w:rPr>
              <w:t>70</w:t>
            </w:r>
            <w:r>
              <w:rPr>
                <w:rFonts w:hint="eastAsia" w:ascii="宋体" w:hAnsi="宋体" w:eastAsia="宋体" w:cs="宋体"/>
                <w:color w:val="auto"/>
                <w:sz w:val="24"/>
                <w:szCs w:val="24"/>
                <w:highlight w:val="none"/>
                <w:lang w:val="en-US" w:eastAsia="zh-CN"/>
              </w:rPr>
              <w:t>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水质悬浮物的测定重量法</w:t>
            </w:r>
            <w:r>
              <w:rPr>
                <w:rStyle w:val="25"/>
                <w:rFonts w:hint="eastAsia" w:ascii="宋体" w:hAnsi="宋体" w:eastAsia="宋体" w:cs="宋体"/>
                <w:b w:val="0"/>
                <w:bCs w:val="0"/>
                <w:color w:val="auto"/>
                <w:sz w:val="24"/>
                <w:szCs w:val="24"/>
                <w:lang w:val="en-US" w:eastAsia="zh-CN" w:bidi="ar"/>
              </w:rPr>
              <w:t>GB/T 11901-1989</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color w:val="auto"/>
                <w:sz w:val="24"/>
                <w:szCs w:val="24"/>
                <w:lang w:val="en-US" w:eastAsia="zh-CN"/>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电子分析天平</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32</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DW002</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化学需氧量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highlight w:val="none"/>
                <w:u w:val="none"/>
                <w:lang w:val="en-US" w:eastAsia="zh-CN"/>
              </w:rPr>
              <w:t>100</w:t>
            </w:r>
            <w:r>
              <w:rPr>
                <w:rFonts w:hint="eastAsia" w:ascii="宋体" w:hAnsi="宋体" w:eastAsia="宋体" w:cs="宋体"/>
                <w:color w:val="auto"/>
                <w:sz w:val="24"/>
                <w:szCs w:val="24"/>
                <w:highlight w:val="none"/>
                <w:lang w:val="en-US" w:eastAsia="zh-CN"/>
              </w:rPr>
              <w:t>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水质化学需氧量的测定重铬酸盐法</w:t>
            </w:r>
            <w:r>
              <w:rPr>
                <w:rStyle w:val="29"/>
                <w:rFonts w:hint="eastAsia" w:ascii="宋体" w:hAnsi="宋体" w:eastAsia="宋体" w:cs="宋体"/>
                <w:b w:val="0"/>
                <w:bCs w:val="0"/>
                <w:color w:val="auto"/>
                <w:sz w:val="24"/>
                <w:szCs w:val="24"/>
                <w:lang w:val="en-US" w:eastAsia="zh-CN" w:bidi="ar"/>
              </w:rPr>
              <w:t>HJ 828-2017</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4mg/L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COD消解装置</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480" w:hRule="atLeast"/>
        </w:trPr>
        <w:tc>
          <w:tcPr>
            <w:tcW w:w="1209"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0913" w:type="dxa"/>
            <w:gridSpan w:val="18"/>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注：雨水排放口有流动水排放时按月监测，如监测一年无异常情况，可放宽至每季度开展一次监测</w:t>
            </w:r>
          </w:p>
        </w:tc>
      </w:tr>
    </w:tbl>
    <w:p>
      <w:pPr>
        <w:keepNext w:val="0"/>
        <w:keepLines w:val="0"/>
        <w:pageBreakBefore w:val="0"/>
        <w:kinsoku/>
        <w:wordWrap/>
        <w:overflowPunct/>
        <w:topLinePunct w:val="0"/>
        <w:autoSpaceDE/>
        <w:autoSpaceDN/>
        <w:bidi w:val="0"/>
        <w:adjustRightInd w:val="0"/>
        <w:snapToGrid w:val="0"/>
        <w:spacing w:before="250" w:beforeLines="80" w:after="0" w:line="240" w:lineRule="auto"/>
        <w:jc w:val="center"/>
        <w:rPr>
          <w:rFonts w:hint="eastAsia" w:ascii="宋体" w:hAnsi="宋体" w:eastAsia="宋体" w:cs="宋体"/>
          <w:b w:val="0"/>
          <w:bCs w:val="0"/>
          <w:color w:val="auto"/>
          <w:sz w:val="28"/>
          <w:szCs w:val="28"/>
          <w:lang w:val="en-US" w:eastAsia="zh-CN"/>
        </w:rPr>
        <w:sectPr>
          <w:pgSz w:w="23811" w:h="16838" w:orient="landscape"/>
          <w:pgMar w:top="1803" w:right="873" w:bottom="1803" w:left="87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7"/>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FF0000"/>
          <w:sz w:val="28"/>
          <w:szCs w:val="28"/>
          <w:lang w:val="en-US" w:eastAsia="zh-CN"/>
        </w:rPr>
      </w:pPr>
      <w:bookmarkStart w:id="1" w:name="SCLZXJCINFO"/>
      <w:r>
        <w:rPr>
          <w:rFonts w:hint="eastAsia" w:ascii="宋体" w:hAnsi="宋体" w:eastAsia="宋体" w:cs="宋体"/>
          <w:b w:val="0"/>
          <w:bCs w:val="0"/>
          <w:color w:val="auto"/>
          <w:sz w:val="28"/>
          <w:szCs w:val="28"/>
          <w:lang w:val="en-US" w:eastAsia="zh-CN"/>
        </w:rPr>
        <w:t>3.污泥监测方案：</w:t>
      </w:r>
    </w:p>
    <w:tbl>
      <w:tblPr>
        <w:tblStyle w:val="9"/>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576"/>
        <w:gridCol w:w="1437"/>
        <w:gridCol w:w="2432"/>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监测指标</w:t>
            </w:r>
          </w:p>
        </w:tc>
        <w:tc>
          <w:tcPr>
            <w:tcW w:w="1576"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240" w:firstLineChars="100"/>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监测频次</w:t>
            </w:r>
          </w:p>
        </w:tc>
        <w:tc>
          <w:tcPr>
            <w:tcW w:w="1437"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监测方式</w:t>
            </w:r>
          </w:p>
        </w:tc>
        <w:tc>
          <w:tcPr>
            <w:tcW w:w="2432"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720" w:firstLineChars="300"/>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监测方法</w:t>
            </w:r>
          </w:p>
        </w:tc>
        <w:tc>
          <w:tcPr>
            <w:tcW w:w="1596"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  监测设备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0"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含水量（</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vertAlign w:val="baseline"/>
                <w:lang w:val="en-US" w:eastAsia="zh-CN"/>
              </w:rPr>
              <w:t>）</w:t>
            </w:r>
          </w:p>
        </w:tc>
        <w:tc>
          <w:tcPr>
            <w:tcW w:w="1576"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480" w:firstLineChars="20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日</w:t>
            </w:r>
          </w:p>
        </w:tc>
        <w:tc>
          <w:tcPr>
            <w:tcW w:w="1437"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240" w:firstLineChars="10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手工</w:t>
            </w:r>
          </w:p>
        </w:tc>
        <w:tc>
          <w:tcPr>
            <w:tcW w:w="2432"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重量法CJ/T221-2005</w:t>
            </w:r>
          </w:p>
        </w:tc>
        <w:tc>
          <w:tcPr>
            <w:tcW w:w="1596"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千分之一天平</w:t>
            </w:r>
          </w:p>
        </w:tc>
      </w:tr>
    </w:tbl>
    <w:p>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8"/>
          <w:szCs w:val="28"/>
          <w:lang w:val="en-US" w:eastAsia="zh-CN"/>
        </w:rPr>
      </w:pPr>
    </w:p>
    <w:p>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kern w:val="28"/>
          <w:sz w:val="28"/>
          <w:szCs w:val="28"/>
          <w:lang w:val="en-US" w:eastAsia="zh-CN" w:bidi="ar-SA"/>
        </w:rPr>
        <w:t>厂界噪声监测方案</w:t>
      </w:r>
    </w:p>
    <w:bookmarkEnd w:id="1"/>
    <w:tbl>
      <w:tblPr>
        <w:tblStyle w:val="9"/>
        <w:tblpPr w:leftFromText="180" w:rightFromText="180" w:vertAnchor="text" w:horzAnchor="page" w:tblpX="1057" w:tblpY="224"/>
        <w:tblOverlap w:val="never"/>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071"/>
        <w:gridCol w:w="1786"/>
        <w:gridCol w:w="1227"/>
        <w:gridCol w:w="1399"/>
        <w:gridCol w:w="127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trPr>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监测点位</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监测指标</w:t>
            </w:r>
          </w:p>
        </w:tc>
        <w:tc>
          <w:tcPr>
            <w:tcW w:w="1786"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240" w:firstLineChars="1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排放标准</w:t>
            </w:r>
          </w:p>
        </w:tc>
        <w:tc>
          <w:tcPr>
            <w:tcW w:w="1227"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排放限值</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监测方式</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监测频次</w:t>
            </w:r>
          </w:p>
        </w:tc>
        <w:tc>
          <w:tcPr>
            <w:tcW w:w="194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东</w:t>
            </w:r>
            <w:r>
              <w:rPr>
                <w:rFonts w:hint="eastAsia" w:ascii="宋体" w:hAnsi="宋体" w:eastAsia="宋体" w:cs="宋体"/>
                <w:b w:val="0"/>
                <w:bCs w:val="0"/>
                <w:color w:val="auto"/>
                <w:sz w:val="24"/>
                <w:szCs w:val="24"/>
                <w:lang w:val="en-US" w:eastAsia="zh-CN"/>
              </w:rPr>
              <w:t>ZS001</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等效连续A声级</w:t>
            </w:r>
          </w:p>
        </w:tc>
        <w:tc>
          <w:tcPr>
            <w:tcW w:w="1786" w:type="dxa"/>
            <w:vAlign w:val="center"/>
          </w:tcPr>
          <w:p>
            <w:pPr>
              <w:keepNext w:val="0"/>
              <w:keepLines w:val="0"/>
              <w:suppressLineNumbers w:val="0"/>
              <w:snapToGrid w:val="0"/>
              <w:spacing w:before="0" w:beforeAutospacing="0" w:after="0" w:afterAutospacing="0"/>
              <w:ind w:left="0" w:right="0"/>
              <w:contextualSpacing/>
              <w:jc w:val="center"/>
              <w:rPr>
                <w:rFonts w:hint="default" w:ascii="宋体" w:hAnsi="宋体" w:eastAsia="宋体" w:cs="宋体"/>
                <w:sz w:val="24"/>
                <w:szCs w:val="24"/>
                <w:lang w:val="en-US" w:eastAsia="zh-CN"/>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vAlign w:val="center"/>
          </w:tcPr>
          <w:p>
            <w:pPr>
              <w:keepNext w:val="0"/>
              <w:keepLines w:val="0"/>
              <w:suppressLineNumbers w:val="0"/>
              <w:snapToGrid w:val="0"/>
              <w:spacing w:before="0" w:beforeAutospacing="0" w:after="0" w:afterAutospacing="0"/>
              <w:ind w:left="0" w:right="0"/>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昼间60dB夜间50dB</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194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南</w:t>
            </w:r>
            <w:r>
              <w:rPr>
                <w:rFonts w:hint="eastAsia" w:ascii="宋体" w:hAnsi="宋体" w:eastAsia="宋体" w:cs="宋体"/>
                <w:b w:val="0"/>
                <w:bCs w:val="0"/>
                <w:color w:val="auto"/>
                <w:sz w:val="24"/>
                <w:szCs w:val="24"/>
                <w:lang w:val="en-US" w:eastAsia="zh-CN"/>
              </w:rPr>
              <w:t>ZS002</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等效连续A声级</w:t>
            </w:r>
          </w:p>
        </w:tc>
        <w:tc>
          <w:tcPr>
            <w:tcW w:w="1786" w:type="dxa"/>
            <w:vAlign w:val="center"/>
          </w:tcPr>
          <w:p>
            <w:pPr>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4"/>
                <w:szCs w:val="24"/>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vAlign w:val="center"/>
          </w:tcPr>
          <w:p>
            <w:pPr>
              <w:keepNext w:val="0"/>
              <w:keepLines w:val="0"/>
              <w:suppressLineNumbers w:val="0"/>
              <w:snapToGrid w:val="0"/>
              <w:spacing w:before="0" w:beforeAutospacing="0" w:after="0" w:afterAutospacing="0"/>
              <w:ind w:left="0" w:right="0"/>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昼间60dB夜间50dB</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194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西</w:t>
            </w:r>
            <w:r>
              <w:rPr>
                <w:rFonts w:hint="eastAsia" w:ascii="宋体" w:hAnsi="宋体" w:eastAsia="宋体" w:cs="宋体"/>
                <w:b w:val="0"/>
                <w:bCs w:val="0"/>
                <w:color w:val="auto"/>
                <w:sz w:val="24"/>
                <w:szCs w:val="24"/>
                <w:lang w:val="en-US" w:eastAsia="zh-CN"/>
              </w:rPr>
              <w:t>ZS003</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等效连续A声级</w:t>
            </w:r>
          </w:p>
        </w:tc>
        <w:tc>
          <w:tcPr>
            <w:tcW w:w="1786"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sz w:val="24"/>
                <w:szCs w:val="24"/>
              </w:rPr>
              <w:t>昼间60dB夜间50dB</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194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北</w:t>
            </w:r>
            <w:r>
              <w:rPr>
                <w:rFonts w:hint="eastAsia" w:ascii="宋体" w:hAnsi="宋体" w:eastAsia="宋体" w:cs="宋体"/>
                <w:b w:val="0"/>
                <w:bCs w:val="0"/>
                <w:color w:val="auto"/>
                <w:sz w:val="24"/>
                <w:szCs w:val="24"/>
                <w:lang w:val="en-US" w:eastAsia="zh-CN"/>
              </w:rPr>
              <w:t>ZS004</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等效连续A声级</w:t>
            </w:r>
          </w:p>
        </w:tc>
        <w:tc>
          <w:tcPr>
            <w:tcW w:w="1786"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sz w:val="24"/>
                <w:szCs w:val="24"/>
              </w:rPr>
              <w:t>昼间60dB夜间50dB</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194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bl>
    <w:p>
      <w:pPr>
        <w:pStyle w:val="17"/>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b/>
          <w:bCs/>
          <w:sz w:val="28"/>
          <w:szCs w:val="28"/>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CN"/>
        </w:rPr>
        <w:t>企业在线监测设备信息</w:t>
      </w:r>
    </w:p>
    <w:p>
      <w:pPr>
        <w:pStyle w:val="17"/>
        <w:spacing w:line="240" w:lineRule="auto"/>
        <w:ind w:left="-420" w:leftChars="-200" w:firstLine="0" w:firstLineChars="0"/>
        <w:rPr>
          <w:rFonts w:ascii="宋体" w:hAnsi="宋体"/>
          <w:sz w:val="28"/>
          <w:szCs w:val="28"/>
        </w:rPr>
      </w:pPr>
      <w:r>
        <w:rPr>
          <w:rFonts w:hint="eastAsia" w:ascii="宋体" w:hAnsi="宋体"/>
          <w:sz w:val="28"/>
          <w:szCs w:val="28"/>
          <w:lang w:val="en-US"/>
        </w:rPr>
        <w:t>1.</w:t>
      </w:r>
      <w:r>
        <w:rPr>
          <w:rFonts w:hint="eastAsia" w:ascii="宋体" w:hAnsi="宋体"/>
          <w:sz w:val="28"/>
          <w:szCs w:val="28"/>
        </w:rPr>
        <w:t>自动监测设备</w:t>
      </w:r>
    </w:p>
    <w:tbl>
      <w:tblPr>
        <w:tblStyle w:val="9"/>
        <w:tblW w:w="9062" w:type="dxa"/>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1485"/>
        <w:gridCol w:w="720"/>
        <w:gridCol w:w="705"/>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监测设备名称</w:t>
            </w:r>
          </w:p>
        </w:tc>
        <w:tc>
          <w:tcPr>
            <w:tcW w:w="1485"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型号</w:t>
            </w:r>
          </w:p>
        </w:tc>
        <w:tc>
          <w:tcPr>
            <w:tcW w:w="720" w:type="dxa"/>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数量</w:t>
            </w:r>
          </w:p>
        </w:tc>
        <w:tc>
          <w:tcPr>
            <w:tcW w:w="705" w:type="dxa"/>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单位</w:t>
            </w:r>
          </w:p>
        </w:tc>
        <w:tc>
          <w:tcPr>
            <w:tcW w:w="3544"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 xml:space="preserve">出水COD在线检测仪 </w:t>
            </w:r>
          </w:p>
        </w:tc>
        <w:tc>
          <w:tcPr>
            <w:tcW w:w="1485"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default" w:ascii="宋体" w:hAnsi="宋体" w:eastAsia="宋体" w:cs="宋体"/>
                <w:kern w:val="0"/>
                <w:sz w:val="24"/>
                <w:szCs w:val="24"/>
              </w:rPr>
              <w:t>CODMAXⅡ</w:t>
            </w:r>
          </w:p>
        </w:tc>
        <w:tc>
          <w:tcPr>
            <w:tcW w:w="720" w:type="dxa"/>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台</w:t>
            </w:r>
          </w:p>
        </w:tc>
        <w:tc>
          <w:tcPr>
            <w:tcW w:w="705" w:type="dxa"/>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3544"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哈希水质分析仪器（上海）有限公司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 xml:space="preserve">出水总磷、总氮分在线分析仪 </w:t>
            </w:r>
          </w:p>
        </w:tc>
        <w:tc>
          <w:tcPr>
            <w:tcW w:w="1485" w:type="dxa"/>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NPW-160</w:t>
            </w:r>
            <w:r>
              <w:rPr>
                <w:rFonts w:hint="eastAsia" w:ascii="宋体" w:hAnsi="宋体" w:eastAsia="宋体" w:cs="宋体"/>
                <w:kern w:val="0"/>
                <w:sz w:val="24"/>
                <w:szCs w:val="24"/>
                <w:lang w:val="en-US" w:eastAsia="zh-CN"/>
              </w:rPr>
              <w:t>H</w:t>
            </w:r>
          </w:p>
        </w:tc>
        <w:tc>
          <w:tcPr>
            <w:tcW w:w="720" w:type="dxa"/>
            <w:vAlign w:val="top"/>
          </w:tcPr>
          <w:p>
            <w:pPr>
              <w:keepNext w:val="0"/>
              <w:keepLines w:val="0"/>
              <w:suppressLineNumbers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lang w:eastAsia="zh-CN"/>
              </w:rPr>
              <w:t>台</w:t>
            </w:r>
          </w:p>
        </w:tc>
        <w:tc>
          <w:tcPr>
            <w:tcW w:w="705" w:type="dxa"/>
            <w:vAlign w:val="top"/>
          </w:tcPr>
          <w:p>
            <w:pPr>
              <w:keepNext w:val="0"/>
              <w:keepLines w:val="0"/>
              <w:suppressLineNumbers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p>
        </w:tc>
        <w:tc>
          <w:tcPr>
            <w:tcW w:w="3544"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哈希水质分析仪器（上海）有限公司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出水</w:t>
            </w:r>
            <w:r>
              <w:rPr>
                <w:rFonts w:hint="eastAsia" w:ascii="宋体" w:hAnsi="宋体" w:eastAsia="宋体" w:cs="宋体"/>
                <w:kern w:val="0"/>
                <w:sz w:val="24"/>
                <w:szCs w:val="24"/>
                <w:lang w:val="en-US" w:eastAsia="zh-CN"/>
              </w:rPr>
              <w:t>p</w:t>
            </w:r>
            <w:r>
              <w:rPr>
                <w:rFonts w:hint="eastAsia" w:ascii="宋体" w:hAnsi="宋体" w:eastAsia="宋体" w:cs="宋体"/>
                <w:kern w:val="0"/>
                <w:sz w:val="24"/>
                <w:szCs w:val="24"/>
              </w:rPr>
              <w:t xml:space="preserve">H检测仪 </w:t>
            </w:r>
          </w:p>
        </w:tc>
        <w:tc>
          <w:tcPr>
            <w:tcW w:w="1485"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default" w:ascii="宋体" w:hAnsi="宋体" w:eastAsia="宋体" w:cs="宋体"/>
                <w:kern w:val="0"/>
                <w:sz w:val="24"/>
                <w:szCs w:val="24"/>
              </w:rPr>
              <w:t>SC200</w:t>
            </w:r>
          </w:p>
        </w:tc>
        <w:tc>
          <w:tcPr>
            <w:tcW w:w="720"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lang w:eastAsia="zh-CN"/>
              </w:rPr>
              <w:t>台</w:t>
            </w:r>
          </w:p>
        </w:tc>
        <w:tc>
          <w:tcPr>
            <w:tcW w:w="705"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lang w:val="en-US" w:eastAsia="zh-CN"/>
              </w:rPr>
              <w:t>1</w:t>
            </w:r>
          </w:p>
        </w:tc>
        <w:tc>
          <w:tcPr>
            <w:tcW w:w="3544"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哈希水质分析仪器（上海）有限公司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出水氨氮在线分析仪</w:t>
            </w:r>
          </w:p>
        </w:tc>
        <w:tc>
          <w:tcPr>
            <w:tcW w:w="1485"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default" w:ascii="宋体" w:hAnsi="宋体" w:eastAsia="宋体" w:cs="宋体"/>
                <w:kern w:val="0"/>
                <w:sz w:val="24"/>
                <w:szCs w:val="24"/>
              </w:rPr>
              <w:t>NA8000</w:t>
            </w:r>
          </w:p>
        </w:tc>
        <w:tc>
          <w:tcPr>
            <w:tcW w:w="720"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lang w:eastAsia="zh-CN"/>
              </w:rPr>
              <w:t>台</w:t>
            </w:r>
          </w:p>
        </w:tc>
        <w:tc>
          <w:tcPr>
            <w:tcW w:w="705"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lang w:val="en-US" w:eastAsia="zh-CN"/>
              </w:rPr>
              <w:t>1</w:t>
            </w:r>
          </w:p>
        </w:tc>
        <w:tc>
          <w:tcPr>
            <w:tcW w:w="3544"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哈希水质分析仪器（上海）有限公司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vAlign w:val="center"/>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出水水流量计</w:t>
            </w:r>
          </w:p>
        </w:tc>
        <w:tc>
          <w:tcPr>
            <w:tcW w:w="1485"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WL-1A1</w:t>
            </w:r>
          </w:p>
        </w:tc>
        <w:tc>
          <w:tcPr>
            <w:tcW w:w="720"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705"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354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both"/>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北京九波声迪科技有限公司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vAlign w:val="center"/>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一期进水流量计</w:t>
            </w:r>
          </w:p>
        </w:tc>
        <w:tc>
          <w:tcPr>
            <w:tcW w:w="1485"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WT4300E</w:t>
            </w:r>
          </w:p>
        </w:tc>
        <w:tc>
          <w:tcPr>
            <w:tcW w:w="720"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705"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354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上海威尔泰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vAlign w:val="center"/>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w:t>
            </w:r>
            <w:bookmarkStart w:id="2" w:name="_GoBack"/>
            <w:bookmarkEnd w:id="2"/>
            <w:r>
              <w:rPr>
                <w:rFonts w:hint="eastAsia" w:ascii="宋体" w:hAnsi="宋体" w:eastAsia="宋体" w:cs="宋体"/>
                <w:kern w:val="0"/>
                <w:sz w:val="24"/>
                <w:szCs w:val="24"/>
                <w:lang w:val="en-US" w:eastAsia="zh-CN"/>
              </w:rPr>
              <w:t>期进水流量计</w:t>
            </w:r>
          </w:p>
        </w:tc>
        <w:tc>
          <w:tcPr>
            <w:tcW w:w="1485"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TLD500A1FRACP10</w:t>
            </w:r>
          </w:p>
        </w:tc>
        <w:tc>
          <w:tcPr>
            <w:tcW w:w="720"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705"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354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天健创新（北京）监测仪表股份有限公司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进水COD在线检测仪</w:t>
            </w:r>
          </w:p>
        </w:tc>
        <w:tc>
          <w:tcPr>
            <w:tcW w:w="1485"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default" w:ascii="宋体" w:hAnsi="宋体" w:eastAsia="宋体" w:cs="宋体"/>
                <w:kern w:val="0"/>
                <w:sz w:val="24"/>
                <w:szCs w:val="24"/>
              </w:rPr>
              <w:t>CODMAX</w:t>
            </w:r>
          </w:p>
        </w:tc>
        <w:tc>
          <w:tcPr>
            <w:tcW w:w="720"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台</w:t>
            </w:r>
          </w:p>
        </w:tc>
        <w:tc>
          <w:tcPr>
            <w:tcW w:w="705"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w:t>
            </w:r>
          </w:p>
        </w:tc>
        <w:tc>
          <w:tcPr>
            <w:tcW w:w="3544"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哈希水质分析仪器（上海）有限公司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vAlign w:val="top"/>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进水</w:t>
            </w:r>
            <w:r>
              <w:rPr>
                <w:rFonts w:hint="eastAsia" w:ascii="宋体" w:hAnsi="宋体" w:eastAsia="宋体" w:cs="宋体"/>
                <w:kern w:val="0"/>
                <w:sz w:val="24"/>
                <w:szCs w:val="24"/>
                <w:lang w:val="en-US" w:eastAsia="zh-CN"/>
              </w:rPr>
              <w:t>p</w:t>
            </w:r>
            <w:r>
              <w:rPr>
                <w:rFonts w:hint="eastAsia" w:ascii="宋体" w:hAnsi="宋体" w:eastAsia="宋体" w:cs="宋体"/>
                <w:kern w:val="0"/>
                <w:sz w:val="24"/>
                <w:szCs w:val="24"/>
              </w:rPr>
              <w:t xml:space="preserve">H检测仪 </w:t>
            </w:r>
          </w:p>
        </w:tc>
        <w:tc>
          <w:tcPr>
            <w:tcW w:w="1485"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SC100</w:t>
            </w:r>
          </w:p>
        </w:tc>
        <w:tc>
          <w:tcPr>
            <w:tcW w:w="720" w:type="dxa"/>
            <w:vAlign w:val="top"/>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台</w:t>
            </w:r>
          </w:p>
        </w:tc>
        <w:tc>
          <w:tcPr>
            <w:tcW w:w="705" w:type="dxa"/>
            <w:vAlign w:val="top"/>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w:t>
            </w:r>
          </w:p>
        </w:tc>
        <w:tc>
          <w:tcPr>
            <w:tcW w:w="3544" w:type="dxa"/>
            <w:vAlign w:val="top"/>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哈希水质分析仪器（上海）有限公司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vAlign w:val="top"/>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进水氨氮在线分析仪</w:t>
            </w:r>
          </w:p>
        </w:tc>
        <w:tc>
          <w:tcPr>
            <w:tcW w:w="1485" w:type="dxa"/>
            <w:vAlign w:val="top"/>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NA8000</w:t>
            </w:r>
          </w:p>
        </w:tc>
        <w:tc>
          <w:tcPr>
            <w:tcW w:w="720" w:type="dxa"/>
            <w:vAlign w:val="top"/>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台</w:t>
            </w:r>
          </w:p>
        </w:tc>
        <w:tc>
          <w:tcPr>
            <w:tcW w:w="705" w:type="dxa"/>
            <w:vAlign w:val="top"/>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w:t>
            </w:r>
          </w:p>
        </w:tc>
        <w:tc>
          <w:tcPr>
            <w:tcW w:w="3544" w:type="dxa"/>
            <w:vAlign w:val="top"/>
          </w:tcPr>
          <w:p>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哈希水质分析仪器（上海）有限公司</w:t>
            </w:r>
          </w:p>
        </w:tc>
      </w:tr>
    </w:tbl>
    <w:p>
      <w:pPr>
        <w:pStyle w:val="7"/>
        <w:numPr>
          <w:ilvl w:val="0"/>
          <w:numId w:val="3"/>
        </w:numPr>
        <w:spacing w:line="240" w:lineRule="auto"/>
        <w:ind w:left="0" w:leftChars="0" w:firstLine="0" w:firstLineChars="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手工监测设备</w:t>
      </w:r>
    </w:p>
    <w:tbl>
      <w:tblPr>
        <w:tblStyle w:val="9"/>
        <w:tblW w:w="9101"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9"/>
        <w:gridCol w:w="1399"/>
        <w:gridCol w:w="933"/>
        <w:gridCol w:w="1021"/>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监测设备名称</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型号</w:t>
            </w:r>
          </w:p>
        </w:tc>
        <w:tc>
          <w:tcPr>
            <w:tcW w:w="93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数量</w:t>
            </w:r>
          </w:p>
        </w:tc>
        <w:tc>
          <w:tcPr>
            <w:tcW w:w="102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单位</w:t>
            </w:r>
          </w:p>
        </w:tc>
        <w:tc>
          <w:tcPr>
            <w:tcW w:w="318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生化培养箱</w:t>
            </w:r>
          </w:p>
        </w:tc>
        <w:tc>
          <w:tcPr>
            <w:tcW w:w="139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SHP-250</w:t>
            </w:r>
          </w:p>
        </w:tc>
        <w:tc>
          <w:tcPr>
            <w:tcW w:w="933"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上海鸿都电子科技有限公司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高温灭菌器</w:t>
            </w:r>
          </w:p>
        </w:tc>
        <w:tc>
          <w:tcPr>
            <w:tcW w:w="139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BXM-30R</w:t>
            </w:r>
          </w:p>
        </w:tc>
        <w:tc>
          <w:tcPr>
            <w:tcW w:w="933"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上海博讯医疗生物仪器股份有限公司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COD消解装置</w:t>
            </w:r>
          </w:p>
        </w:tc>
        <w:tc>
          <w:tcPr>
            <w:tcW w:w="139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6B-6C</w:t>
            </w:r>
          </w:p>
        </w:tc>
        <w:tc>
          <w:tcPr>
            <w:tcW w:w="933"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江苏盛奥华环保科技有限公司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显微镜（带电子镜头）</w:t>
            </w:r>
          </w:p>
        </w:tc>
        <w:tc>
          <w:tcPr>
            <w:tcW w:w="139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XSP-2CA</w:t>
            </w:r>
          </w:p>
        </w:tc>
        <w:tc>
          <w:tcPr>
            <w:tcW w:w="933"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上海梓梦科技有限公司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紫外可见光光度计</w:t>
            </w:r>
          </w:p>
        </w:tc>
        <w:tc>
          <w:tcPr>
            <w:tcW w:w="139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756</w:t>
            </w:r>
          </w:p>
        </w:tc>
        <w:tc>
          <w:tcPr>
            <w:tcW w:w="933"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上海悦析仪器科技有限公司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万分之一分析天平</w:t>
            </w:r>
          </w:p>
        </w:tc>
        <w:tc>
          <w:tcPr>
            <w:tcW w:w="139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FA2104</w:t>
            </w:r>
          </w:p>
        </w:tc>
        <w:tc>
          <w:tcPr>
            <w:tcW w:w="933"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上海良平仪器仪表有限公司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电热恒温干燥箱</w:t>
            </w:r>
          </w:p>
        </w:tc>
        <w:tc>
          <w:tcPr>
            <w:tcW w:w="139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DHG-9202-1</w:t>
            </w:r>
          </w:p>
        </w:tc>
        <w:tc>
          <w:tcPr>
            <w:tcW w:w="933"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上海鸿都电子科技有限公司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pH计</w:t>
            </w:r>
          </w:p>
        </w:tc>
        <w:tc>
          <w:tcPr>
            <w:tcW w:w="139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PH5-25C</w:t>
            </w:r>
          </w:p>
        </w:tc>
        <w:tc>
          <w:tcPr>
            <w:tcW w:w="933"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上海鹏顺科学仪器有限公司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箱式电阻炉</w:t>
            </w:r>
          </w:p>
        </w:tc>
        <w:tc>
          <w:tcPr>
            <w:tcW w:w="139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SX-4-10</w:t>
            </w:r>
          </w:p>
        </w:tc>
        <w:tc>
          <w:tcPr>
            <w:tcW w:w="933"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龙口市文太电炉制造公司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磁力搅拌器</w:t>
            </w:r>
          </w:p>
        </w:tc>
        <w:tc>
          <w:tcPr>
            <w:tcW w:w="139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CJ-4</w:t>
            </w:r>
          </w:p>
        </w:tc>
        <w:tc>
          <w:tcPr>
            <w:tcW w:w="933"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金坛市大地市自动化仪器厂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超纯水机</w:t>
            </w:r>
          </w:p>
        </w:tc>
        <w:tc>
          <w:tcPr>
            <w:tcW w:w="139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PY-20TJ</w:t>
            </w:r>
          </w:p>
        </w:tc>
        <w:tc>
          <w:tcPr>
            <w:tcW w:w="933"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南京培胤仪器有限公司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水温计</w:t>
            </w:r>
          </w:p>
        </w:tc>
        <w:tc>
          <w:tcPr>
            <w:tcW w:w="139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0-100℃</w:t>
            </w:r>
          </w:p>
        </w:tc>
        <w:tc>
          <w:tcPr>
            <w:tcW w:w="933"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支</w:t>
            </w:r>
          </w:p>
        </w:tc>
        <w:tc>
          <w:tcPr>
            <w:tcW w:w="318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衡水耀华</w:t>
            </w:r>
          </w:p>
        </w:tc>
      </w:tr>
    </w:tbl>
    <w:p>
      <w:pPr>
        <w:pStyle w:val="17"/>
        <w:spacing w:line="240" w:lineRule="auto"/>
        <w:ind w:firstLine="0" w:firstLineChars="0"/>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lang w:val="en-US"/>
        </w:rPr>
        <w:t>、</w:t>
      </w:r>
      <w:r>
        <w:rPr>
          <w:rFonts w:hint="eastAsia" w:ascii="宋体" w:hAnsi="宋体"/>
          <w:b/>
          <w:bCs/>
          <w:sz w:val="28"/>
          <w:szCs w:val="28"/>
        </w:rPr>
        <w:t>企业治理设施</w:t>
      </w:r>
    </w:p>
    <w:p>
      <w:pPr>
        <w:rPr>
          <w:rFonts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zh-CN"/>
        </w:rPr>
        <w:t>废气治理设施</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1708"/>
        <w:gridCol w:w="1708"/>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设施名称</w:t>
            </w:r>
          </w:p>
        </w:tc>
        <w:tc>
          <w:tcPr>
            <w:tcW w:w="1708" w:type="dxa"/>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所在排放设备</w:t>
            </w:r>
          </w:p>
        </w:tc>
        <w:tc>
          <w:tcPr>
            <w:tcW w:w="1708" w:type="dxa"/>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设施类别</w:t>
            </w:r>
          </w:p>
        </w:tc>
        <w:tc>
          <w:tcPr>
            <w:tcW w:w="1653" w:type="dxa"/>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恶臭气体处理DA001</w:t>
            </w:r>
          </w:p>
        </w:tc>
        <w:tc>
          <w:tcPr>
            <w:tcW w:w="1708" w:type="dxa"/>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粗格栅、提升泵房细格栅</w:t>
            </w:r>
          </w:p>
        </w:tc>
        <w:tc>
          <w:tcPr>
            <w:tcW w:w="1708" w:type="dxa"/>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废气治理</w:t>
            </w:r>
          </w:p>
        </w:tc>
        <w:tc>
          <w:tcPr>
            <w:tcW w:w="1653" w:type="dxa"/>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生物土壤除臭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恶臭气体处理DA002</w:t>
            </w:r>
          </w:p>
        </w:tc>
        <w:tc>
          <w:tcPr>
            <w:tcW w:w="1708" w:type="dxa"/>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脱水机房、储泥池</w:t>
            </w:r>
          </w:p>
        </w:tc>
        <w:tc>
          <w:tcPr>
            <w:tcW w:w="1708" w:type="dxa"/>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废气治理</w:t>
            </w:r>
          </w:p>
        </w:tc>
        <w:tc>
          <w:tcPr>
            <w:tcW w:w="1653" w:type="dxa"/>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生物土壤除臭</w:t>
            </w:r>
          </w:p>
        </w:tc>
      </w:tr>
    </w:tbl>
    <w:p>
      <w:pPr>
        <w:pStyle w:val="7"/>
        <w:spacing w:line="240" w:lineRule="auto"/>
        <w:jc w:val="both"/>
        <w:rPr>
          <w:rFonts w:ascii="宋体" w:hAnsi="宋体" w:eastAsia="宋体" w:cs="宋体"/>
          <w:b w:val="0"/>
          <w:bCs w:val="0"/>
          <w:sz w:val="28"/>
          <w:szCs w:val="28"/>
        </w:rPr>
      </w:pPr>
      <w:r>
        <w:rPr>
          <w:rFonts w:hint="eastAsia" w:ascii="宋体" w:hAnsi="宋体" w:eastAsia="宋体" w:cs="宋体"/>
          <w:b w:val="0"/>
          <w:bCs w:val="0"/>
          <w:sz w:val="28"/>
          <w:szCs w:val="28"/>
        </w:rPr>
        <w:t>2.废水治理设施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2020"/>
        <w:gridCol w:w="1493"/>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设施名称</w:t>
            </w:r>
          </w:p>
        </w:tc>
        <w:tc>
          <w:tcPr>
            <w:tcW w:w="202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处理方法</w:t>
            </w:r>
          </w:p>
        </w:tc>
        <w:tc>
          <w:tcPr>
            <w:tcW w:w="149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处理能力</w:t>
            </w:r>
          </w:p>
        </w:tc>
        <w:tc>
          <w:tcPr>
            <w:tcW w:w="324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kern w:val="0"/>
                <w:sz w:val="24"/>
                <w:szCs w:val="24"/>
              </w:rPr>
            </w:pPr>
            <w:r>
              <w:rPr>
                <w:rFonts w:hint="eastAsia" w:ascii="宋体" w:hAnsi="宋体" w:eastAsia="宋体" w:cs="宋体"/>
                <w:b w:val="0"/>
                <w:bCs w:val="0"/>
                <w:color w:val="auto"/>
                <w:sz w:val="24"/>
                <w:szCs w:val="24"/>
                <w:lang w:val="en-US" w:eastAsia="zh-CN"/>
              </w:rPr>
              <w:t>粗格栅、细格栅、沉砂池、氧化沟、配水井、二沉池、高效沉淀池、连续砂滤池</w:t>
            </w:r>
          </w:p>
        </w:tc>
        <w:tc>
          <w:tcPr>
            <w:tcW w:w="2020"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kern w:val="0"/>
                <w:sz w:val="24"/>
                <w:szCs w:val="24"/>
              </w:rPr>
            </w:pPr>
            <w:r>
              <w:rPr>
                <w:rFonts w:hint="eastAsia" w:ascii="宋体" w:hAnsi="宋体" w:eastAsia="宋体" w:cs="宋体"/>
                <w:b w:val="0"/>
                <w:bCs w:val="0"/>
                <w:color w:val="auto"/>
                <w:sz w:val="24"/>
                <w:szCs w:val="24"/>
                <w:lang w:val="en-US" w:eastAsia="zh-CN"/>
              </w:rPr>
              <w:t>物理处理法+生物处理法+化学处理法</w:t>
            </w:r>
          </w:p>
        </w:tc>
        <w:tc>
          <w:tcPr>
            <w:tcW w:w="149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kern w:val="0"/>
                <w:sz w:val="24"/>
                <w:szCs w:val="24"/>
              </w:rPr>
            </w:pPr>
            <w:r>
              <w:rPr>
                <w:rFonts w:hint="eastAsia" w:ascii="宋体" w:hAnsi="宋体" w:eastAsia="宋体" w:cs="宋体"/>
                <w:b w:val="0"/>
                <w:bCs w:val="0"/>
                <w:color w:val="auto"/>
                <w:sz w:val="24"/>
                <w:szCs w:val="24"/>
                <w:lang w:val="en-US" w:eastAsia="zh-CN"/>
              </w:rPr>
              <w:t>2万吨/日</w:t>
            </w:r>
          </w:p>
        </w:tc>
        <w:tc>
          <w:tcPr>
            <w:tcW w:w="3247"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氧化沟+二沉池+高效沉淀池+连续砂滤池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p>
        </w:tc>
        <w:tc>
          <w:tcPr>
            <w:tcW w:w="2020"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p>
        </w:tc>
        <w:tc>
          <w:tcPr>
            <w:tcW w:w="1493"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p>
        </w:tc>
        <w:tc>
          <w:tcPr>
            <w:tcW w:w="3247" w:type="dxa"/>
          </w:tcPr>
          <w:p>
            <w:pPr>
              <w:keepNext w:val="0"/>
              <w:keepLines w:val="0"/>
              <w:suppressLineNumbers w:val="0"/>
              <w:spacing w:before="0" w:beforeAutospacing="0" w:after="0" w:afterAutospacing="0"/>
              <w:ind w:left="0" w:right="0"/>
              <w:rPr>
                <w:rFonts w:hint="default" w:ascii="宋体" w:hAnsi="宋体" w:eastAsia="宋体" w:cs="宋体"/>
                <w:kern w:val="0"/>
                <w:sz w:val="24"/>
                <w:szCs w:val="24"/>
              </w:rPr>
            </w:pPr>
          </w:p>
        </w:tc>
      </w:tr>
    </w:tbl>
    <w:p>
      <w:pPr>
        <w:rPr>
          <w:rFonts w:ascii="宋体" w:hAnsi="宋体" w:eastAsia="宋体" w:cs="宋体"/>
          <w:kern w:val="0"/>
          <w:sz w:val="24"/>
          <w:szCs w:val="24"/>
        </w:rPr>
      </w:pPr>
    </w:p>
    <w:p>
      <w:pPr>
        <w:pStyle w:val="17"/>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val="0"/>
          <w:bCs w:val="0"/>
          <w:sz w:val="28"/>
          <w:szCs w:val="28"/>
          <w:lang w:eastAsia="zh-CN"/>
        </w:rPr>
      </w:pP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六、样品采集和保存</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1、样品的采样按照《污水监测技术规范》HJ91.1-2019执行。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1.1采样时应保证采样点的位置准确。</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1.2认真填写采样记录表，字迹应端正清晰，保证采样按时、准确、安全。</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1.3测定油类的水样，应在水面至水面下300 毫米采集柱状水样，并单独采样，全部用于测定。采样瓶不能用采集的水样冲洗。</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1.4测溶解氧、五日生化需氧量和有机污染物等项目时的水样，必须注满容器，不留空间，并用蒸馏水封口。</w:t>
      </w:r>
    </w:p>
    <w:p>
      <w:pPr>
        <w:pStyle w:val="17"/>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highlight w:val="none"/>
          <w:lang w:val="en-US"/>
        </w:rPr>
        <w:t>1.5测定</w:t>
      </w:r>
      <w:r>
        <w:rPr>
          <w:rFonts w:hint="eastAsia" w:ascii="宋体" w:hAnsi="宋体"/>
          <w:sz w:val="28"/>
          <w:szCs w:val="28"/>
          <w:highlight w:val="none"/>
          <w:lang w:val="en-US" w:eastAsia="zh-CN"/>
        </w:rPr>
        <w:t>水温、pH值、色度、</w:t>
      </w:r>
      <w:r>
        <w:rPr>
          <w:rFonts w:hint="eastAsia" w:ascii="宋体" w:hAnsi="宋体"/>
          <w:sz w:val="28"/>
          <w:szCs w:val="28"/>
          <w:highlight w:val="none"/>
          <w:lang w:val="en-US"/>
        </w:rPr>
        <w:t>油类、五日生化需氧量、溶解氧、硫化物、余氯、粪大肠菌群、悬浮物、放射性等项目要单独采样。</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1.6在采样期间必须避免样品受到污染。应该考虑到所有可能的污染来源，必须采取适当的控制措施以避免污染。</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2、样品的保存按照HJ91.1-2019执行。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2.2最大限度地防止容器及瓶塞对样品的污染。</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2.3容器壁应易于清洗、处理，以减少如重金属或放射性核类的微量元素对容器的表面污染。</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2.4容器或容器塞的化学和生物性质应该是惰性的，以防止容器与样品组分发生反应。如测氟时，水样不能贮于玻璃瓶中，因为玻璃与氟化物发生反应。</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2.5防止容器吸收或吸附待测组分，引起待测组分浓度的变化。微量金属易于受这些因素的影响，其他如清洁剂、杀虫剂、磷酸盐同样也受到影响。</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3、地表水与废气的采集及保存方法</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3.1、地表水的采集按照《地表水</w:t>
      </w:r>
      <w:r>
        <w:rPr>
          <w:rFonts w:hint="eastAsia" w:ascii="宋体" w:hAnsi="宋体"/>
          <w:sz w:val="28"/>
          <w:szCs w:val="28"/>
          <w:highlight w:val="none"/>
          <w:lang w:val="en-US" w:eastAsia="zh-CN"/>
        </w:rPr>
        <w:t>环境质量监测技术规范</w:t>
      </w:r>
      <w:r>
        <w:rPr>
          <w:rFonts w:hint="eastAsia" w:ascii="宋体" w:hAnsi="宋体"/>
          <w:sz w:val="28"/>
          <w:szCs w:val="28"/>
          <w:highlight w:val="none"/>
          <w:lang w:val="en-US"/>
        </w:rPr>
        <w:t>》HJ 91</w:t>
      </w:r>
      <w:r>
        <w:rPr>
          <w:rFonts w:hint="eastAsia" w:ascii="宋体" w:hAnsi="宋体"/>
          <w:sz w:val="28"/>
          <w:szCs w:val="28"/>
          <w:highlight w:val="none"/>
          <w:lang w:val="en-US" w:eastAsia="zh-CN"/>
        </w:rPr>
        <w:t>.2</w:t>
      </w:r>
      <w:r>
        <w:rPr>
          <w:rFonts w:hint="eastAsia" w:ascii="宋体" w:hAnsi="宋体"/>
          <w:sz w:val="28"/>
          <w:szCs w:val="28"/>
          <w:highlight w:val="none"/>
          <w:lang w:val="en-US"/>
        </w:rPr>
        <w:t>-20</w:t>
      </w:r>
      <w:r>
        <w:rPr>
          <w:rFonts w:hint="eastAsia" w:ascii="宋体" w:hAnsi="宋体"/>
          <w:sz w:val="28"/>
          <w:szCs w:val="28"/>
          <w:highlight w:val="none"/>
          <w:lang w:val="en-US" w:eastAsia="zh-CN"/>
        </w:rPr>
        <w:t>2</w:t>
      </w:r>
      <w:r>
        <w:rPr>
          <w:rFonts w:hint="eastAsia" w:ascii="宋体" w:hAnsi="宋体"/>
          <w:sz w:val="28"/>
          <w:szCs w:val="28"/>
          <w:highlight w:val="none"/>
          <w:lang w:val="en-US"/>
        </w:rPr>
        <w:t>2</w:t>
      </w:r>
      <w:r>
        <w:rPr>
          <w:rFonts w:hint="eastAsia" w:ascii="宋体" w:hAnsi="宋体"/>
          <w:sz w:val="28"/>
          <w:szCs w:val="28"/>
          <w:highlight w:val="none"/>
        </w:rPr>
        <w:t xml:space="preserve"> 执行，采样方法按照以下要求执行。</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3.1.1、</w:t>
      </w:r>
      <w:r>
        <w:rPr>
          <w:rFonts w:hint="eastAsia" w:ascii="宋体" w:hAnsi="宋体"/>
          <w:sz w:val="28"/>
          <w:szCs w:val="28"/>
          <w:highlight w:val="none"/>
        </w:rPr>
        <w:t>在同一监测断面分层采样时，应自上而下进行，避免不同层次水体混扰；</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3.1.2、</w:t>
      </w:r>
      <w:r>
        <w:rPr>
          <w:rFonts w:hint="eastAsia" w:ascii="宋体" w:hAnsi="宋体"/>
          <w:sz w:val="28"/>
          <w:szCs w:val="28"/>
          <w:highlight w:val="none"/>
        </w:rPr>
        <w:t>除标准分析方法有特殊要求的监测项目外，采样器、静置容器和样品瓶在使用前应先用水样分别荡洗2～3次；</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3.1.3、</w:t>
      </w:r>
      <w:r>
        <w:rPr>
          <w:rFonts w:hint="eastAsia" w:ascii="宋体" w:hAnsi="宋体"/>
          <w:sz w:val="28"/>
          <w:szCs w:val="28"/>
          <w:highlight w:val="none"/>
        </w:rPr>
        <w:t>采样时不可搅动水底的沉积物。除标准分析方法有特殊要求的监测项目外，采集的水样倒入静置容器中，保证足够用量，自然静置30 min。自然静置时，使用防尘盖遮挡，避免灰尘污染；</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3.1.4、</w:t>
      </w:r>
      <w:r>
        <w:rPr>
          <w:rFonts w:hint="eastAsia" w:ascii="宋体" w:hAnsi="宋体"/>
          <w:sz w:val="28"/>
          <w:szCs w:val="28"/>
          <w:highlight w:val="none"/>
        </w:rPr>
        <w:t>使用虹吸装置取上层不含沉降性固体的水样，移入样品瓶，虹吸装置进水尖嘴应保持插至水样表层50 mm以下位置。</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3.2、废气采集方法。</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3.2.1、有组织排放废气采样</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3.2.1.1、采样位置</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3.2.1.1.1、采样位置应避开对测试人员操作有危险的场所。</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3.2.1.1.3、测试现场空间位置有限，很难满足上述要求时，可选比较适宜的管段采样，但采样断面与弯头等的距离至少是气道直径的1.5倍。</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3.2.1.1.4、对气态污染物，由于混合比较均匀，其采样位置可不受上述规定限制，但应避开涡流区。如果同时测定排气流量，采样位置仍按3.2.1.1.2选取位置。</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3.2.1.1.5、必要时应设置采样平台，采样平台应有足够的工作面积使工作人员安全、方便地操作。平台面积应不小于1.5m</w:t>
      </w:r>
      <w:r>
        <w:rPr>
          <w:rFonts w:hint="eastAsia" w:ascii="宋体" w:hAnsi="宋体"/>
          <w:sz w:val="28"/>
          <w:szCs w:val="28"/>
          <w:highlight w:val="none"/>
          <w:vertAlign w:val="superscript"/>
          <w:lang w:val="en-US"/>
        </w:rPr>
        <w:t>2</w:t>
      </w:r>
      <w:r>
        <w:rPr>
          <w:rFonts w:hint="eastAsia" w:ascii="宋体" w:hAnsi="宋体"/>
          <w:sz w:val="28"/>
          <w:szCs w:val="28"/>
          <w:highlight w:val="none"/>
          <w:lang w:val="en-US"/>
        </w:rPr>
        <w:t>，并设有高1.1 m的护栏和不低于10cm的脚部挡板，采样平台的承重应不小于200kg/m</w:t>
      </w:r>
      <w:r>
        <w:rPr>
          <w:rFonts w:hint="eastAsia" w:ascii="宋体" w:hAnsi="宋体"/>
          <w:sz w:val="28"/>
          <w:szCs w:val="28"/>
          <w:highlight w:val="none"/>
          <w:vertAlign w:val="superscript"/>
          <w:lang w:val="en-US"/>
        </w:rPr>
        <w:t>2</w:t>
      </w:r>
      <w:r>
        <w:rPr>
          <w:rFonts w:hint="eastAsia" w:ascii="宋体" w:hAnsi="宋体"/>
          <w:sz w:val="28"/>
          <w:szCs w:val="28"/>
          <w:highlight w:val="none"/>
          <w:lang w:val="en-US"/>
        </w:rPr>
        <w:t>，采样孔距平台面约为1.2m-1.3m。</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3.2.1.2、采样孔</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3.2.1.2.1、在选定的测定位置上开设采样孔，采样孔的内径应不小于80毫米，采样孔管长应不大于50毫米，不使用时应用盖板、堵管或管帽封闭。当采样孔仅用于采集气态污染物时，其内径应不小于40毫米。</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3.2.1.2.2、对正压下输送高温或有毒气体的气道，应采用带有闸板阀的密封采样孔。</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3.2.1.3、采样要求</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.1、采样前检查气密性时要接干燥瓶，吸收瓶不能接以防倒吸。</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.2、采样结束后，取下样品，将气体吸收装置进、出口密封，按相应项目的标准监测分析方法要求运送和保存待测样品。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.3、用超细玻璃纤维滤膜采样时，应对光线检查滤膜是否有损坏，如有损坏，停止使用。</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.4、采集气体样品时，注意吸收瓶溶液的颜色，如果未采样已变色，则该样品作废。</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.6、向采样器中放置和取出滤膜时，应佩戴聚乙烯手套等实验室专用手套（和实验室人员称量滤膜所带的手套相同），使用无锯齿状镊子。</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.7、采样进气口必须暴露在空气中（箱体盖子可以不盖，几乎不影响吸收液温度）。</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.8、夏天仪器应尽量避免放置在太阳下暴晒，以防止吸收液蒸发，可将仪器放置于树荫处或适当遮盖。</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.9、采样器显示的气温和气压未经过校准，不能直接读取，现场气温、气压应由校准过的设备读取。</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.10、现场记录实况，标况需根据实况计算，实况和标况都要在原始记录中体现。</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.11、采样记录单上采样人员签字应为2人，其中1人为监督人员。</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3.2.2、</w:t>
      </w:r>
      <w:r>
        <w:rPr>
          <w:rFonts w:hint="eastAsia" w:ascii="宋体" w:hAnsi="宋体"/>
          <w:sz w:val="28"/>
          <w:szCs w:val="28"/>
          <w:highlight w:val="none"/>
        </w:rPr>
        <w:t>无组织废气采样按《</w:t>
      </w:r>
      <w:r>
        <w:rPr>
          <w:rFonts w:hint="eastAsia" w:ascii="宋体" w:hAnsi="宋体"/>
          <w:sz w:val="28"/>
          <w:szCs w:val="28"/>
          <w:highlight w:val="none"/>
          <w:lang w:val="en-US"/>
        </w:rPr>
        <w:t>大气污染物无组织排放监测技术导则</w:t>
      </w:r>
      <w:r>
        <w:rPr>
          <w:rFonts w:hint="eastAsia" w:ascii="宋体" w:hAnsi="宋体"/>
          <w:sz w:val="28"/>
          <w:szCs w:val="28"/>
          <w:highlight w:val="none"/>
        </w:rPr>
        <w:t>》HJ/T 55—2000执行。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3.3、</w:t>
      </w:r>
      <w:r>
        <w:rPr>
          <w:rFonts w:hint="eastAsia" w:ascii="宋体" w:hAnsi="宋体"/>
          <w:sz w:val="28"/>
          <w:szCs w:val="28"/>
          <w:highlight w:val="none"/>
          <w:lang w:val="en-US"/>
        </w:rPr>
        <w:t>地表水与废气的保存方法</w:t>
      </w: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检测项目</w:t>
            </w:r>
          </w:p>
        </w:tc>
        <w:tc>
          <w:tcPr>
            <w:tcW w:w="3913" w:type="dxa"/>
            <w:tcBorders>
              <w:top w:val="single" w:color="000000" w:sz="8" w:space="0"/>
              <w:left w:val="single" w:color="000000" w:sz="8" w:space="0"/>
              <w:bottom w:val="nil"/>
              <w:right w:val="single" w:color="000000" w:sz="8"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保存方式</w:t>
            </w:r>
          </w:p>
        </w:tc>
      </w:tr>
      <w:tr>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p</w:t>
            </w:r>
            <w:r>
              <w:rPr>
                <w:rFonts w:hint="eastAsia" w:ascii="宋体" w:hAnsi="宋体" w:eastAsia="宋体" w:cs="宋体"/>
                <w:color w:val="000000"/>
                <w:kern w:val="0"/>
                <w:sz w:val="24"/>
                <w:szCs w:val="24"/>
                <w:highlight w:val="none"/>
              </w:rPr>
              <w:t>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采集后立即密封保存，尽量现场测定</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冷藏，避光</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Calibri" w:hAnsi="Calibri" w:eastAsia="宋体" w:cs="Calibri"/>
                <w:color w:val="000000"/>
                <w:sz w:val="24"/>
                <w:szCs w:val="24"/>
                <w:highlight w:val="none"/>
              </w:rPr>
            </w:pPr>
            <w:r>
              <w:rPr>
                <w:rFonts w:hint="default" w:ascii="Calibri" w:hAnsi="Calibri" w:eastAsia="宋体" w:cs="Calibri"/>
                <w:color w:val="000000"/>
                <w:kern w:val="0"/>
                <w:sz w:val="24"/>
                <w:szCs w:val="24"/>
                <w:highlight w:val="none"/>
              </w:rPr>
              <w:t>1</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5</w:t>
            </w:r>
            <w:r>
              <w:rPr>
                <w:rFonts w:hint="eastAsia" w:ascii="宋体" w:hAnsi="宋体" w:eastAsia="宋体" w:cs="宋体"/>
                <w:color w:val="000000"/>
                <w:kern w:val="0"/>
                <w:sz w:val="24"/>
                <w:szCs w:val="24"/>
                <w:highlight w:val="none"/>
              </w:rPr>
              <w:t>℃暗处冷藏</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用硫酸酸化，盐酸酸化至</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w:t>
            </w:r>
            <w:r>
              <w:rPr>
                <w:rFonts w:hint="default" w:ascii="Calibri" w:hAnsi="Calibri" w:eastAsia="宋体" w:cs="Calibri"/>
                <w:color w:val="000000"/>
                <w:kern w:val="0"/>
                <w:sz w:val="24"/>
                <w:szCs w:val="24"/>
                <w:highlight w:val="none"/>
              </w:rPr>
              <w:t>pH 1</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用 盐酸 酸化至 </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避光，尽量现场测定</w:t>
            </w:r>
          </w:p>
        </w:tc>
      </w:tr>
      <w:tr>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废气</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氨</w:t>
            </w:r>
          </w:p>
        </w:tc>
        <w:tc>
          <w:tcPr>
            <w:tcW w:w="3913" w:type="dxa"/>
            <w:tcBorders>
              <w:top w:val="nil"/>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硫化氢</w:t>
            </w:r>
          </w:p>
        </w:tc>
        <w:tc>
          <w:tcPr>
            <w:tcW w:w="3913" w:type="dxa"/>
            <w:tcBorders>
              <w:top w:val="nil"/>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臭气浓度</w:t>
            </w:r>
          </w:p>
        </w:tc>
        <w:tc>
          <w:tcPr>
            <w:tcW w:w="3913" w:type="dxa"/>
            <w:tcBorders>
              <w:top w:val="nil"/>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避光，室温</w:t>
            </w:r>
          </w:p>
        </w:tc>
      </w:tr>
    </w:tbl>
    <w:p>
      <w:pPr>
        <w:pStyle w:val="17"/>
        <w:spacing w:line="240" w:lineRule="auto"/>
        <w:ind w:firstLine="0" w:firstLineChars="0"/>
        <w:jc w:val="left"/>
        <w:outlineLvl w:val="1"/>
        <w:rPr>
          <w:rFonts w:ascii="宋体" w:hAnsi="宋体"/>
          <w:sz w:val="28"/>
          <w:szCs w:val="28"/>
          <w:highlight w:val="none"/>
          <w:lang w:val="en-US"/>
        </w:rPr>
      </w:pPr>
      <w:r>
        <w:rPr>
          <w:rFonts w:hint="eastAsia" w:ascii="宋体" w:hAnsi="宋体"/>
          <w:sz w:val="28"/>
          <w:szCs w:val="28"/>
          <w:highlight w:val="none"/>
          <w:lang w:val="en-US"/>
        </w:rPr>
        <w:t>七、监测质量保证与质量控制措施</w:t>
      </w:r>
    </w:p>
    <w:p>
      <w:pPr>
        <w:pStyle w:val="17"/>
        <w:spacing w:line="240" w:lineRule="auto"/>
        <w:ind w:firstLine="0" w:firstLineChars="0"/>
        <w:jc w:val="left"/>
        <w:outlineLvl w:val="1"/>
        <w:rPr>
          <w:rFonts w:ascii="宋体" w:hAnsi="宋体"/>
          <w:sz w:val="28"/>
          <w:szCs w:val="28"/>
          <w:highlight w:val="none"/>
        </w:rPr>
      </w:pPr>
      <w:r>
        <w:rPr>
          <w:rFonts w:hint="eastAsia" w:ascii="宋体" w:hAnsi="宋体"/>
          <w:sz w:val="28"/>
          <w:szCs w:val="28"/>
          <w:highlight w:val="none"/>
        </w:rPr>
        <w:t>（一）污水厂化验室质量保证与控制措施</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1、质量保证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1.1、建立质量体系</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从事污水监测的监测人员、监测仪器与设备设施等按</w:t>
      </w:r>
      <w:r>
        <w:rPr>
          <w:rFonts w:hint="eastAsia" w:ascii="宋体" w:hAnsi="宋体"/>
          <w:sz w:val="28"/>
          <w:szCs w:val="28"/>
          <w:highlight w:val="none"/>
          <w:lang w:val="en-US"/>
        </w:rPr>
        <w:t xml:space="preserve">《检验检测机构资质认定能力评价 检验监测机构通用要求》RB/T 214-2017、《HJ </w:t>
      </w:r>
      <w:r>
        <w:rPr>
          <w:rFonts w:hint="eastAsia" w:ascii="宋体" w:hAnsi="宋体"/>
          <w:sz w:val="28"/>
          <w:szCs w:val="28"/>
          <w:highlight w:val="none"/>
        </w:rPr>
        <w:t>630、HJ/T 373</w:t>
      </w:r>
      <w:r>
        <w:rPr>
          <w:rFonts w:hint="eastAsia" w:ascii="宋体" w:hAnsi="宋体"/>
          <w:sz w:val="28"/>
          <w:szCs w:val="28"/>
          <w:highlight w:val="none"/>
          <w:lang w:val="en-US"/>
        </w:rPr>
        <w:t>》</w:t>
      </w:r>
      <w:r>
        <w:rPr>
          <w:rFonts w:hint="eastAsia" w:ascii="宋体" w:hAnsi="宋体"/>
          <w:sz w:val="28"/>
          <w:szCs w:val="28"/>
          <w:highlight w:val="none"/>
        </w:rPr>
        <w:t xml:space="preserve"> 等相关内容执行。</w:t>
      </w:r>
    </w:p>
    <w:p>
      <w:pPr>
        <w:pStyle w:val="17"/>
        <w:spacing w:line="240" w:lineRule="auto"/>
        <w:ind w:left="-420" w:leftChars="-200" w:firstLine="560"/>
        <w:outlineLvl w:val="1"/>
        <w:rPr>
          <w:rFonts w:hint="eastAsia" w:ascii="宋体" w:hAnsi="宋体" w:eastAsia="宋体"/>
          <w:sz w:val="28"/>
          <w:szCs w:val="28"/>
          <w:highlight w:val="none"/>
          <w:u w:val="single"/>
          <w:lang w:eastAsia="zh-CN"/>
        </w:rPr>
      </w:pPr>
      <w:r>
        <w:rPr>
          <w:rFonts w:hint="eastAsia" w:ascii="宋体" w:hAnsi="宋体"/>
          <w:sz w:val="28"/>
          <w:szCs w:val="28"/>
          <w:highlight w:val="none"/>
          <w:u w:val="single"/>
        </w:rPr>
        <w:t xml:space="preserve">污水厂检测人员: </w:t>
      </w:r>
      <w:r>
        <w:rPr>
          <w:rFonts w:hint="eastAsia" w:ascii="宋体" w:hAnsi="宋体"/>
          <w:sz w:val="28"/>
          <w:szCs w:val="28"/>
          <w:highlight w:val="none"/>
          <w:u w:val="single"/>
          <w:lang w:eastAsia="zh-CN"/>
        </w:rPr>
        <w:t>唐秀明、唐素芳、罗雅婷。</w:t>
      </w:r>
    </w:p>
    <w:p>
      <w:pPr>
        <w:pStyle w:val="17"/>
        <w:spacing w:line="240" w:lineRule="auto"/>
        <w:ind w:left="-420" w:leftChars="-200" w:firstLine="560"/>
        <w:outlineLvl w:val="1"/>
        <w:rPr>
          <w:rFonts w:hint="default" w:ascii="宋体" w:hAnsi="宋体"/>
          <w:sz w:val="28"/>
          <w:szCs w:val="28"/>
          <w:highlight w:val="none"/>
          <w:u w:val="single"/>
          <w:lang w:val="en-US"/>
        </w:rPr>
      </w:pPr>
      <w:r>
        <w:rPr>
          <w:rFonts w:hint="eastAsia" w:ascii="宋体" w:hAnsi="宋体"/>
          <w:sz w:val="28"/>
          <w:szCs w:val="28"/>
          <w:highlight w:val="none"/>
          <w:u w:val="single"/>
        </w:rPr>
        <w:t>污水厂主要检测仪器与设备:</w:t>
      </w:r>
      <w:r>
        <w:rPr>
          <w:rFonts w:hint="eastAsia" w:ascii="宋体" w:hAnsi="宋体"/>
          <w:sz w:val="28"/>
          <w:szCs w:val="28"/>
          <w:highlight w:val="none"/>
          <w:u w:val="single"/>
          <w:lang w:eastAsia="zh-CN"/>
        </w:rPr>
        <w:t>紫外分光光度计、</w:t>
      </w:r>
      <w:r>
        <w:rPr>
          <w:rFonts w:hint="eastAsia" w:ascii="宋体" w:hAnsi="宋体" w:eastAsia="宋体" w:cs="宋体"/>
          <w:b w:val="0"/>
          <w:bCs w:val="0"/>
          <w:i w:val="0"/>
          <w:color w:val="auto"/>
          <w:kern w:val="0"/>
          <w:sz w:val="28"/>
          <w:szCs w:val="28"/>
          <w:highlight w:val="none"/>
          <w:u w:val="single"/>
          <w:lang w:val="en-US" w:eastAsia="zh-CN" w:bidi="ar"/>
        </w:rPr>
        <w:t>生化培养箱</w:t>
      </w:r>
      <w:r>
        <w:rPr>
          <w:rFonts w:hint="eastAsia" w:ascii="宋体" w:hAnsi="宋体" w:cs="宋体"/>
          <w:b w:val="0"/>
          <w:bCs w:val="0"/>
          <w:i w:val="0"/>
          <w:color w:val="auto"/>
          <w:kern w:val="0"/>
          <w:sz w:val="28"/>
          <w:szCs w:val="28"/>
          <w:highlight w:val="none"/>
          <w:u w:val="single"/>
          <w:lang w:val="en-US" w:eastAsia="zh-CN" w:bidi="ar"/>
        </w:rPr>
        <w:t>、</w:t>
      </w:r>
      <w:r>
        <w:rPr>
          <w:rFonts w:hint="eastAsia" w:ascii="宋体" w:hAnsi="宋体" w:eastAsia="宋体" w:cs="宋体"/>
          <w:b w:val="0"/>
          <w:bCs w:val="0"/>
          <w:i w:val="0"/>
          <w:color w:val="auto"/>
          <w:kern w:val="0"/>
          <w:sz w:val="28"/>
          <w:szCs w:val="28"/>
          <w:highlight w:val="none"/>
          <w:u w:val="single"/>
          <w:lang w:val="en-US" w:eastAsia="zh-CN" w:bidi="ar"/>
        </w:rPr>
        <w:t>高温灭菌器</w:t>
      </w:r>
      <w:r>
        <w:rPr>
          <w:rFonts w:hint="eastAsia" w:ascii="宋体" w:hAnsi="宋体" w:cs="宋体"/>
          <w:b w:val="0"/>
          <w:bCs w:val="0"/>
          <w:i w:val="0"/>
          <w:color w:val="auto"/>
          <w:kern w:val="0"/>
          <w:sz w:val="28"/>
          <w:szCs w:val="28"/>
          <w:highlight w:val="none"/>
          <w:u w:val="single"/>
          <w:lang w:val="en-US" w:eastAsia="zh-CN" w:bidi="ar"/>
        </w:rPr>
        <w:t>、显微镜、COD快速消解仪、万分之一天平、pH计、</w:t>
      </w:r>
      <w:r>
        <w:rPr>
          <w:rFonts w:hint="eastAsia" w:ascii="宋体" w:hAnsi="宋体" w:eastAsia="宋体" w:cs="宋体"/>
          <w:b w:val="0"/>
          <w:bCs w:val="0"/>
          <w:i w:val="0"/>
          <w:color w:val="auto"/>
          <w:kern w:val="0"/>
          <w:sz w:val="28"/>
          <w:szCs w:val="28"/>
          <w:highlight w:val="none"/>
          <w:u w:val="single"/>
          <w:lang w:val="en-US" w:eastAsia="zh-CN" w:bidi="ar"/>
        </w:rPr>
        <w:t>超纯水机</w:t>
      </w:r>
      <w:r>
        <w:rPr>
          <w:rFonts w:hint="eastAsia" w:ascii="宋体" w:hAnsi="宋体" w:cs="宋体"/>
          <w:b w:val="0"/>
          <w:bCs w:val="0"/>
          <w:i w:val="0"/>
          <w:color w:val="auto"/>
          <w:kern w:val="0"/>
          <w:sz w:val="28"/>
          <w:szCs w:val="28"/>
          <w:highlight w:val="none"/>
          <w:u w:val="single"/>
          <w:lang w:val="en-US" w:eastAsia="zh-CN" w:bidi="ar"/>
        </w:rPr>
        <w:t>、</w:t>
      </w:r>
      <w:r>
        <w:rPr>
          <w:rFonts w:hint="eastAsia" w:ascii="宋体" w:hAnsi="宋体" w:eastAsia="宋体" w:cs="宋体"/>
          <w:b w:val="0"/>
          <w:bCs w:val="0"/>
          <w:i w:val="0"/>
          <w:color w:val="auto"/>
          <w:kern w:val="0"/>
          <w:sz w:val="28"/>
          <w:szCs w:val="28"/>
          <w:highlight w:val="none"/>
          <w:u w:val="single"/>
          <w:lang w:val="en-US" w:eastAsia="zh-CN" w:bidi="ar"/>
        </w:rPr>
        <w:t>磁力搅拌器</w:t>
      </w:r>
      <w:r>
        <w:rPr>
          <w:rFonts w:hint="eastAsia" w:ascii="宋体" w:hAnsi="宋体" w:cs="宋体"/>
          <w:b w:val="0"/>
          <w:bCs w:val="0"/>
          <w:i w:val="0"/>
          <w:color w:val="auto"/>
          <w:kern w:val="0"/>
          <w:sz w:val="28"/>
          <w:szCs w:val="28"/>
          <w:highlight w:val="none"/>
          <w:u w:val="single"/>
          <w:lang w:val="en-US" w:eastAsia="zh-CN" w:bidi="ar"/>
        </w:rPr>
        <w:t>、</w:t>
      </w:r>
      <w:r>
        <w:rPr>
          <w:rFonts w:hint="eastAsia" w:ascii="宋体" w:hAnsi="宋体" w:eastAsia="宋体" w:cs="宋体"/>
          <w:b w:val="0"/>
          <w:bCs w:val="0"/>
          <w:i w:val="0"/>
          <w:color w:val="auto"/>
          <w:kern w:val="0"/>
          <w:sz w:val="28"/>
          <w:szCs w:val="28"/>
          <w:highlight w:val="none"/>
          <w:u w:val="single"/>
          <w:lang w:val="en-US" w:eastAsia="zh-CN" w:bidi="ar"/>
        </w:rPr>
        <w:t>箱式电阻炉</w:t>
      </w:r>
      <w:r>
        <w:rPr>
          <w:rFonts w:hint="eastAsia" w:ascii="宋体" w:hAnsi="宋体" w:cs="宋体"/>
          <w:b w:val="0"/>
          <w:bCs w:val="0"/>
          <w:i w:val="0"/>
          <w:color w:val="auto"/>
          <w:kern w:val="0"/>
          <w:sz w:val="28"/>
          <w:szCs w:val="28"/>
          <w:highlight w:val="none"/>
          <w:u w:val="single"/>
          <w:lang w:val="en-US" w:eastAsia="zh-CN" w:bidi="ar"/>
        </w:rPr>
        <w:t>、水温计。</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1.2、监测设施与环境</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 xml:space="preserve"> 公司</w:t>
      </w:r>
      <w:r>
        <w:rPr>
          <w:rFonts w:hint="eastAsia" w:ascii="宋体" w:hAnsi="宋体"/>
          <w:sz w:val="28"/>
          <w:szCs w:val="28"/>
          <w:highlight w:val="none"/>
          <w:lang w:val="en-US"/>
        </w:rPr>
        <w:t>具备</w:t>
      </w:r>
      <w:r>
        <w:rPr>
          <w:rFonts w:hint="eastAsia" w:ascii="宋体" w:hAnsi="宋体"/>
          <w:sz w:val="28"/>
          <w:szCs w:val="28"/>
          <w:highlight w:val="none"/>
        </w:rPr>
        <w:t>固定的适合开展检测工作的实验场所。配备了适合开展工作的设施及满足检测工作的需要的环境条件。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1.3</w:t>
      </w:r>
      <w:r>
        <w:rPr>
          <w:rFonts w:hint="eastAsia" w:ascii="宋体" w:hAnsi="宋体"/>
          <w:sz w:val="28"/>
          <w:szCs w:val="28"/>
          <w:highlight w:val="none"/>
        </w:rPr>
        <w:t>、监测仪器设备和实验试剂</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1.4</w:t>
      </w:r>
      <w:r>
        <w:rPr>
          <w:rFonts w:hint="eastAsia" w:ascii="宋体" w:hAnsi="宋体"/>
          <w:sz w:val="28"/>
          <w:szCs w:val="28"/>
          <w:highlight w:val="none"/>
        </w:rPr>
        <w:t>、监测方法技术能力验证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按照国家标准分析方法要求，污水厂对检测能力范围内所有项目的检出限、精密度、准确度等指标进行了方法验证，验证结果均符合方法标准要求。</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w:t>
      </w:r>
      <w:r>
        <w:rPr>
          <w:rFonts w:hint="eastAsia" w:ascii="宋体" w:hAnsi="宋体"/>
          <w:sz w:val="28"/>
          <w:szCs w:val="28"/>
          <w:highlight w:val="none"/>
        </w:rPr>
        <w:t>质量控制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2.1、检测过程质量控制：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污水厂化验室的质控措施包括全程序空白样、平行样、加标回收或质控样的测定，以及仪器仪表的校准。具体措施如下：</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 xml:space="preserve"> 空白样：化验室对分析的所有污染因子实施全程序空白样，每批样品检测必带空白样检测，以屏蔽其他外在因子对水样分析结果造成影响；</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平行样：对厂部所有分析水样做平行样检测，以减少实验误差对水样结果的影响；</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加标回收或质控样：按检测规范要求，厂部会对检测的污染因子进行加标回收或者质控样品的测定，以验证实验结果的准确性；</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（二）第三方检测质量保证与质量控制措施</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1、质量保证：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1.1、对第三方的检测要求：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1.1.1、本污水厂委托检测的要求（检测项目、采样点位、检测频率、检测因子），第三方检测单位的检测能力应达到或优于本污水厂的要求，且符合国家有关标准和规范要求；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2</w:t>
      </w:r>
      <w:r>
        <w:rPr>
          <w:rFonts w:hint="eastAsia" w:ascii="宋体" w:hAnsi="宋体"/>
          <w:sz w:val="28"/>
          <w:szCs w:val="28"/>
          <w:highlight w:val="none"/>
          <w:lang w:val="en-US"/>
        </w:rPr>
        <w:t>、 拥有独立的专项检测实验室；</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3</w:t>
      </w:r>
      <w:r>
        <w:rPr>
          <w:rFonts w:hint="eastAsia" w:ascii="宋体" w:hAnsi="宋体"/>
          <w:sz w:val="28"/>
          <w:szCs w:val="28"/>
          <w:highlight w:val="none"/>
          <w:lang w:val="en-US"/>
        </w:rPr>
        <w:t>、实验室有相关的内部质量控制管理和外部质量控制管理。</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4</w:t>
      </w:r>
      <w:r>
        <w:rPr>
          <w:rFonts w:hint="eastAsia" w:ascii="宋体" w:hAnsi="宋体"/>
          <w:sz w:val="28"/>
          <w:szCs w:val="28"/>
          <w:highlight w:val="none"/>
          <w:lang w:val="en-US"/>
        </w:rPr>
        <w:t>、 需配备实验所需的检测仪器；使用的仪器设备需定期进行检定合格和校准并符合相关要求。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5</w:t>
      </w:r>
      <w:r>
        <w:rPr>
          <w:rFonts w:hint="eastAsia" w:ascii="宋体" w:hAnsi="宋体"/>
          <w:sz w:val="28"/>
          <w:szCs w:val="28"/>
          <w:highlight w:val="none"/>
          <w:lang w:val="en-US"/>
        </w:rPr>
        <w:t>、按照《水质采样 样品的保存和管理技术规定》HJ493-2009规范要求，保障样品及时进入实验室；</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6</w:t>
      </w:r>
      <w:r>
        <w:rPr>
          <w:rFonts w:hint="eastAsia" w:ascii="宋体" w:hAnsi="宋体"/>
          <w:sz w:val="28"/>
          <w:szCs w:val="28"/>
          <w:highlight w:val="none"/>
          <w:lang w:val="en-US"/>
        </w:rPr>
        <w:t>、</w:t>
      </w:r>
      <w:r>
        <w:rPr>
          <w:rFonts w:hint="eastAsia" w:ascii="宋体" w:hAnsi="宋体"/>
          <w:sz w:val="28"/>
          <w:szCs w:val="28"/>
          <w:highlight w:val="none"/>
          <w:lang w:val="en-US" w:eastAsia="zh-CN"/>
        </w:rPr>
        <w:t>样品</w:t>
      </w:r>
      <w:r>
        <w:rPr>
          <w:rFonts w:hint="eastAsia" w:ascii="宋体" w:hAnsi="宋体"/>
          <w:sz w:val="28"/>
          <w:szCs w:val="28"/>
          <w:highlight w:val="none"/>
          <w:lang w:val="en-US"/>
        </w:rPr>
        <w:t>采样、运输、检测、留样由</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自行负责。</w:t>
      </w:r>
    </w:p>
    <w:p>
      <w:pPr>
        <w:pStyle w:val="17"/>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highlight w:val="none"/>
          <w:lang w:val="en-US"/>
        </w:rPr>
        <w:t>1.1.</w:t>
      </w:r>
      <w:r>
        <w:rPr>
          <w:rFonts w:hint="eastAsia" w:ascii="宋体" w:hAnsi="宋体"/>
          <w:sz w:val="28"/>
          <w:szCs w:val="28"/>
          <w:highlight w:val="none"/>
          <w:lang w:val="en-US" w:eastAsia="zh-CN"/>
        </w:rPr>
        <w:t>7</w:t>
      </w:r>
      <w:r>
        <w:rPr>
          <w:rFonts w:hint="eastAsia" w:ascii="宋体" w:hAnsi="宋体"/>
          <w:sz w:val="28"/>
          <w:szCs w:val="28"/>
          <w:highlight w:val="none"/>
          <w:lang w:val="en-US"/>
        </w:rPr>
        <w:t>、</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采样后，</w:t>
      </w:r>
      <w:r>
        <w:rPr>
          <w:rFonts w:hint="eastAsia" w:ascii="宋体" w:hAnsi="宋体"/>
          <w:sz w:val="28"/>
          <w:szCs w:val="28"/>
          <w:highlight w:val="none"/>
          <w:lang w:val="en-US" w:eastAsia="zh-CN"/>
        </w:rPr>
        <w:t>按</w:t>
      </w:r>
      <w:r>
        <w:rPr>
          <w:rFonts w:hint="eastAsia" w:ascii="宋体" w:hAnsi="宋体"/>
          <w:sz w:val="28"/>
          <w:szCs w:val="28"/>
          <w:highlight w:val="none"/>
          <w:lang w:val="en-US"/>
        </w:rPr>
        <w:t>国家标准要求进行检测、填写原始记录表、出具监测报告并拍照</w:t>
      </w:r>
      <w:r>
        <w:rPr>
          <w:rFonts w:hint="eastAsia" w:ascii="宋体" w:hAnsi="宋体"/>
          <w:sz w:val="28"/>
          <w:szCs w:val="28"/>
          <w:highlight w:val="none"/>
          <w:lang w:val="en-US" w:eastAsia="zh-CN"/>
        </w:rPr>
        <w:t>。</w:t>
      </w:r>
    </w:p>
    <w:p>
      <w:pPr>
        <w:pStyle w:val="4"/>
        <w:rPr>
          <w:rFonts w:hint="eastAsia" w:ascii="宋体" w:hAnsi="宋体" w:eastAsia="宋体" w:cs="宋体"/>
          <w:kern w:val="2"/>
          <w:sz w:val="28"/>
          <w:szCs w:val="28"/>
          <w:highlight w:val="none"/>
          <w:lang w:val="en-US" w:eastAsia="zh-CN" w:bidi="ar-SA"/>
        </w:rPr>
      </w:pPr>
      <w:r>
        <w:rPr>
          <w:rFonts w:hint="eastAsia" w:ascii="宋体" w:hAnsi="宋体"/>
          <w:sz w:val="28"/>
          <w:szCs w:val="28"/>
          <w:highlight w:val="none"/>
          <w:lang w:val="en-US"/>
        </w:rPr>
        <w:t>1.1.</w:t>
      </w:r>
      <w:r>
        <w:rPr>
          <w:rFonts w:hint="eastAsia" w:ascii="宋体" w:hAnsi="宋体"/>
          <w:sz w:val="28"/>
          <w:szCs w:val="28"/>
          <w:highlight w:val="none"/>
          <w:lang w:val="en-US" w:eastAsia="zh-CN"/>
        </w:rPr>
        <w:t>8</w:t>
      </w:r>
      <w:r>
        <w:rPr>
          <w:rFonts w:hint="eastAsia" w:ascii="宋体" w:hAnsi="宋体"/>
          <w:sz w:val="28"/>
          <w:szCs w:val="28"/>
          <w:highlight w:val="none"/>
          <w:lang w:val="en-US"/>
        </w:rPr>
        <w:t>、</w:t>
      </w:r>
      <w:r>
        <w:rPr>
          <w:rFonts w:hint="eastAsia" w:ascii="宋体" w:hAnsi="宋体" w:eastAsia="宋体" w:cs="宋体"/>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w:t>
      </w:r>
      <w:r>
        <w:rPr>
          <w:rFonts w:hint="eastAsia" w:ascii="宋体" w:hAnsi="宋体"/>
          <w:sz w:val="28"/>
          <w:szCs w:val="28"/>
          <w:highlight w:val="none"/>
        </w:rPr>
        <w:t>、第三方内部质量控制活动</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2.1第三方</w:t>
      </w:r>
      <w:r>
        <w:rPr>
          <w:rFonts w:hint="eastAsia" w:ascii="宋体" w:hAnsi="宋体"/>
          <w:sz w:val="28"/>
          <w:szCs w:val="28"/>
          <w:highlight w:val="none"/>
        </w:rPr>
        <w:t>内部质量控制技术校核</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（1）每次检测样品前均制作标准曲线或应用标准溶液校准标准曲线。</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（2）定期使用有证标准物质进行内部质量控制活动。</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（3）使用相同或不同的方法进行重复检测。</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（4）分析一个样品的不同特性结果的相关性。</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（5）密码平行样品、加标样品检测等考核。</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（6）对所得检测结果测量不确定度进行评定。</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（7）细菌检测培养基应用参考菌种进行灵敏度实验。</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2.2第三方</w:t>
      </w:r>
      <w:r>
        <w:rPr>
          <w:rFonts w:hint="eastAsia" w:ascii="宋体" w:hAnsi="宋体"/>
          <w:sz w:val="28"/>
          <w:szCs w:val="28"/>
          <w:highlight w:val="none"/>
        </w:rPr>
        <w:t>内部质量控制计划</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（1）检测部根据质量控制计划，针对不同检测项目安排开展工作。</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（2）内部开展的一切质控活动的情况均应纳入每年的管理评审，进行评价。</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（3）档案管理员应按质量控制的计划，及时收集有关资料并编号归档保存。</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、委托方对第三方检测公司的质控措施</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.1、查看第三方检测公司的CMA资质，需有资质检测委托的相关项目，及相应检测报告、采样及样品流转、原始记录是否符合相关标准规范；</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.2、查看第三方检测公司CMA认证的实验室，是否配备有相应的仪器设备及人员，所采用的检测方法是否符合相应标准规范的要求；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.3、对第三方检测公司实施质控样盲样比对，频次是一年1-3次；</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.4、查看第三方检测公司对委托检测合同条款的履行情况。</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、检测及结果质量控制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.2、检验检测工作由培训合格的、有相关技术能力和专业背景，经本公司能力确认并由最高管理者授权的人员进行。</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.3、使用定期进行检定合格和校准符合要求的仪器设备，用于检验检测活动。按计划开展仪器设备的期间核查工作，保持其原有状态，防止使用不符合技术规范要求的设备。</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.4、尽可能使用有证标准物质，按计划开展标准物质期间核查工作，确保相关检测的结果能够溯源到国家基准。</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.5、对影响检测结果的化学试剂等消耗品进行质量验证，保证其使用不影响最终检测结果和质量。</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.6、定期开展标准查新和更换，保证检测室现场使用的检测标准、作业指导书均为现行有效版本。</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.7、对现场环境条件及设施进行有效监控，保证环境条件和相关设施符合检验检测活动要求。</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.8、检测部质量监督员对涉及检测结果的各项活动进行充分监督，尽可能运用统计技术对实验室的检测结果质量进行控制。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5</w:t>
      </w:r>
      <w:r>
        <w:rPr>
          <w:rFonts w:hint="eastAsia" w:ascii="宋体" w:hAnsi="宋体"/>
          <w:sz w:val="28"/>
          <w:szCs w:val="28"/>
          <w:highlight w:val="none"/>
        </w:rPr>
        <w:t>、检测报告质量控制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5</w:t>
      </w:r>
      <w:r>
        <w:rPr>
          <w:rFonts w:hint="eastAsia" w:ascii="宋体" w:hAnsi="宋体"/>
          <w:sz w:val="28"/>
          <w:szCs w:val="28"/>
          <w:highlight w:val="none"/>
        </w:rPr>
        <w:t>.1、检测报告编制人员、各级报告审查人员检查有关检测记录、检测方法、报告格式、结果判定是否满足要求，授权签字人对报告的正确性负责。</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5</w:t>
      </w:r>
      <w:r>
        <w:rPr>
          <w:rFonts w:hint="eastAsia" w:ascii="宋体" w:hAnsi="宋体"/>
          <w:sz w:val="28"/>
          <w:szCs w:val="28"/>
          <w:highlight w:val="none"/>
        </w:rPr>
        <w:t>.2、报告检查中，无论哪个环节发现问题，及时反馈，及时纠正，实现对报告质量的有效控制。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w:t>
      </w:r>
      <w:r>
        <w:rPr>
          <w:rFonts w:hint="eastAsia" w:ascii="宋体" w:hAnsi="宋体"/>
          <w:sz w:val="28"/>
          <w:szCs w:val="28"/>
          <w:highlight w:val="none"/>
          <w:lang w:val="en-US"/>
        </w:rPr>
        <w:t>五</w:t>
      </w:r>
      <w:r>
        <w:rPr>
          <w:rFonts w:hint="eastAsia" w:ascii="宋体" w:hAnsi="宋体"/>
          <w:sz w:val="28"/>
          <w:szCs w:val="28"/>
          <w:highlight w:val="none"/>
        </w:rPr>
        <w:t>）在线运维质量保证与质量控制措施</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对水污染源在线监测系统各监测仪每月进行不少于一次手动/自动校准，至少进行一次实际水样比对试验和质控样试验，对上位机数据、仪表数据、数采仪数据、</w:t>
      </w:r>
      <w:r>
        <w:rPr>
          <w:rFonts w:hint="eastAsia" w:ascii="宋体" w:hAnsi="宋体"/>
          <w:sz w:val="28"/>
          <w:szCs w:val="28"/>
          <w:highlight w:val="none"/>
          <w:lang w:val="en-US" w:eastAsia="zh-CN"/>
        </w:rPr>
        <w:t>在线平</w:t>
      </w:r>
      <w:r>
        <w:rPr>
          <w:rFonts w:hint="eastAsia" w:ascii="宋体" w:hAnsi="宋体"/>
          <w:sz w:val="28"/>
          <w:szCs w:val="28"/>
          <w:highlight w:val="none"/>
        </w:rPr>
        <w:t>台数据进行不少于一次的一致性比对、校准。</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1、运维技术要求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对 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、TOC、NH</w:t>
      </w:r>
      <w:r>
        <w:rPr>
          <w:rFonts w:hint="eastAsia" w:ascii="宋体" w:hAnsi="宋体"/>
          <w:sz w:val="28"/>
          <w:szCs w:val="28"/>
          <w:highlight w:val="none"/>
          <w:vertAlign w:val="subscript"/>
          <w:lang w:val="en-US"/>
        </w:rPr>
        <w:t>3</w:t>
      </w:r>
      <w:r>
        <w:rPr>
          <w:rFonts w:hint="eastAsia" w:ascii="宋体" w:hAnsi="宋体"/>
          <w:sz w:val="28"/>
          <w:szCs w:val="28"/>
          <w:highlight w:val="none"/>
          <w:lang w:val="en-US"/>
        </w:rPr>
        <w:t>-N、TP、TN 水质自动分析仪按照 HJ-355 的要求定期进行自动标样核查和自动校准，自动标样核查结果应满足HJ-355表1要求。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对 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、TOC、NH</w:t>
      </w:r>
      <w:r>
        <w:rPr>
          <w:rFonts w:hint="eastAsia" w:ascii="宋体" w:hAnsi="宋体"/>
          <w:sz w:val="28"/>
          <w:szCs w:val="28"/>
          <w:highlight w:val="none"/>
          <w:vertAlign w:val="subscript"/>
          <w:lang w:val="en-US"/>
        </w:rPr>
        <w:t>3</w:t>
      </w:r>
      <w:r>
        <w:rPr>
          <w:rFonts w:hint="eastAsia" w:ascii="宋体" w:hAnsi="宋体"/>
          <w:sz w:val="28"/>
          <w:szCs w:val="28"/>
          <w:highlight w:val="none"/>
          <w:lang w:val="en-US"/>
        </w:rPr>
        <w:t>-N、TP、TN、pH 水质自动分析仪、温度计及超声波明渠流量计按照HJ-355要求定期进行实际水样比对试验，比对试验结果应满足HJ-355表1的要求，实际水样国家环境监测分析方法标准。</w:t>
      </w:r>
    </w:p>
    <w:p>
      <w:pPr>
        <w:pStyle w:val="17"/>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highlight w:val="none"/>
          <w:lang w:val="en-US" w:eastAsia="zh-CN"/>
        </w:rPr>
        <w:t>2</w:t>
      </w:r>
      <w:r>
        <w:rPr>
          <w:rFonts w:hint="eastAsia" w:ascii="宋体" w:hAnsi="宋体"/>
          <w:sz w:val="28"/>
          <w:szCs w:val="28"/>
          <w:highlight w:val="none"/>
          <w:lang w:val="en-US"/>
        </w:rPr>
        <w:t>、校验、比对试验和质控样测试工作要求。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2</w:t>
      </w:r>
      <w:r>
        <w:rPr>
          <w:rFonts w:hint="eastAsia" w:ascii="宋体" w:hAnsi="宋体"/>
          <w:sz w:val="28"/>
          <w:szCs w:val="28"/>
          <w:highlight w:val="none"/>
          <w:lang w:val="en-US"/>
        </w:rPr>
        <w:t>.1必要时对设备进行量程漂移、零点漂移和重复性测试。</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（1）</w:t>
      </w:r>
      <w:r>
        <w:rPr>
          <w:rFonts w:hint="eastAsia" w:ascii="宋体" w:hAnsi="宋体"/>
          <w:sz w:val="28"/>
          <w:szCs w:val="28"/>
          <w:highlight w:val="none"/>
          <w:lang w:val="en-US"/>
        </w:rPr>
        <w:t>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自动监测仪的量程漂移、零点漂移和重复性测试方法见HJ377-2019《化学需氧量（COD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）水质在线自动监测仪技术要求及检测方法》。</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w:t>
      </w:r>
      <w:r>
        <w:rPr>
          <w:rFonts w:hint="eastAsia" w:ascii="宋体" w:hAnsi="宋体"/>
          <w:sz w:val="28"/>
          <w:szCs w:val="28"/>
          <w:highlight w:val="none"/>
          <w:lang w:val="en-US"/>
        </w:rPr>
        <w:t>2</w:t>
      </w:r>
      <w:r>
        <w:rPr>
          <w:rFonts w:hint="eastAsia" w:ascii="宋体" w:hAnsi="宋体"/>
          <w:sz w:val="28"/>
          <w:szCs w:val="28"/>
          <w:highlight w:val="none"/>
        </w:rPr>
        <w:t>）</w:t>
      </w:r>
      <w:r>
        <w:rPr>
          <w:rFonts w:hint="eastAsia" w:ascii="宋体" w:hAnsi="宋体"/>
          <w:sz w:val="28"/>
          <w:szCs w:val="28"/>
          <w:highlight w:val="none"/>
          <w:lang w:val="en-US"/>
        </w:rPr>
        <w:t>氨氮自动监测仪的量程漂移、零点漂移和重复性测试方法详见HJ/T101-2019《氨氮水质在线自动监测仪技术要求及检测方法》</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w:t>
      </w:r>
      <w:r>
        <w:rPr>
          <w:rFonts w:hint="eastAsia" w:ascii="宋体" w:hAnsi="宋体"/>
          <w:sz w:val="28"/>
          <w:szCs w:val="28"/>
          <w:highlight w:val="none"/>
          <w:lang w:val="en-US"/>
        </w:rPr>
        <w:t>3</w:t>
      </w:r>
      <w:r>
        <w:rPr>
          <w:rFonts w:hint="eastAsia" w:ascii="宋体" w:hAnsi="宋体"/>
          <w:sz w:val="28"/>
          <w:szCs w:val="28"/>
          <w:highlight w:val="none"/>
        </w:rPr>
        <w:t>）</w:t>
      </w:r>
      <w:r>
        <w:rPr>
          <w:rFonts w:hint="eastAsia" w:ascii="宋体" w:hAnsi="宋体"/>
          <w:sz w:val="28"/>
          <w:szCs w:val="28"/>
          <w:highlight w:val="none"/>
          <w:lang w:val="en-US"/>
        </w:rPr>
        <w:t>总磷总氮的量程漂移、零点漂移和重复性测试方法见HJ103-03《总磷水质自动分析仪技术要求》、HJ102-03《总氮水质自动分析仪技术要求》，具体操作参照各仪器使用说明书。</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w:t>
      </w:r>
      <w:r>
        <w:rPr>
          <w:rFonts w:hint="eastAsia" w:ascii="宋体" w:hAnsi="宋体"/>
          <w:sz w:val="28"/>
          <w:szCs w:val="28"/>
          <w:highlight w:val="none"/>
          <w:lang w:val="en-US"/>
        </w:rPr>
        <w:t>4</w:t>
      </w:r>
      <w:r>
        <w:rPr>
          <w:rFonts w:hint="eastAsia" w:ascii="宋体" w:hAnsi="宋体"/>
          <w:sz w:val="28"/>
          <w:szCs w:val="28"/>
          <w:highlight w:val="none"/>
        </w:rPr>
        <w:t>）</w:t>
      </w:r>
      <w:r>
        <w:rPr>
          <w:rFonts w:hint="eastAsia" w:ascii="宋体" w:hAnsi="宋体"/>
          <w:sz w:val="28"/>
          <w:szCs w:val="28"/>
          <w:highlight w:val="none"/>
          <w:lang w:val="en-US"/>
        </w:rPr>
        <w:t>操作参照各仪器使用说明书。</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3</w:t>
      </w:r>
      <w:r>
        <w:rPr>
          <w:rFonts w:hint="eastAsia" w:ascii="宋体" w:hAnsi="宋体"/>
          <w:sz w:val="28"/>
          <w:szCs w:val="28"/>
          <w:highlight w:val="none"/>
          <w:lang w:val="en-US"/>
        </w:rPr>
        <w:t>、与标准方法比对试验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除流量外，运维人员每月应对每个站点所有自动分析仪至少进行1次自动监测方法与实验室标准方法的比对试验，试验结果应满足HJ 355表1规定的要求。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4</w:t>
      </w:r>
      <w:r>
        <w:rPr>
          <w:rFonts w:hint="eastAsia" w:ascii="宋体" w:hAnsi="宋体"/>
          <w:sz w:val="28"/>
          <w:szCs w:val="28"/>
          <w:highlight w:val="none"/>
          <w:lang w:val="en-US"/>
        </w:rPr>
        <w:t>、质控样试验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sz w:val="28"/>
          <w:szCs w:val="28"/>
          <w:highlight w:val="none"/>
          <w:lang w:val="en-US" w:eastAsia="zh-CN"/>
        </w:rPr>
        <w:t>相应</w:t>
      </w:r>
      <w:r>
        <w:rPr>
          <w:rFonts w:hint="eastAsia" w:ascii="宋体" w:hAnsi="宋体"/>
          <w:sz w:val="28"/>
          <w:szCs w:val="28"/>
          <w:highlight w:val="none"/>
          <w:lang w:val="en-US"/>
        </w:rPr>
        <w:t>排放标准浓度的质控样品，每种样品至少测定2次，质控样测定的相对误差不大于标准值的±10%。</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5</w:t>
      </w:r>
      <w:r>
        <w:rPr>
          <w:rFonts w:hint="eastAsia" w:ascii="宋体" w:hAnsi="宋体"/>
          <w:sz w:val="28"/>
          <w:szCs w:val="28"/>
          <w:highlight w:val="none"/>
          <w:lang w:val="en-US"/>
        </w:rPr>
        <w:t>、有效数据率</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以月为周期，计算每个周期内水污染源在线监测仪实际获得的有效数据的个数占应获得的有效数据的个数的百分比不得小于 90%，有效数据的判定参见 HJ-356 的相关规定。</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、其他质量控制要求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.1应按照 HJ-91.1、HJ-493 以及本标准的相关要求对水样分析、自动监测实施质量控制。</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.2对某一时段、某些异常水样，应不定期进行平行监测、加密监测和留样比对试验。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.3水污染源在线监测仪器所使用的标准溶液应正确保存且经有证的标准样品验证合格后方可使用。</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 xml:space="preserve">八、监测信息公开 </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pPr>
        <w:pStyle w:val="17"/>
        <w:spacing w:line="240" w:lineRule="auto"/>
        <w:ind w:left="-420" w:leftChars="-200" w:firstLine="560"/>
        <w:outlineLvl w:val="1"/>
        <w:rPr>
          <w:rFonts w:ascii="宋体" w:hAnsi="宋体"/>
          <w:sz w:val="28"/>
          <w:szCs w:val="28"/>
          <w:highlight w:val="none"/>
          <w:lang w:val="en-US"/>
        </w:rPr>
      </w:pPr>
    </w:p>
    <w:p>
      <w:pPr>
        <w:pStyle w:val="17"/>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b w:val="0"/>
          <w:bCs w:val="0"/>
          <w:sz w:val="28"/>
          <w:szCs w:val="28"/>
          <w:highlight w:val="none"/>
          <w:lang w:val="zh-CN"/>
        </w:rPr>
      </w:pPr>
    </w:p>
    <w:p>
      <w:pPr>
        <w:pStyle w:val="17"/>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b w:val="0"/>
          <w:bCs w:val="0"/>
          <w:sz w:val="28"/>
          <w:szCs w:val="28"/>
          <w:lang w:val="zh-CN"/>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FD5AE"/>
    <w:multiLevelType w:val="singleLevel"/>
    <w:tmpl w:val="97AFD5AE"/>
    <w:lvl w:ilvl="0" w:tentative="0">
      <w:start w:val="1"/>
      <w:numFmt w:val="decimal"/>
      <w:lvlText w:val="%1."/>
      <w:lvlJc w:val="left"/>
      <w:pPr>
        <w:tabs>
          <w:tab w:val="left" w:pos="312"/>
        </w:tabs>
      </w:pPr>
    </w:lvl>
  </w:abstractNum>
  <w:abstractNum w:abstractNumId="1">
    <w:nsid w:val="CBCF8550"/>
    <w:multiLevelType w:val="singleLevel"/>
    <w:tmpl w:val="CBCF8550"/>
    <w:lvl w:ilvl="0" w:tentative="0">
      <w:start w:val="1"/>
      <w:numFmt w:val="decimal"/>
      <w:lvlText w:val="%1."/>
      <w:lvlJc w:val="left"/>
      <w:pPr>
        <w:tabs>
          <w:tab w:val="left" w:pos="312"/>
        </w:tabs>
      </w:pPr>
    </w:lvl>
  </w:abstractNum>
  <w:abstractNum w:abstractNumId="2">
    <w:nsid w:val="ED74E18C"/>
    <w:multiLevelType w:val="singleLevel"/>
    <w:tmpl w:val="ED74E18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hYTM0MzJmMGI4NDA0ZmVlNTVhNWMwZWZiMzFhYjQifQ=="/>
  </w:docVars>
  <w:rsids>
    <w:rsidRoot w:val="00EF740B"/>
    <w:rsid w:val="00064DBF"/>
    <w:rsid w:val="00070C07"/>
    <w:rsid w:val="000B3138"/>
    <w:rsid w:val="0010023F"/>
    <w:rsid w:val="002408BC"/>
    <w:rsid w:val="00273D88"/>
    <w:rsid w:val="00275634"/>
    <w:rsid w:val="002D0D64"/>
    <w:rsid w:val="00354B1E"/>
    <w:rsid w:val="003F03DA"/>
    <w:rsid w:val="003F6058"/>
    <w:rsid w:val="00450A96"/>
    <w:rsid w:val="004D0C88"/>
    <w:rsid w:val="004F04D3"/>
    <w:rsid w:val="0050037C"/>
    <w:rsid w:val="00560BAE"/>
    <w:rsid w:val="00601C8E"/>
    <w:rsid w:val="00621748"/>
    <w:rsid w:val="006C7931"/>
    <w:rsid w:val="006D03AA"/>
    <w:rsid w:val="006F2CBE"/>
    <w:rsid w:val="00794811"/>
    <w:rsid w:val="007E24D0"/>
    <w:rsid w:val="007F2EDF"/>
    <w:rsid w:val="008A70AA"/>
    <w:rsid w:val="00932FB8"/>
    <w:rsid w:val="00B719C7"/>
    <w:rsid w:val="00BD1F19"/>
    <w:rsid w:val="00C159AC"/>
    <w:rsid w:val="00C57ED5"/>
    <w:rsid w:val="00D00C9C"/>
    <w:rsid w:val="00DB0F36"/>
    <w:rsid w:val="00DD56DD"/>
    <w:rsid w:val="00E23C7B"/>
    <w:rsid w:val="00E456A9"/>
    <w:rsid w:val="00EC7B5F"/>
    <w:rsid w:val="00EF740B"/>
    <w:rsid w:val="00F06454"/>
    <w:rsid w:val="01221411"/>
    <w:rsid w:val="0154099A"/>
    <w:rsid w:val="021874D9"/>
    <w:rsid w:val="027F3EA7"/>
    <w:rsid w:val="03092820"/>
    <w:rsid w:val="03133278"/>
    <w:rsid w:val="04101F86"/>
    <w:rsid w:val="04180F6C"/>
    <w:rsid w:val="051D6416"/>
    <w:rsid w:val="054144F3"/>
    <w:rsid w:val="058F000B"/>
    <w:rsid w:val="05A624E4"/>
    <w:rsid w:val="05CB08AF"/>
    <w:rsid w:val="06A411DD"/>
    <w:rsid w:val="06A92DE8"/>
    <w:rsid w:val="06AB15B3"/>
    <w:rsid w:val="072F1720"/>
    <w:rsid w:val="07990467"/>
    <w:rsid w:val="07CE67CF"/>
    <w:rsid w:val="0814288D"/>
    <w:rsid w:val="082F4AD6"/>
    <w:rsid w:val="092210E0"/>
    <w:rsid w:val="09424A96"/>
    <w:rsid w:val="09F2400E"/>
    <w:rsid w:val="0A851326"/>
    <w:rsid w:val="0ACF27C8"/>
    <w:rsid w:val="0B96552F"/>
    <w:rsid w:val="0CDE4E9F"/>
    <w:rsid w:val="0DB70FD5"/>
    <w:rsid w:val="0E5E7EC3"/>
    <w:rsid w:val="0FBF432A"/>
    <w:rsid w:val="111D2A82"/>
    <w:rsid w:val="11BC6EF7"/>
    <w:rsid w:val="127675EA"/>
    <w:rsid w:val="13F65B75"/>
    <w:rsid w:val="14150EBE"/>
    <w:rsid w:val="14726AD9"/>
    <w:rsid w:val="14F72DF9"/>
    <w:rsid w:val="155A27DB"/>
    <w:rsid w:val="159D3A64"/>
    <w:rsid w:val="16671FB7"/>
    <w:rsid w:val="17173A31"/>
    <w:rsid w:val="171F114E"/>
    <w:rsid w:val="17680005"/>
    <w:rsid w:val="17697676"/>
    <w:rsid w:val="17DC0549"/>
    <w:rsid w:val="190A3122"/>
    <w:rsid w:val="199273CC"/>
    <w:rsid w:val="19D832D2"/>
    <w:rsid w:val="1BF135A1"/>
    <w:rsid w:val="1D5C7E55"/>
    <w:rsid w:val="1D7019C1"/>
    <w:rsid w:val="1F947EAF"/>
    <w:rsid w:val="21035993"/>
    <w:rsid w:val="218A20FB"/>
    <w:rsid w:val="21BA0595"/>
    <w:rsid w:val="21FF2955"/>
    <w:rsid w:val="22DE422B"/>
    <w:rsid w:val="238C6965"/>
    <w:rsid w:val="23E31A2F"/>
    <w:rsid w:val="24282B10"/>
    <w:rsid w:val="244637ED"/>
    <w:rsid w:val="24DC3C09"/>
    <w:rsid w:val="24F353CE"/>
    <w:rsid w:val="268640E9"/>
    <w:rsid w:val="29343213"/>
    <w:rsid w:val="294D15BF"/>
    <w:rsid w:val="297939AC"/>
    <w:rsid w:val="2A173A52"/>
    <w:rsid w:val="2A941233"/>
    <w:rsid w:val="2B8D7D27"/>
    <w:rsid w:val="2BE43469"/>
    <w:rsid w:val="2BFD7307"/>
    <w:rsid w:val="2D32268D"/>
    <w:rsid w:val="2D696C23"/>
    <w:rsid w:val="2D990C6A"/>
    <w:rsid w:val="2E110854"/>
    <w:rsid w:val="301A2DFD"/>
    <w:rsid w:val="316B36F5"/>
    <w:rsid w:val="319C4F66"/>
    <w:rsid w:val="31BB5CCE"/>
    <w:rsid w:val="32922292"/>
    <w:rsid w:val="339E2FF8"/>
    <w:rsid w:val="34ED34A4"/>
    <w:rsid w:val="35EC21B6"/>
    <w:rsid w:val="369817C2"/>
    <w:rsid w:val="3776777C"/>
    <w:rsid w:val="386F48F8"/>
    <w:rsid w:val="38BE1DF3"/>
    <w:rsid w:val="39C14F85"/>
    <w:rsid w:val="3A1E12A0"/>
    <w:rsid w:val="3AD42B84"/>
    <w:rsid w:val="3CB80047"/>
    <w:rsid w:val="3D05334D"/>
    <w:rsid w:val="3D3A5077"/>
    <w:rsid w:val="3D7417C8"/>
    <w:rsid w:val="3D986795"/>
    <w:rsid w:val="3DCF76AF"/>
    <w:rsid w:val="3E4064F8"/>
    <w:rsid w:val="3E7E39E9"/>
    <w:rsid w:val="3F0B36A9"/>
    <w:rsid w:val="3F3917BB"/>
    <w:rsid w:val="3F7E6F0B"/>
    <w:rsid w:val="3FF51BE2"/>
    <w:rsid w:val="42430CC8"/>
    <w:rsid w:val="432F4DFD"/>
    <w:rsid w:val="440F5C7C"/>
    <w:rsid w:val="446E1075"/>
    <w:rsid w:val="44D413A8"/>
    <w:rsid w:val="454114C8"/>
    <w:rsid w:val="463E2A0A"/>
    <w:rsid w:val="46DD580B"/>
    <w:rsid w:val="48576465"/>
    <w:rsid w:val="48D569F9"/>
    <w:rsid w:val="48FD4B0B"/>
    <w:rsid w:val="49D43E1D"/>
    <w:rsid w:val="4A8A40B7"/>
    <w:rsid w:val="4AC9180A"/>
    <w:rsid w:val="4B043785"/>
    <w:rsid w:val="4CC428D1"/>
    <w:rsid w:val="4D646FF2"/>
    <w:rsid w:val="4DC86B2C"/>
    <w:rsid w:val="4DE33A8E"/>
    <w:rsid w:val="4E265A87"/>
    <w:rsid w:val="4E8C2811"/>
    <w:rsid w:val="4E9B6783"/>
    <w:rsid w:val="4EBE7346"/>
    <w:rsid w:val="4F1C3CE9"/>
    <w:rsid w:val="4F415C3A"/>
    <w:rsid w:val="505815DA"/>
    <w:rsid w:val="50A12A22"/>
    <w:rsid w:val="50F30334"/>
    <w:rsid w:val="51116B3E"/>
    <w:rsid w:val="511701B4"/>
    <w:rsid w:val="51922196"/>
    <w:rsid w:val="522927F7"/>
    <w:rsid w:val="52444DB1"/>
    <w:rsid w:val="52E87B3C"/>
    <w:rsid w:val="54050A94"/>
    <w:rsid w:val="541779C5"/>
    <w:rsid w:val="54803E74"/>
    <w:rsid w:val="54B0031A"/>
    <w:rsid w:val="55BC72BE"/>
    <w:rsid w:val="563A6E77"/>
    <w:rsid w:val="5686747C"/>
    <w:rsid w:val="56B33F17"/>
    <w:rsid w:val="56CB7288"/>
    <w:rsid w:val="56EB73E7"/>
    <w:rsid w:val="579D04BB"/>
    <w:rsid w:val="57BA4B09"/>
    <w:rsid w:val="58383288"/>
    <w:rsid w:val="58EC6B15"/>
    <w:rsid w:val="59AC7302"/>
    <w:rsid w:val="59AF5C23"/>
    <w:rsid w:val="5A7E085B"/>
    <w:rsid w:val="5AA47FD9"/>
    <w:rsid w:val="5B6521B5"/>
    <w:rsid w:val="5B6F6839"/>
    <w:rsid w:val="5C5E01C5"/>
    <w:rsid w:val="5D9D2EBB"/>
    <w:rsid w:val="5DFB2398"/>
    <w:rsid w:val="5F3F29C6"/>
    <w:rsid w:val="61386A49"/>
    <w:rsid w:val="61E84F66"/>
    <w:rsid w:val="61F34466"/>
    <w:rsid w:val="623C143F"/>
    <w:rsid w:val="62521AB8"/>
    <w:rsid w:val="62BF1D86"/>
    <w:rsid w:val="64645414"/>
    <w:rsid w:val="64F61D79"/>
    <w:rsid w:val="654751B9"/>
    <w:rsid w:val="66017A31"/>
    <w:rsid w:val="66194291"/>
    <w:rsid w:val="664C0F4D"/>
    <w:rsid w:val="66664CDC"/>
    <w:rsid w:val="66B72B4A"/>
    <w:rsid w:val="6718068C"/>
    <w:rsid w:val="681F15E7"/>
    <w:rsid w:val="683F6F01"/>
    <w:rsid w:val="686664DE"/>
    <w:rsid w:val="68DF4DE6"/>
    <w:rsid w:val="698A13F0"/>
    <w:rsid w:val="699973C5"/>
    <w:rsid w:val="6A2C161D"/>
    <w:rsid w:val="6ACC5D6C"/>
    <w:rsid w:val="6BF93EB1"/>
    <w:rsid w:val="6C0321DC"/>
    <w:rsid w:val="6D0F1D00"/>
    <w:rsid w:val="6D2E118F"/>
    <w:rsid w:val="6D363EE7"/>
    <w:rsid w:val="6DE36C13"/>
    <w:rsid w:val="6E535B46"/>
    <w:rsid w:val="6F163660"/>
    <w:rsid w:val="6F560A9A"/>
    <w:rsid w:val="6FA43561"/>
    <w:rsid w:val="7128150C"/>
    <w:rsid w:val="734A2905"/>
    <w:rsid w:val="73553BC6"/>
    <w:rsid w:val="73664C27"/>
    <w:rsid w:val="73FB1229"/>
    <w:rsid w:val="742131F8"/>
    <w:rsid w:val="742D4DE0"/>
    <w:rsid w:val="74C26DA2"/>
    <w:rsid w:val="75EF36C6"/>
    <w:rsid w:val="76D348AD"/>
    <w:rsid w:val="77824FE1"/>
    <w:rsid w:val="785F4137"/>
    <w:rsid w:val="797F1EE5"/>
    <w:rsid w:val="7A023CFF"/>
    <w:rsid w:val="7A6F53EA"/>
    <w:rsid w:val="7A7C2F25"/>
    <w:rsid w:val="7B012E90"/>
    <w:rsid w:val="7B02692A"/>
    <w:rsid w:val="7B1C3799"/>
    <w:rsid w:val="7B1C3B93"/>
    <w:rsid w:val="7BB91725"/>
    <w:rsid w:val="7C721535"/>
    <w:rsid w:val="7C9E3102"/>
    <w:rsid w:val="7D03663F"/>
    <w:rsid w:val="7D804B41"/>
    <w:rsid w:val="7DBE3FE4"/>
    <w:rsid w:val="7DD458E8"/>
    <w:rsid w:val="7E837221"/>
    <w:rsid w:val="7E870032"/>
    <w:rsid w:val="7EA91178"/>
    <w:rsid w:val="7FAD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30"/>
      <w:szCs w:val="44"/>
    </w:rPr>
  </w:style>
  <w:style w:type="paragraph" w:styleId="3">
    <w:name w:val="heading 2"/>
    <w:basedOn w:val="1"/>
    <w:next w:val="1"/>
    <w:link w:val="19"/>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autoRedefine/>
    <w:qFormat/>
    <w:uiPriority w:val="11"/>
    <w:pPr>
      <w:spacing w:before="240" w:after="60" w:line="312" w:lineRule="auto"/>
      <w:jc w:val="center"/>
      <w:outlineLvl w:val="1"/>
    </w:pPr>
    <w:rPr>
      <w:b/>
      <w:bCs/>
      <w:kern w:val="28"/>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semiHidden/>
    <w:unhideWhenUsed/>
    <w:qFormat/>
    <w:uiPriority w:val="99"/>
    <w:rPr>
      <w:color w:val="333333"/>
      <w:u w:val="none"/>
    </w:rPr>
  </w:style>
  <w:style w:type="character" w:styleId="12">
    <w:name w:val="Emphasis"/>
    <w:basedOn w:val="10"/>
    <w:autoRedefine/>
    <w:qFormat/>
    <w:uiPriority w:val="20"/>
    <w:rPr>
      <w:i/>
    </w:rPr>
  </w:style>
  <w:style w:type="character" w:styleId="13">
    <w:name w:val="Hyperlink"/>
    <w:basedOn w:val="10"/>
    <w:autoRedefine/>
    <w:semiHidden/>
    <w:unhideWhenUsed/>
    <w:qFormat/>
    <w:uiPriority w:val="99"/>
    <w:rPr>
      <w:color w:val="333333"/>
      <w:u w:val="none"/>
    </w:rPr>
  </w:style>
  <w:style w:type="character" w:customStyle="1" w:styleId="14">
    <w:name w:val="页眉 字符"/>
    <w:basedOn w:val="10"/>
    <w:link w:val="6"/>
    <w:autoRedefine/>
    <w:qFormat/>
    <w:uiPriority w:val="99"/>
    <w:rPr>
      <w:sz w:val="18"/>
      <w:szCs w:val="18"/>
    </w:rPr>
  </w:style>
  <w:style w:type="character" w:customStyle="1" w:styleId="15">
    <w:name w:val="页脚 字符"/>
    <w:basedOn w:val="10"/>
    <w:link w:val="5"/>
    <w:autoRedefine/>
    <w:qFormat/>
    <w:uiPriority w:val="99"/>
    <w:rPr>
      <w:sz w:val="18"/>
      <w:szCs w:val="18"/>
    </w:rPr>
  </w:style>
  <w:style w:type="paragraph" w:styleId="16">
    <w:name w:val="List Paragraph"/>
    <w:basedOn w:val="1"/>
    <w:autoRedefine/>
    <w:qFormat/>
    <w:uiPriority w:val="34"/>
    <w:pPr>
      <w:ind w:firstLine="420" w:firstLineChars="200"/>
    </w:pPr>
  </w:style>
  <w:style w:type="paragraph" w:customStyle="1" w:styleId="17">
    <w:name w:val="A0正文"/>
    <w:basedOn w:val="1"/>
    <w:autoRedefine/>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8">
    <w:name w:val="A标题2级"/>
    <w:basedOn w:val="3"/>
    <w:autoRedefine/>
    <w:qFormat/>
    <w:uiPriority w:val="0"/>
    <w:pPr>
      <w:spacing w:before="240" w:after="0" w:line="500" w:lineRule="exact"/>
    </w:pPr>
    <w:rPr>
      <w:rFonts w:ascii="Times New Roman" w:hAnsi="Times New Roman" w:eastAsia="黑体" w:cs="宋体"/>
      <w:b w:val="0"/>
      <w:bCs w:val="0"/>
      <w:sz w:val="28"/>
      <w:szCs w:val="20"/>
    </w:rPr>
  </w:style>
  <w:style w:type="character" w:customStyle="1" w:styleId="19">
    <w:name w:val="标题 2 字符"/>
    <w:basedOn w:val="10"/>
    <w:link w:val="3"/>
    <w:autoRedefine/>
    <w:semiHidden/>
    <w:qFormat/>
    <w:uiPriority w:val="9"/>
    <w:rPr>
      <w:rFonts w:asciiTheme="majorHAnsi" w:hAnsiTheme="majorHAnsi" w:eastAsiaTheme="majorEastAsia" w:cstheme="majorBidi"/>
      <w:b/>
      <w:bCs/>
      <w:sz w:val="32"/>
      <w:szCs w:val="32"/>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1">
    <w:name w:val="正文_23"/>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2">
    <w:name w:val="正文_22"/>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3">
    <w:name w:val="正文_24"/>
    <w:autoRedefine/>
    <w:qFormat/>
    <w:uiPriority w:val="0"/>
    <w:pPr>
      <w:widowControl w:val="0"/>
      <w:jc w:val="both"/>
    </w:pPr>
    <w:rPr>
      <w:rFonts w:ascii="Calibri" w:hAnsi="Calibri" w:eastAsia="宋体" w:cs="Times New Roman"/>
      <w:kern w:val="2"/>
      <w:sz w:val="21"/>
      <w:lang w:val="en-US" w:eastAsia="zh-CN" w:bidi="ar-SA"/>
    </w:rPr>
  </w:style>
  <w:style w:type="character" w:customStyle="1" w:styleId="24">
    <w:name w:val="font21"/>
    <w:basedOn w:val="10"/>
    <w:autoRedefine/>
    <w:qFormat/>
    <w:uiPriority w:val="0"/>
    <w:rPr>
      <w:rFonts w:hint="eastAsia" w:ascii="黑体" w:hAnsi="宋体" w:eastAsia="黑体" w:cs="黑体"/>
      <w:color w:val="000000"/>
      <w:sz w:val="21"/>
      <w:szCs w:val="21"/>
      <w:u w:val="none"/>
    </w:rPr>
  </w:style>
  <w:style w:type="character" w:customStyle="1" w:styleId="25">
    <w:name w:val="font51"/>
    <w:basedOn w:val="10"/>
    <w:autoRedefine/>
    <w:qFormat/>
    <w:uiPriority w:val="0"/>
    <w:rPr>
      <w:rFonts w:hint="default" w:ascii="Arial" w:hAnsi="Arial" w:cs="Arial"/>
      <w:color w:val="000000"/>
      <w:sz w:val="19"/>
      <w:szCs w:val="19"/>
      <w:u w:val="none"/>
    </w:rPr>
  </w:style>
  <w:style w:type="character" w:customStyle="1" w:styleId="26">
    <w:name w:val="font41"/>
    <w:basedOn w:val="10"/>
    <w:autoRedefine/>
    <w:qFormat/>
    <w:uiPriority w:val="0"/>
    <w:rPr>
      <w:rFonts w:hint="default" w:ascii="Arial" w:hAnsi="Arial" w:cs="Arial"/>
      <w:color w:val="333333"/>
      <w:sz w:val="19"/>
      <w:szCs w:val="19"/>
      <w:u w:val="none"/>
    </w:rPr>
  </w:style>
  <w:style w:type="character" w:customStyle="1" w:styleId="27">
    <w:name w:val="font61"/>
    <w:basedOn w:val="10"/>
    <w:autoRedefine/>
    <w:qFormat/>
    <w:uiPriority w:val="0"/>
    <w:rPr>
      <w:rFonts w:hint="eastAsia" w:ascii="宋体" w:hAnsi="宋体" w:eastAsia="宋体" w:cs="宋体"/>
      <w:color w:val="333333"/>
      <w:sz w:val="19"/>
      <w:szCs w:val="19"/>
      <w:u w:val="none"/>
    </w:rPr>
  </w:style>
  <w:style w:type="character" w:customStyle="1" w:styleId="28">
    <w:name w:val="font31"/>
    <w:basedOn w:val="10"/>
    <w:autoRedefine/>
    <w:qFormat/>
    <w:uiPriority w:val="0"/>
    <w:rPr>
      <w:rFonts w:hint="eastAsia" w:ascii="宋体" w:hAnsi="宋体" w:eastAsia="宋体" w:cs="宋体"/>
      <w:color w:val="000000"/>
      <w:sz w:val="21"/>
      <w:szCs w:val="21"/>
      <w:u w:val="none"/>
    </w:rPr>
  </w:style>
  <w:style w:type="character" w:customStyle="1" w:styleId="29">
    <w:name w:val="font71"/>
    <w:basedOn w:val="10"/>
    <w:autoRedefine/>
    <w:qFormat/>
    <w:uiPriority w:val="0"/>
    <w:rPr>
      <w:rFonts w:ascii="等线" w:hAnsi="等线" w:eastAsia="等线" w:cs="等线"/>
      <w:color w:val="000000"/>
      <w:sz w:val="21"/>
      <w:szCs w:val="21"/>
      <w:u w:val="none"/>
    </w:rPr>
  </w:style>
  <w:style w:type="character" w:customStyle="1" w:styleId="30">
    <w:name w:val="font01"/>
    <w:basedOn w:val="10"/>
    <w:autoRedefine/>
    <w:qFormat/>
    <w:uiPriority w:val="0"/>
    <w:rPr>
      <w:rFonts w:hint="eastAsia" w:ascii="宋体" w:hAnsi="宋体" w:eastAsia="宋体" w:cs="宋体"/>
      <w:color w:val="FF0000"/>
      <w:sz w:val="21"/>
      <w:szCs w:val="21"/>
      <w:u w:val="none"/>
    </w:rPr>
  </w:style>
  <w:style w:type="paragraph" w:customStyle="1" w:styleId="31">
    <w:name w:val="List Paragraph1"/>
    <w:basedOn w:val="1"/>
    <w:autoRedefine/>
    <w:qFormat/>
    <w:uiPriority w:val="0"/>
    <w:pPr>
      <w:ind w:left="720"/>
    </w:pPr>
    <w:rPr>
      <w:rFonts w:ascii="Cambria" w:hAnsi="Cambria" w:eastAsia="Cambria"/>
      <w:sz w:val="22"/>
      <w:szCs w:val="22"/>
    </w:rPr>
  </w:style>
  <w:style w:type="paragraph" w:customStyle="1" w:styleId="32">
    <w:name w:val="列出段落1"/>
    <w:basedOn w:val="1"/>
    <w:autoRedefine/>
    <w:qFormat/>
    <w:uiPriority w:val="0"/>
    <w:pPr>
      <w:ind w:left="720"/>
    </w:pPr>
    <w:rPr>
      <w:rFonts w:ascii="Cambria" w:hAnsi="Cambria" w:eastAsia="Cambria"/>
      <w:sz w:val="22"/>
      <w:szCs w:val="22"/>
    </w:rPr>
  </w:style>
  <w:style w:type="paragraph" w:customStyle="1" w:styleId="33">
    <w:name w:val="列出段落2"/>
    <w:basedOn w:val="1"/>
    <w:autoRedefine/>
    <w:qFormat/>
    <w:uiPriority w:val="0"/>
    <w:pPr>
      <w:ind w:left="720"/>
    </w:pPr>
    <w:rPr>
      <w:rFonts w:ascii="Cambria" w:hAnsi="Cambria" w:eastAsia="Cambria"/>
      <w:sz w:val="22"/>
      <w:szCs w:val="22"/>
    </w:rPr>
  </w:style>
  <w:style w:type="character" w:customStyle="1" w:styleId="34">
    <w:name w:val="button"/>
    <w:basedOn w:val="10"/>
    <w:autoRedefine/>
    <w:qFormat/>
    <w:uiPriority w:val="0"/>
  </w:style>
  <w:style w:type="character" w:customStyle="1" w:styleId="35">
    <w:name w:val="tmpztreemove_arrow"/>
    <w:basedOn w:val="10"/>
    <w:autoRedefine/>
    <w:qFormat/>
    <w:uiPriority w:val="0"/>
  </w:style>
  <w:style w:type="character" w:customStyle="1" w:styleId="36">
    <w:name w:val="layui-this7"/>
    <w:basedOn w:val="10"/>
    <w:autoRedefine/>
    <w:qFormat/>
    <w:uiPriority w:val="0"/>
    <w:rPr>
      <w:bdr w:val="single" w:color="EEEEEE" w:sz="6" w:space="0"/>
      <w:shd w:val="clear" w:fill="FFFFFF"/>
    </w:rPr>
  </w:style>
  <w:style w:type="character" w:customStyle="1" w:styleId="37">
    <w:name w:val="layui-laypage-curr"/>
    <w:basedOn w:val="10"/>
    <w:autoRedefine/>
    <w:qFormat/>
    <w:uiPriority w:val="0"/>
  </w:style>
  <w:style w:type="character" w:customStyle="1" w:styleId="38">
    <w:name w:val="first-child"/>
    <w:basedOn w:val="1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12336</Words>
  <Characters>14867</Characters>
  <Lines>22</Lines>
  <Paragraphs>6</Paragraphs>
  <TotalTime>31</TotalTime>
  <ScaleCrop>false</ScaleCrop>
  <LinksUpToDate>false</LinksUpToDate>
  <CharactersWithSpaces>15058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OuYang</cp:lastModifiedBy>
  <cp:lastPrinted>2024-04-25T02:53:17Z</cp:lastPrinted>
  <dcterms:modified xsi:type="dcterms:W3CDTF">2024-04-25T02:56:01Z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9DD88051B4E34042801C7D594DC57D68</vt:lpwstr>
  </property>
  <property fmtid="{D5CDD505-2E9C-101B-9397-08002B2CF9AE}" pid="4" name="commondata">
    <vt:lpwstr>eyJoZGlkIjoiZjhkMzQ3YmE3ODhjNDQ1MTZmMjMxOWE3MWIwYjY0YTgifQ==</vt:lpwstr>
  </property>
</Properties>
</file>