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D4229D">
      <w:pPr>
        <w:pStyle w:val="24"/>
        <w:spacing w:line="240" w:lineRule="auto"/>
        <w:ind w:firstLine="643"/>
        <w:jc w:val="center"/>
        <w:rPr>
          <w:rFonts w:hint="eastAsia" w:ascii="宋体" w:hAnsi="宋体"/>
          <w:b/>
          <w:bCs/>
          <w:sz w:val="32"/>
          <w:szCs w:val="32"/>
        </w:rPr>
      </w:pPr>
    </w:p>
    <w:p w14:paraId="19816175">
      <w:pPr>
        <w:pStyle w:val="24"/>
        <w:spacing w:line="240" w:lineRule="auto"/>
        <w:ind w:firstLine="643"/>
        <w:jc w:val="center"/>
        <w:rPr>
          <w:rFonts w:ascii="宋体" w:hAnsi="宋体"/>
          <w:b/>
          <w:bCs/>
          <w:sz w:val="32"/>
          <w:szCs w:val="32"/>
          <w:lang w:val="en-US"/>
        </w:rPr>
      </w:pPr>
      <w:r>
        <w:rPr>
          <w:rFonts w:hint="eastAsia" w:ascii="宋体" w:hAnsi="宋体"/>
          <w:b/>
          <w:bCs/>
          <w:sz w:val="32"/>
          <w:szCs w:val="32"/>
        </w:rPr>
        <w:t>江西洪城水业环保有限公司</w:t>
      </w:r>
      <w:r>
        <w:rPr>
          <w:rFonts w:hint="eastAsia" w:ascii="宋体" w:hAnsi="宋体"/>
          <w:b/>
          <w:bCs/>
          <w:color w:val="auto"/>
          <w:sz w:val="32"/>
          <w:szCs w:val="32"/>
          <w:lang w:val="en-US" w:eastAsia="zh-CN"/>
        </w:rPr>
        <w:t>泰和</w:t>
      </w:r>
      <w:r>
        <w:rPr>
          <w:rFonts w:hint="eastAsia" w:ascii="宋体" w:hAnsi="宋体"/>
          <w:b/>
          <w:bCs/>
          <w:sz w:val="32"/>
          <w:szCs w:val="32"/>
        </w:rPr>
        <w:t>分公司自行监测</w:t>
      </w:r>
      <w:r>
        <w:rPr>
          <w:rFonts w:hint="eastAsia" w:ascii="宋体" w:hAnsi="宋体"/>
          <w:b/>
          <w:bCs/>
          <w:sz w:val="32"/>
          <w:szCs w:val="32"/>
          <w:lang w:val="en-US"/>
        </w:rPr>
        <w:t>方案</w:t>
      </w:r>
    </w:p>
    <w:p w14:paraId="36FC0D90">
      <w:pPr>
        <w:pStyle w:val="24"/>
        <w:numPr>
          <w:ilvl w:val="0"/>
          <w:numId w:val="0"/>
        </w:numPr>
        <w:spacing w:line="240" w:lineRule="auto"/>
        <w:jc w:val="both"/>
        <w:outlineLvl w:val="0"/>
        <w:rPr>
          <w:rFonts w:ascii="宋体" w:hAnsi="宋体"/>
          <w:b/>
          <w:bCs/>
          <w:sz w:val="28"/>
          <w:szCs w:val="28"/>
        </w:rPr>
      </w:pPr>
      <w:r>
        <w:rPr>
          <w:rFonts w:hint="eastAsia" w:ascii="宋体" w:hAnsi="宋体"/>
          <w:b/>
          <w:bCs/>
          <w:sz w:val="28"/>
          <w:szCs w:val="28"/>
          <w:lang w:val="en-US" w:eastAsia="zh-CN"/>
        </w:rPr>
        <w:t>一、</w:t>
      </w:r>
      <w:r>
        <w:rPr>
          <w:rFonts w:hint="eastAsia" w:ascii="宋体" w:hAnsi="宋体"/>
          <w:b/>
          <w:bCs/>
          <w:sz w:val="28"/>
          <w:szCs w:val="28"/>
        </w:rPr>
        <w:t>排污单位基本情况</w:t>
      </w:r>
    </w:p>
    <w:p w14:paraId="16769A4B">
      <w:pPr>
        <w:pStyle w:val="24"/>
        <w:spacing w:line="240" w:lineRule="auto"/>
        <w:ind w:left="0" w:leftChars="0" w:firstLine="0" w:firstLineChars="0"/>
        <w:outlineLvl w:val="1"/>
        <w:rPr>
          <w:rFonts w:ascii="宋体" w:hAnsi="宋体"/>
          <w:sz w:val="28"/>
          <w:szCs w:val="28"/>
        </w:rPr>
      </w:pPr>
      <w:r>
        <w:rPr>
          <w:rFonts w:hint="eastAsia" w:ascii="宋体" w:hAnsi="宋体"/>
          <w:sz w:val="28"/>
          <w:szCs w:val="28"/>
        </w:rPr>
        <w:t>1、基本信息</w:t>
      </w:r>
    </w:p>
    <w:tbl>
      <w:tblPr>
        <w:tblStyle w:val="14"/>
        <w:tblpPr w:leftFromText="180" w:rightFromText="180" w:vertAnchor="text" w:horzAnchor="margin" w:tblpY="202"/>
        <w:tblW w:w="86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3"/>
        <w:gridCol w:w="1869"/>
        <w:gridCol w:w="2588"/>
        <w:gridCol w:w="2376"/>
      </w:tblGrid>
      <w:tr w14:paraId="21FD1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884" w:type="dxa"/>
            <w:shd w:val="clear" w:color="auto" w:fill="auto"/>
          </w:tcPr>
          <w:p w14:paraId="330F43CD">
            <w:pPr>
              <w:jc w:val="center"/>
              <w:rPr>
                <w:rFonts w:ascii="宋体" w:hAnsi="宋体" w:eastAsia="宋体" w:cs="宋体"/>
                <w:sz w:val="24"/>
                <w:szCs w:val="24"/>
              </w:rPr>
            </w:pPr>
            <w:r>
              <w:rPr>
                <w:rFonts w:hint="eastAsia" w:ascii="宋体" w:hAnsi="宋体" w:eastAsia="宋体" w:cs="宋体"/>
                <w:sz w:val="24"/>
                <w:szCs w:val="24"/>
              </w:rPr>
              <w:t>法定代表人</w:t>
            </w:r>
          </w:p>
        </w:tc>
        <w:tc>
          <w:tcPr>
            <w:tcW w:w="1935" w:type="dxa"/>
            <w:shd w:val="clear" w:color="auto" w:fill="auto"/>
          </w:tcPr>
          <w:p w14:paraId="340E74CF">
            <w:pPr>
              <w:ind w:firstLine="480" w:firstLineChars="200"/>
              <w:jc w:val="both"/>
              <w:rPr>
                <w:rFonts w:hint="default" w:ascii="宋体" w:hAnsi="宋体" w:eastAsia="宋体" w:cs="宋体"/>
                <w:sz w:val="24"/>
                <w:szCs w:val="24"/>
                <w:lang w:val="en-US" w:eastAsia="zh-CN"/>
              </w:rPr>
            </w:pPr>
            <w:r>
              <w:rPr>
                <w:rFonts w:hint="eastAsia" w:ascii="宋体" w:hAnsi="宋体" w:eastAsia="宋体" w:cs="宋体"/>
                <w:sz w:val="24"/>
                <w:szCs w:val="24"/>
                <w:u w:val="none"/>
                <w:lang w:val="en-US" w:eastAsia="zh-CN"/>
              </w:rPr>
              <w:t>朱兴彪</w:t>
            </w:r>
          </w:p>
        </w:tc>
        <w:tc>
          <w:tcPr>
            <w:tcW w:w="2730" w:type="dxa"/>
            <w:shd w:val="clear" w:color="auto" w:fill="auto"/>
          </w:tcPr>
          <w:p w14:paraId="2B6CF148">
            <w:pPr>
              <w:jc w:val="center"/>
              <w:rPr>
                <w:rFonts w:ascii="宋体" w:hAnsi="宋体" w:eastAsia="宋体" w:cs="宋体"/>
                <w:sz w:val="24"/>
                <w:szCs w:val="24"/>
              </w:rPr>
            </w:pPr>
            <w:r>
              <w:rPr>
                <w:rFonts w:hint="eastAsia" w:ascii="宋体" w:hAnsi="宋体" w:eastAsia="宋体" w:cs="宋体"/>
                <w:sz w:val="24"/>
                <w:szCs w:val="24"/>
              </w:rPr>
              <w:t>企业曾用名</w:t>
            </w:r>
          </w:p>
        </w:tc>
        <w:tc>
          <w:tcPr>
            <w:tcW w:w="2087" w:type="dxa"/>
            <w:shd w:val="clear" w:color="auto" w:fill="auto"/>
          </w:tcPr>
          <w:p w14:paraId="6CB948E6">
            <w:pPr>
              <w:ind w:firstLine="480" w:firstLineChars="200"/>
              <w:jc w:val="center"/>
              <w:rPr>
                <w:rFonts w:ascii="宋体" w:hAnsi="宋体" w:eastAsia="宋体" w:cs="宋体"/>
                <w:sz w:val="24"/>
                <w:szCs w:val="24"/>
              </w:rPr>
            </w:pPr>
          </w:p>
        </w:tc>
      </w:tr>
      <w:tr w14:paraId="53A52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4" w:type="dxa"/>
            <w:shd w:val="clear" w:color="auto" w:fill="auto"/>
          </w:tcPr>
          <w:p w14:paraId="1B2E1638">
            <w:pPr>
              <w:jc w:val="center"/>
              <w:rPr>
                <w:rFonts w:ascii="宋体" w:hAnsi="宋体" w:eastAsia="宋体" w:cs="宋体"/>
                <w:sz w:val="24"/>
                <w:szCs w:val="24"/>
              </w:rPr>
            </w:pPr>
            <w:r>
              <w:rPr>
                <w:rFonts w:hint="eastAsia" w:ascii="宋体" w:hAnsi="宋体" w:eastAsia="宋体" w:cs="宋体"/>
                <w:sz w:val="24"/>
                <w:szCs w:val="24"/>
              </w:rPr>
              <w:t>企业类别</w:t>
            </w:r>
          </w:p>
        </w:tc>
        <w:tc>
          <w:tcPr>
            <w:tcW w:w="1935" w:type="dxa"/>
            <w:shd w:val="clear" w:color="auto" w:fill="auto"/>
          </w:tcPr>
          <w:p w14:paraId="226A5071">
            <w:pPr>
              <w:jc w:val="center"/>
              <w:rPr>
                <w:rFonts w:ascii="宋体" w:hAnsi="宋体" w:eastAsia="宋体" w:cs="宋体"/>
                <w:sz w:val="24"/>
                <w:szCs w:val="24"/>
              </w:rPr>
            </w:pPr>
            <w:r>
              <w:rPr>
                <w:rFonts w:hint="eastAsia" w:ascii="宋体" w:hAnsi="宋体" w:eastAsia="宋体" w:cs="宋体"/>
                <w:sz w:val="24"/>
                <w:szCs w:val="24"/>
              </w:rPr>
              <w:t>废水</w:t>
            </w:r>
          </w:p>
        </w:tc>
        <w:tc>
          <w:tcPr>
            <w:tcW w:w="2730" w:type="dxa"/>
            <w:shd w:val="clear" w:color="auto" w:fill="auto"/>
          </w:tcPr>
          <w:p w14:paraId="556FA0F9">
            <w:pPr>
              <w:jc w:val="center"/>
              <w:rPr>
                <w:rFonts w:ascii="宋体" w:hAnsi="宋体" w:eastAsia="宋体" w:cs="宋体"/>
                <w:sz w:val="24"/>
                <w:szCs w:val="24"/>
              </w:rPr>
            </w:pPr>
            <w:r>
              <w:rPr>
                <w:rFonts w:hint="eastAsia" w:ascii="宋体" w:hAnsi="宋体" w:eastAsia="宋体" w:cs="宋体"/>
                <w:sz w:val="24"/>
                <w:szCs w:val="24"/>
              </w:rPr>
              <w:t>社会信用代码</w:t>
            </w:r>
          </w:p>
        </w:tc>
        <w:tc>
          <w:tcPr>
            <w:tcW w:w="2087" w:type="dxa"/>
            <w:shd w:val="clear" w:color="auto" w:fill="auto"/>
            <w:vAlign w:val="center"/>
          </w:tcPr>
          <w:p w14:paraId="05C38D68">
            <w:pPr>
              <w:jc w:val="center"/>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913608265508745623</w:t>
            </w:r>
          </w:p>
        </w:tc>
      </w:tr>
      <w:tr w14:paraId="42081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4" w:type="dxa"/>
            <w:shd w:val="clear" w:color="auto" w:fill="auto"/>
          </w:tcPr>
          <w:p w14:paraId="0606F1E5">
            <w:pPr>
              <w:jc w:val="center"/>
              <w:rPr>
                <w:rFonts w:ascii="宋体" w:hAnsi="宋体" w:eastAsia="宋体" w:cs="宋体"/>
                <w:sz w:val="24"/>
                <w:szCs w:val="24"/>
              </w:rPr>
            </w:pPr>
            <w:r>
              <w:rPr>
                <w:rFonts w:hint="eastAsia" w:ascii="宋体" w:hAnsi="宋体" w:eastAsia="宋体" w:cs="宋体"/>
                <w:sz w:val="24"/>
                <w:szCs w:val="24"/>
              </w:rPr>
              <w:t>方案审核地址</w:t>
            </w:r>
          </w:p>
        </w:tc>
        <w:tc>
          <w:tcPr>
            <w:tcW w:w="6752" w:type="dxa"/>
            <w:gridSpan w:val="3"/>
            <w:shd w:val="clear" w:color="auto" w:fill="auto"/>
          </w:tcPr>
          <w:p w14:paraId="5F619AFD">
            <w:pPr>
              <w:ind w:firstLine="480" w:firstLineChars="200"/>
              <w:jc w:val="center"/>
              <w:rPr>
                <w:rFonts w:ascii="宋体" w:hAnsi="宋体" w:eastAsia="宋体" w:cs="宋体"/>
                <w:sz w:val="24"/>
                <w:szCs w:val="24"/>
              </w:rPr>
            </w:pPr>
          </w:p>
        </w:tc>
      </w:tr>
      <w:tr w14:paraId="38CAC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4" w:type="dxa"/>
            <w:vMerge w:val="restart"/>
            <w:shd w:val="clear" w:color="auto" w:fill="auto"/>
          </w:tcPr>
          <w:p w14:paraId="2B95BADD">
            <w:pPr>
              <w:jc w:val="center"/>
              <w:rPr>
                <w:rFonts w:ascii="宋体" w:hAnsi="宋体" w:eastAsia="宋体" w:cs="宋体"/>
                <w:sz w:val="24"/>
                <w:szCs w:val="24"/>
              </w:rPr>
            </w:pPr>
            <w:r>
              <w:rPr>
                <w:rFonts w:hint="eastAsia" w:ascii="宋体" w:hAnsi="宋体" w:eastAsia="宋体" w:cs="宋体"/>
                <w:sz w:val="24"/>
                <w:szCs w:val="24"/>
              </w:rPr>
              <w:t>中心经度</w:t>
            </w:r>
          </w:p>
        </w:tc>
        <w:tc>
          <w:tcPr>
            <w:tcW w:w="1935" w:type="dxa"/>
            <w:shd w:val="clear" w:color="auto" w:fill="auto"/>
          </w:tcPr>
          <w:p w14:paraId="5598A7FC">
            <w:pPr>
              <w:jc w:val="center"/>
              <w:rPr>
                <w:rFonts w:ascii="宋体" w:hAnsi="宋体" w:eastAsia="宋体" w:cs="宋体"/>
                <w:sz w:val="24"/>
                <w:szCs w:val="24"/>
              </w:rPr>
            </w:pPr>
            <w:r>
              <w:rPr>
                <w:rFonts w:hint="eastAsia" w:ascii="宋体" w:hAnsi="宋体" w:eastAsia="宋体" w:cs="宋体"/>
                <w:sz w:val="24"/>
                <w:szCs w:val="24"/>
                <w:lang w:val="en-US" w:eastAsia="zh-CN"/>
              </w:rPr>
              <w:t>114</w:t>
            </w:r>
            <w:r>
              <w:rPr>
                <w:rFonts w:hint="eastAsia" w:ascii="宋体" w:hAnsi="宋体" w:eastAsia="宋体" w:cs="宋体"/>
                <w:sz w:val="24"/>
                <w:szCs w:val="24"/>
              </w:rPr>
              <w:t>度</w:t>
            </w:r>
          </w:p>
        </w:tc>
        <w:tc>
          <w:tcPr>
            <w:tcW w:w="2730" w:type="dxa"/>
            <w:vMerge w:val="restart"/>
            <w:shd w:val="clear" w:color="auto" w:fill="auto"/>
          </w:tcPr>
          <w:p w14:paraId="23722B93">
            <w:pPr>
              <w:jc w:val="center"/>
              <w:rPr>
                <w:rFonts w:ascii="宋体" w:hAnsi="宋体" w:eastAsia="宋体" w:cs="宋体"/>
                <w:sz w:val="24"/>
                <w:szCs w:val="24"/>
              </w:rPr>
            </w:pPr>
            <w:r>
              <w:rPr>
                <w:rFonts w:hint="eastAsia" w:ascii="宋体" w:hAnsi="宋体" w:eastAsia="宋体" w:cs="宋体"/>
                <w:sz w:val="24"/>
                <w:szCs w:val="24"/>
              </w:rPr>
              <w:t>中心纬度</w:t>
            </w:r>
          </w:p>
        </w:tc>
        <w:tc>
          <w:tcPr>
            <w:tcW w:w="2087" w:type="dxa"/>
            <w:shd w:val="clear" w:color="auto" w:fill="auto"/>
          </w:tcPr>
          <w:p w14:paraId="77AC4DF1">
            <w:pPr>
              <w:ind w:firstLine="480" w:firstLineChars="200"/>
              <w:jc w:val="center"/>
              <w:rPr>
                <w:rFonts w:ascii="宋体" w:hAnsi="宋体" w:eastAsia="宋体" w:cs="宋体"/>
                <w:sz w:val="24"/>
                <w:szCs w:val="24"/>
              </w:rPr>
            </w:pPr>
            <w:r>
              <w:rPr>
                <w:rFonts w:hint="eastAsia" w:ascii="宋体" w:hAnsi="宋体" w:eastAsia="宋体" w:cs="宋体"/>
                <w:sz w:val="24"/>
                <w:szCs w:val="24"/>
                <w:lang w:val="en-US" w:eastAsia="zh-CN"/>
              </w:rPr>
              <w:t>26</w:t>
            </w:r>
            <w:r>
              <w:rPr>
                <w:rFonts w:hint="eastAsia" w:ascii="宋体" w:hAnsi="宋体" w:eastAsia="宋体" w:cs="宋体"/>
                <w:sz w:val="24"/>
                <w:szCs w:val="24"/>
              </w:rPr>
              <w:t>度</w:t>
            </w:r>
          </w:p>
        </w:tc>
      </w:tr>
      <w:tr w14:paraId="3DC22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4" w:type="dxa"/>
            <w:vMerge w:val="continue"/>
            <w:shd w:val="clear" w:color="auto" w:fill="auto"/>
          </w:tcPr>
          <w:p w14:paraId="3C15733C">
            <w:pPr>
              <w:ind w:firstLine="480" w:firstLineChars="200"/>
              <w:jc w:val="center"/>
              <w:rPr>
                <w:rFonts w:ascii="宋体" w:hAnsi="宋体" w:eastAsia="宋体" w:cs="宋体"/>
                <w:sz w:val="24"/>
                <w:szCs w:val="24"/>
              </w:rPr>
            </w:pPr>
          </w:p>
        </w:tc>
        <w:tc>
          <w:tcPr>
            <w:tcW w:w="1935" w:type="dxa"/>
            <w:shd w:val="clear" w:color="auto" w:fill="auto"/>
          </w:tcPr>
          <w:p w14:paraId="2855828D">
            <w:pPr>
              <w:jc w:val="center"/>
              <w:rPr>
                <w:rFonts w:ascii="宋体" w:hAnsi="宋体" w:eastAsia="宋体" w:cs="宋体"/>
                <w:sz w:val="24"/>
                <w:szCs w:val="24"/>
              </w:rPr>
            </w:pPr>
            <w:r>
              <w:rPr>
                <w:rFonts w:hint="eastAsia" w:ascii="宋体" w:hAnsi="宋体" w:eastAsia="宋体" w:cs="宋体"/>
                <w:sz w:val="24"/>
                <w:szCs w:val="24"/>
                <w:lang w:val="en-US" w:eastAsia="zh-CN"/>
              </w:rPr>
              <w:t>56</w:t>
            </w:r>
            <w:r>
              <w:rPr>
                <w:rFonts w:hint="eastAsia" w:ascii="宋体" w:hAnsi="宋体" w:eastAsia="宋体" w:cs="宋体"/>
                <w:sz w:val="24"/>
                <w:szCs w:val="24"/>
              </w:rPr>
              <w:t>分</w:t>
            </w:r>
          </w:p>
        </w:tc>
        <w:tc>
          <w:tcPr>
            <w:tcW w:w="2730" w:type="dxa"/>
            <w:vMerge w:val="continue"/>
            <w:shd w:val="clear" w:color="auto" w:fill="auto"/>
          </w:tcPr>
          <w:p w14:paraId="2FCE89F4">
            <w:pPr>
              <w:ind w:firstLine="480" w:firstLineChars="200"/>
              <w:jc w:val="center"/>
              <w:rPr>
                <w:rFonts w:ascii="宋体" w:hAnsi="宋体" w:eastAsia="宋体" w:cs="宋体"/>
                <w:sz w:val="24"/>
                <w:szCs w:val="24"/>
              </w:rPr>
            </w:pPr>
          </w:p>
        </w:tc>
        <w:tc>
          <w:tcPr>
            <w:tcW w:w="2087" w:type="dxa"/>
            <w:shd w:val="clear" w:color="auto" w:fill="auto"/>
          </w:tcPr>
          <w:p w14:paraId="7F7B2F6E">
            <w:pPr>
              <w:ind w:firstLine="480" w:firstLineChars="200"/>
              <w:jc w:val="center"/>
              <w:rPr>
                <w:rFonts w:ascii="宋体" w:hAnsi="宋体" w:eastAsia="宋体" w:cs="宋体"/>
                <w:sz w:val="24"/>
                <w:szCs w:val="24"/>
              </w:rPr>
            </w:pPr>
            <w:r>
              <w:rPr>
                <w:rFonts w:hint="eastAsia" w:ascii="宋体" w:hAnsi="宋体" w:eastAsia="宋体" w:cs="宋体"/>
                <w:sz w:val="24"/>
                <w:szCs w:val="24"/>
                <w:lang w:val="en-US" w:eastAsia="zh-CN"/>
              </w:rPr>
              <w:t>48</w:t>
            </w:r>
            <w:r>
              <w:rPr>
                <w:rFonts w:hint="eastAsia" w:ascii="宋体" w:hAnsi="宋体" w:eastAsia="宋体" w:cs="宋体"/>
                <w:sz w:val="24"/>
                <w:szCs w:val="24"/>
              </w:rPr>
              <w:t>分</w:t>
            </w:r>
          </w:p>
        </w:tc>
      </w:tr>
      <w:tr w14:paraId="7424D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4" w:type="dxa"/>
            <w:vMerge w:val="continue"/>
            <w:shd w:val="clear" w:color="auto" w:fill="auto"/>
          </w:tcPr>
          <w:p w14:paraId="7CCB59C3">
            <w:pPr>
              <w:ind w:firstLine="480" w:firstLineChars="200"/>
              <w:jc w:val="center"/>
              <w:rPr>
                <w:rFonts w:ascii="宋体" w:hAnsi="宋体" w:eastAsia="宋体" w:cs="宋体"/>
                <w:sz w:val="24"/>
                <w:szCs w:val="24"/>
              </w:rPr>
            </w:pPr>
          </w:p>
        </w:tc>
        <w:tc>
          <w:tcPr>
            <w:tcW w:w="1935" w:type="dxa"/>
            <w:shd w:val="clear" w:color="auto" w:fill="auto"/>
          </w:tcPr>
          <w:p w14:paraId="49D2F912">
            <w:pPr>
              <w:jc w:val="center"/>
              <w:rPr>
                <w:rFonts w:ascii="宋体" w:hAnsi="宋体" w:eastAsia="宋体" w:cs="宋体"/>
                <w:sz w:val="24"/>
                <w:szCs w:val="24"/>
              </w:rPr>
            </w:pPr>
            <w:r>
              <w:rPr>
                <w:rFonts w:hint="eastAsia" w:ascii="宋体" w:hAnsi="宋体" w:eastAsia="宋体" w:cs="宋体"/>
                <w:sz w:val="24"/>
                <w:szCs w:val="24"/>
                <w:lang w:val="en-US" w:eastAsia="zh-CN"/>
              </w:rPr>
              <w:t>58.13</w:t>
            </w:r>
            <w:r>
              <w:rPr>
                <w:rFonts w:hint="eastAsia" w:ascii="宋体" w:hAnsi="宋体" w:eastAsia="宋体" w:cs="宋体"/>
                <w:sz w:val="24"/>
                <w:szCs w:val="24"/>
              </w:rPr>
              <w:t>秒</w:t>
            </w:r>
          </w:p>
        </w:tc>
        <w:tc>
          <w:tcPr>
            <w:tcW w:w="2730" w:type="dxa"/>
            <w:vMerge w:val="continue"/>
            <w:shd w:val="clear" w:color="auto" w:fill="auto"/>
          </w:tcPr>
          <w:p w14:paraId="663B0929">
            <w:pPr>
              <w:ind w:firstLine="480" w:firstLineChars="200"/>
              <w:jc w:val="center"/>
              <w:rPr>
                <w:rFonts w:ascii="宋体" w:hAnsi="宋体" w:eastAsia="宋体" w:cs="宋体"/>
                <w:sz w:val="24"/>
                <w:szCs w:val="24"/>
              </w:rPr>
            </w:pPr>
          </w:p>
        </w:tc>
        <w:tc>
          <w:tcPr>
            <w:tcW w:w="2087" w:type="dxa"/>
            <w:shd w:val="clear" w:color="auto" w:fill="auto"/>
          </w:tcPr>
          <w:p w14:paraId="2599A9C2">
            <w:pPr>
              <w:ind w:firstLine="480" w:firstLineChars="200"/>
              <w:jc w:val="center"/>
              <w:rPr>
                <w:rFonts w:ascii="宋体" w:hAnsi="宋体" w:eastAsia="宋体" w:cs="宋体"/>
                <w:sz w:val="24"/>
                <w:szCs w:val="24"/>
              </w:rPr>
            </w:pPr>
            <w:r>
              <w:rPr>
                <w:rFonts w:hint="eastAsia" w:ascii="宋体" w:hAnsi="宋体" w:eastAsia="宋体" w:cs="宋体"/>
                <w:sz w:val="24"/>
                <w:szCs w:val="24"/>
                <w:lang w:val="en-US" w:eastAsia="zh-CN"/>
              </w:rPr>
              <w:t>23.9</w:t>
            </w:r>
            <w:r>
              <w:rPr>
                <w:rFonts w:hint="eastAsia" w:ascii="宋体" w:hAnsi="宋体" w:eastAsia="宋体" w:cs="宋体"/>
                <w:sz w:val="24"/>
                <w:szCs w:val="24"/>
              </w:rPr>
              <w:t>秒</w:t>
            </w:r>
          </w:p>
        </w:tc>
      </w:tr>
      <w:tr w14:paraId="68C11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4" w:type="dxa"/>
            <w:shd w:val="clear" w:color="auto" w:fill="auto"/>
          </w:tcPr>
          <w:p w14:paraId="2F0F5BDC">
            <w:pPr>
              <w:jc w:val="center"/>
              <w:rPr>
                <w:rFonts w:ascii="宋体" w:hAnsi="宋体" w:eastAsia="宋体" w:cs="宋体"/>
                <w:sz w:val="24"/>
                <w:szCs w:val="24"/>
              </w:rPr>
            </w:pPr>
            <w:r>
              <w:rPr>
                <w:rFonts w:hint="eastAsia" w:ascii="宋体" w:hAnsi="宋体" w:eastAsia="宋体" w:cs="宋体"/>
                <w:sz w:val="24"/>
                <w:szCs w:val="24"/>
              </w:rPr>
              <w:t>联系人</w:t>
            </w:r>
          </w:p>
        </w:tc>
        <w:tc>
          <w:tcPr>
            <w:tcW w:w="1935" w:type="dxa"/>
            <w:shd w:val="clear" w:color="auto" w:fill="auto"/>
            <w:vAlign w:val="center"/>
          </w:tcPr>
          <w:p w14:paraId="3FE5F071">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朱兴彪</w:t>
            </w:r>
          </w:p>
        </w:tc>
        <w:tc>
          <w:tcPr>
            <w:tcW w:w="2730" w:type="dxa"/>
            <w:shd w:val="clear" w:color="auto" w:fill="auto"/>
            <w:vAlign w:val="center"/>
          </w:tcPr>
          <w:p w14:paraId="1B52C2FE">
            <w:pPr>
              <w:jc w:val="center"/>
              <w:rPr>
                <w:rFonts w:ascii="宋体" w:hAnsi="宋体" w:eastAsia="宋体" w:cs="宋体"/>
                <w:kern w:val="2"/>
                <w:sz w:val="24"/>
                <w:szCs w:val="24"/>
                <w:lang w:val="en-US" w:eastAsia="zh-CN" w:bidi="ar-SA"/>
              </w:rPr>
            </w:pPr>
            <w:r>
              <w:rPr>
                <w:rFonts w:hint="eastAsia" w:ascii="宋体" w:hAnsi="宋体" w:eastAsia="宋体" w:cs="宋体"/>
                <w:sz w:val="24"/>
                <w:szCs w:val="24"/>
              </w:rPr>
              <w:t>电话号码</w:t>
            </w:r>
          </w:p>
        </w:tc>
        <w:tc>
          <w:tcPr>
            <w:tcW w:w="2087" w:type="dxa"/>
            <w:shd w:val="clear" w:color="auto" w:fill="auto"/>
            <w:vAlign w:val="center"/>
          </w:tcPr>
          <w:p w14:paraId="4AF2FC6C">
            <w:pPr>
              <w:jc w:val="center"/>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13698463405</w:t>
            </w:r>
          </w:p>
        </w:tc>
      </w:tr>
      <w:tr w14:paraId="7855F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4" w:type="dxa"/>
            <w:shd w:val="clear" w:color="auto" w:fill="auto"/>
          </w:tcPr>
          <w:p w14:paraId="5EE20CB7">
            <w:pPr>
              <w:jc w:val="center"/>
              <w:rPr>
                <w:rFonts w:ascii="宋体" w:hAnsi="宋体" w:eastAsia="宋体" w:cs="宋体"/>
                <w:sz w:val="24"/>
                <w:szCs w:val="24"/>
              </w:rPr>
            </w:pPr>
            <w:r>
              <w:rPr>
                <w:rFonts w:hint="eastAsia" w:ascii="宋体" w:hAnsi="宋体" w:eastAsia="宋体" w:cs="宋体"/>
                <w:sz w:val="24"/>
                <w:szCs w:val="24"/>
              </w:rPr>
              <w:t>传真号码</w:t>
            </w:r>
          </w:p>
        </w:tc>
        <w:tc>
          <w:tcPr>
            <w:tcW w:w="1935" w:type="dxa"/>
            <w:shd w:val="clear" w:color="auto" w:fill="auto"/>
          </w:tcPr>
          <w:p w14:paraId="0C6DAD64">
            <w:pPr>
              <w:ind w:firstLine="480" w:firstLineChars="200"/>
              <w:jc w:val="center"/>
              <w:rPr>
                <w:rFonts w:ascii="宋体" w:hAnsi="宋体" w:eastAsia="宋体" w:cs="宋体"/>
                <w:sz w:val="24"/>
                <w:szCs w:val="24"/>
              </w:rPr>
            </w:pPr>
          </w:p>
        </w:tc>
        <w:tc>
          <w:tcPr>
            <w:tcW w:w="2730" w:type="dxa"/>
            <w:shd w:val="clear" w:color="auto" w:fill="auto"/>
          </w:tcPr>
          <w:p w14:paraId="69CEDB35">
            <w:pPr>
              <w:jc w:val="center"/>
              <w:rPr>
                <w:rFonts w:ascii="宋体" w:hAnsi="宋体" w:eastAsia="宋体" w:cs="宋体"/>
                <w:sz w:val="24"/>
                <w:szCs w:val="24"/>
              </w:rPr>
            </w:pPr>
            <w:r>
              <w:rPr>
                <w:rFonts w:hint="eastAsia" w:ascii="宋体" w:hAnsi="宋体" w:eastAsia="宋体" w:cs="宋体"/>
                <w:sz w:val="24"/>
                <w:szCs w:val="24"/>
              </w:rPr>
              <w:t>邮编</w:t>
            </w:r>
          </w:p>
        </w:tc>
        <w:tc>
          <w:tcPr>
            <w:tcW w:w="2087" w:type="dxa"/>
            <w:shd w:val="clear" w:color="auto" w:fill="auto"/>
          </w:tcPr>
          <w:p w14:paraId="4B02C8AF">
            <w:pPr>
              <w:ind w:firstLine="480" w:firstLineChars="200"/>
              <w:jc w:val="center"/>
              <w:rPr>
                <w:rFonts w:ascii="宋体" w:hAnsi="宋体" w:eastAsia="宋体" w:cs="宋体"/>
                <w:sz w:val="24"/>
                <w:szCs w:val="24"/>
              </w:rPr>
            </w:pPr>
          </w:p>
        </w:tc>
      </w:tr>
      <w:tr w14:paraId="1F9B0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4" w:type="dxa"/>
            <w:shd w:val="clear" w:color="auto" w:fill="auto"/>
          </w:tcPr>
          <w:p w14:paraId="5CB03A3A">
            <w:pPr>
              <w:jc w:val="center"/>
              <w:rPr>
                <w:rFonts w:ascii="宋体" w:hAnsi="宋体" w:eastAsia="宋体" w:cs="宋体"/>
                <w:sz w:val="24"/>
                <w:szCs w:val="24"/>
              </w:rPr>
            </w:pPr>
            <w:r>
              <w:rPr>
                <w:rFonts w:hint="eastAsia" w:ascii="宋体" w:hAnsi="宋体" w:eastAsia="宋体" w:cs="宋体"/>
                <w:sz w:val="24"/>
                <w:szCs w:val="24"/>
              </w:rPr>
              <w:t>是否为VOC企业</w:t>
            </w:r>
          </w:p>
        </w:tc>
        <w:tc>
          <w:tcPr>
            <w:tcW w:w="1935" w:type="dxa"/>
            <w:shd w:val="clear" w:color="auto" w:fill="auto"/>
          </w:tcPr>
          <w:p w14:paraId="26707EB6">
            <w:pPr>
              <w:jc w:val="center"/>
              <w:rPr>
                <w:rFonts w:ascii="宋体" w:hAnsi="宋体" w:eastAsia="宋体" w:cs="宋体"/>
                <w:sz w:val="24"/>
                <w:szCs w:val="24"/>
              </w:rPr>
            </w:pPr>
            <w:r>
              <w:rPr>
                <w:rFonts w:hint="eastAsia" w:ascii="宋体" w:hAnsi="宋体" w:eastAsia="宋体" w:cs="宋体"/>
                <w:sz w:val="24"/>
                <w:szCs w:val="24"/>
              </w:rPr>
              <w:t>否</w:t>
            </w:r>
          </w:p>
        </w:tc>
        <w:tc>
          <w:tcPr>
            <w:tcW w:w="2730" w:type="dxa"/>
            <w:shd w:val="clear" w:color="auto" w:fill="auto"/>
          </w:tcPr>
          <w:p w14:paraId="5EC4CA2D">
            <w:pPr>
              <w:jc w:val="center"/>
              <w:rPr>
                <w:rFonts w:ascii="宋体" w:hAnsi="宋体" w:eastAsia="宋体" w:cs="宋体"/>
                <w:sz w:val="24"/>
                <w:szCs w:val="24"/>
              </w:rPr>
            </w:pPr>
            <w:r>
              <w:rPr>
                <w:rFonts w:hint="eastAsia" w:ascii="宋体" w:hAnsi="宋体" w:eastAsia="宋体" w:cs="宋体"/>
                <w:sz w:val="24"/>
                <w:szCs w:val="24"/>
              </w:rPr>
              <w:t>自行监测开展方式</w:t>
            </w:r>
          </w:p>
        </w:tc>
        <w:tc>
          <w:tcPr>
            <w:tcW w:w="2087" w:type="dxa"/>
            <w:shd w:val="clear" w:color="auto" w:fill="auto"/>
          </w:tcPr>
          <w:p w14:paraId="7641559C">
            <w:pPr>
              <w:jc w:val="center"/>
              <w:rPr>
                <w:rFonts w:ascii="宋体" w:hAnsi="宋体" w:eastAsia="宋体" w:cs="宋体"/>
                <w:sz w:val="24"/>
                <w:szCs w:val="24"/>
              </w:rPr>
            </w:pPr>
            <w:r>
              <w:rPr>
                <w:rFonts w:hint="eastAsia" w:ascii="宋体" w:hAnsi="宋体" w:eastAsia="宋体" w:cs="宋体"/>
                <w:sz w:val="24"/>
                <w:szCs w:val="24"/>
              </w:rPr>
              <w:t>手工+自动+委托监测</w:t>
            </w:r>
          </w:p>
        </w:tc>
      </w:tr>
      <w:tr w14:paraId="76C70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4" w:type="dxa"/>
            <w:shd w:val="clear" w:color="auto" w:fill="auto"/>
          </w:tcPr>
          <w:p w14:paraId="34FC1579">
            <w:pPr>
              <w:jc w:val="center"/>
              <w:rPr>
                <w:rFonts w:ascii="宋体" w:hAnsi="宋体" w:eastAsia="宋体" w:cs="宋体"/>
                <w:sz w:val="24"/>
                <w:szCs w:val="24"/>
              </w:rPr>
            </w:pPr>
            <w:r>
              <w:rPr>
                <w:rFonts w:hint="eastAsia" w:ascii="宋体" w:hAnsi="宋体" w:eastAsia="宋体" w:cs="宋体"/>
                <w:sz w:val="24"/>
                <w:szCs w:val="24"/>
              </w:rPr>
              <w:t>行业类别</w:t>
            </w:r>
          </w:p>
        </w:tc>
        <w:tc>
          <w:tcPr>
            <w:tcW w:w="1935" w:type="dxa"/>
            <w:shd w:val="clear" w:color="auto" w:fill="auto"/>
          </w:tcPr>
          <w:p w14:paraId="61432058">
            <w:pPr>
              <w:jc w:val="center"/>
              <w:rPr>
                <w:rFonts w:ascii="宋体" w:hAnsi="宋体" w:eastAsia="宋体" w:cs="宋体"/>
                <w:sz w:val="24"/>
                <w:szCs w:val="24"/>
              </w:rPr>
            </w:pPr>
            <w:r>
              <w:rPr>
                <w:rFonts w:hint="eastAsia" w:ascii="宋体" w:hAnsi="宋体" w:eastAsia="宋体" w:cs="宋体"/>
                <w:sz w:val="24"/>
                <w:szCs w:val="24"/>
              </w:rPr>
              <w:t>污水处理及其再生利用</w:t>
            </w:r>
          </w:p>
        </w:tc>
        <w:tc>
          <w:tcPr>
            <w:tcW w:w="2730" w:type="dxa"/>
            <w:shd w:val="clear" w:color="auto" w:fill="auto"/>
          </w:tcPr>
          <w:p w14:paraId="454010E9">
            <w:pPr>
              <w:jc w:val="center"/>
              <w:rPr>
                <w:rFonts w:ascii="宋体" w:hAnsi="宋体" w:eastAsia="宋体" w:cs="宋体"/>
                <w:sz w:val="24"/>
                <w:szCs w:val="24"/>
              </w:rPr>
            </w:pPr>
            <w:r>
              <w:rPr>
                <w:rFonts w:hint="eastAsia" w:ascii="宋体" w:hAnsi="宋体" w:eastAsia="宋体" w:cs="宋体"/>
                <w:sz w:val="24"/>
                <w:szCs w:val="24"/>
              </w:rPr>
              <w:t>行业代码</w:t>
            </w:r>
          </w:p>
        </w:tc>
        <w:tc>
          <w:tcPr>
            <w:tcW w:w="2087" w:type="dxa"/>
            <w:shd w:val="clear" w:color="auto" w:fill="auto"/>
          </w:tcPr>
          <w:p w14:paraId="5097667A">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D</w:t>
            </w:r>
            <w:r>
              <w:rPr>
                <w:rFonts w:hint="eastAsia" w:ascii="宋体" w:hAnsi="宋体" w:eastAsia="宋体" w:cs="宋体"/>
                <w:color w:val="auto"/>
                <w:sz w:val="24"/>
                <w:szCs w:val="24"/>
                <w:highlight w:val="none"/>
              </w:rPr>
              <w:t>4620</w:t>
            </w:r>
          </w:p>
          <w:p w14:paraId="2C80A540">
            <w:pPr>
              <w:jc w:val="center"/>
              <w:rPr>
                <w:rFonts w:ascii="宋体" w:hAnsi="宋体" w:eastAsia="宋体" w:cs="宋体"/>
                <w:sz w:val="24"/>
                <w:szCs w:val="24"/>
              </w:rPr>
            </w:pPr>
          </w:p>
        </w:tc>
      </w:tr>
      <w:tr w14:paraId="61BB9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884" w:type="dxa"/>
            <w:shd w:val="clear" w:color="auto" w:fill="auto"/>
          </w:tcPr>
          <w:p w14:paraId="5DF5A0E7">
            <w:pPr>
              <w:jc w:val="center"/>
              <w:rPr>
                <w:rFonts w:ascii="宋体" w:hAnsi="宋体" w:eastAsia="宋体" w:cs="宋体"/>
                <w:sz w:val="24"/>
                <w:szCs w:val="24"/>
              </w:rPr>
            </w:pPr>
            <w:r>
              <w:rPr>
                <w:rFonts w:hint="eastAsia" w:ascii="宋体" w:hAnsi="宋体" w:eastAsia="宋体" w:cs="宋体"/>
                <w:sz w:val="24"/>
                <w:szCs w:val="24"/>
              </w:rPr>
              <w:t>设计规模</w:t>
            </w:r>
          </w:p>
        </w:tc>
        <w:tc>
          <w:tcPr>
            <w:tcW w:w="1935" w:type="dxa"/>
            <w:shd w:val="clear" w:color="auto" w:fill="auto"/>
            <w:vAlign w:val="center"/>
          </w:tcPr>
          <w:p w14:paraId="486284F6">
            <w:pPr>
              <w:jc w:val="center"/>
              <w:rPr>
                <w:rFonts w:ascii="宋体" w:hAnsi="宋体" w:eastAsia="宋体" w:cs="宋体"/>
                <w:sz w:val="24"/>
                <w:szCs w:val="24"/>
              </w:rPr>
            </w:pPr>
            <w:r>
              <w:rPr>
                <w:rFonts w:hint="eastAsia" w:ascii="宋体" w:hAnsi="宋体" w:eastAsia="宋体" w:cs="宋体"/>
                <w:sz w:val="24"/>
                <w:szCs w:val="24"/>
                <w:lang w:val="en-US" w:eastAsia="zh-CN"/>
              </w:rPr>
              <w:t>3万吨/日</w:t>
            </w:r>
          </w:p>
        </w:tc>
        <w:tc>
          <w:tcPr>
            <w:tcW w:w="2730" w:type="dxa"/>
            <w:shd w:val="clear" w:color="auto" w:fill="auto"/>
            <w:vAlign w:val="center"/>
          </w:tcPr>
          <w:p w14:paraId="41D32EB3">
            <w:pPr>
              <w:jc w:val="center"/>
              <w:rPr>
                <w:rFonts w:ascii="宋体" w:hAnsi="宋体" w:eastAsia="宋体" w:cs="宋体"/>
                <w:sz w:val="24"/>
                <w:szCs w:val="24"/>
              </w:rPr>
            </w:pPr>
            <w:r>
              <w:rPr>
                <w:rFonts w:hint="eastAsia" w:ascii="宋体" w:hAnsi="宋体" w:eastAsia="宋体" w:cs="宋体"/>
                <w:sz w:val="24"/>
                <w:szCs w:val="24"/>
              </w:rPr>
              <w:t>服务范围</w:t>
            </w:r>
          </w:p>
        </w:tc>
        <w:tc>
          <w:tcPr>
            <w:tcW w:w="2087" w:type="dxa"/>
            <w:shd w:val="clear" w:color="auto" w:fill="auto"/>
            <w:vAlign w:val="center"/>
          </w:tcPr>
          <w:p w14:paraId="15EF94C2">
            <w:pPr>
              <w:jc w:val="center"/>
              <w:rPr>
                <w:rFonts w:ascii="宋体" w:hAnsi="宋体" w:eastAsia="宋体" w:cs="宋体"/>
                <w:sz w:val="24"/>
                <w:szCs w:val="24"/>
              </w:rPr>
            </w:pPr>
            <w:r>
              <w:rPr>
                <w:rFonts w:hint="eastAsia" w:ascii="宋体" w:hAnsi="宋体" w:eastAsia="宋体" w:cs="宋体"/>
                <w:sz w:val="24"/>
                <w:szCs w:val="24"/>
                <w:lang w:val="en-US" w:eastAsia="zh-CN"/>
              </w:rPr>
              <w:t>泰和县主城区</w:t>
            </w:r>
          </w:p>
        </w:tc>
      </w:tr>
      <w:tr w14:paraId="269CC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884" w:type="dxa"/>
            <w:shd w:val="clear" w:color="auto" w:fill="auto"/>
          </w:tcPr>
          <w:p w14:paraId="303795F6">
            <w:pPr>
              <w:shd w:val="clea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排污方式</w:t>
            </w:r>
          </w:p>
        </w:tc>
        <w:tc>
          <w:tcPr>
            <w:tcW w:w="1935" w:type="dxa"/>
            <w:shd w:val="clear" w:color="auto" w:fill="auto"/>
            <w:vAlign w:val="center"/>
          </w:tcPr>
          <w:p w14:paraId="04511A7A">
            <w:pPr>
              <w:shd w:val="clea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连续排放</w:t>
            </w:r>
          </w:p>
        </w:tc>
        <w:tc>
          <w:tcPr>
            <w:tcW w:w="2730" w:type="dxa"/>
            <w:shd w:val="clear" w:color="auto" w:fill="auto"/>
            <w:vAlign w:val="center"/>
          </w:tcPr>
          <w:p w14:paraId="0E5D5C07">
            <w:pPr>
              <w:shd w:val="clea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受纳水体</w:t>
            </w:r>
          </w:p>
        </w:tc>
        <w:tc>
          <w:tcPr>
            <w:tcW w:w="2087" w:type="dxa"/>
            <w:shd w:val="clear" w:color="auto" w:fill="auto"/>
            <w:vAlign w:val="center"/>
          </w:tcPr>
          <w:p w14:paraId="4B483A36">
            <w:pPr>
              <w:shd w:val="clea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赣江</w:t>
            </w:r>
          </w:p>
        </w:tc>
      </w:tr>
      <w:tr w14:paraId="4A3E3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4" w:type="dxa"/>
            <w:shd w:val="clear" w:color="auto" w:fill="auto"/>
          </w:tcPr>
          <w:p w14:paraId="1E57311C">
            <w:pPr>
              <w:shd w:val="clea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技术负责人</w:t>
            </w:r>
          </w:p>
        </w:tc>
        <w:tc>
          <w:tcPr>
            <w:tcW w:w="1935" w:type="dxa"/>
            <w:shd w:val="clear" w:color="auto" w:fill="auto"/>
          </w:tcPr>
          <w:p w14:paraId="0E2F6D0C">
            <w:pPr>
              <w:shd w:val="clear"/>
              <w:ind w:firstLine="480" w:firstLineChars="20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胡凌志</w:t>
            </w:r>
          </w:p>
        </w:tc>
        <w:tc>
          <w:tcPr>
            <w:tcW w:w="2730" w:type="dxa"/>
            <w:shd w:val="clear" w:color="auto" w:fill="auto"/>
          </w:tcPr>
          <w:p w14:paraId="1D12A91F">
            <w:pPr>
              <w:shd w:val="clea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数据公开时限</w:t>
            </w:r>
          </w:p>
        </w:tc>
        <w:tc>
          <w:tcPr>
            <w:tcW w:w="2087" w:type="dxa"/>
            <w:shd w:val="clear" w:color="auto" w:fill="auto"/>
            <w:vAlign w:val="center"/>
          </w:tcPr>
          <w:p w14:paraId="7F39A349">
            <w:pPr>
              <w:shd w:val="clear"/>
              <w:jc w:val="center"/>
              <w:rPr>
                <w:rFonts w:ascii="宋体" w:hAnsi="宋体" w:eastAsia="宋体" w:cs="宋体"/>
                <w:b/>
                <w:bCs/>
                <w:color w:val="auto"/>
                <w:sz w:val="32"/>
                <w:szCs w:val="32"/>
                <w:highlight w:val="none"/>
              </w:rPr>
            </w:pPr>
            <w:r>
              <w:rPr>
                <w:rFonts w:hint="eastAsia" w:ascii="宋体" w:hAnsi="宋体" w:eastAsia="宋体" w:cs="宋体"/>
                <w:color w:val="auto"/>
                <w:sz w:val="24"/>
                <w:szCs w:val="24"/>
                <w:highlight w:val="none"/>
              </w:rPr>
              <w:t>手工：收到报告后的次日；自动：实时</w:t>
            </w:r>
          </w:p>
        </w:tc>
      </w:tr>
    </w:tbl>
    <w:p w14:paraId="14DCAEB8">
      <w:pPr>
        <w:pStyle w:val="24"/>
        <w:shd w:val="clear"/>
        <w:spacing w:line="240" w:lineRule="auto"/>
        <w:ind w:firstLine="560"/>
        <w:outlineLvl w:val="1"/>
        <w:rPr>
          <w:rFonts w:hint="eastAsia" w:ascii="宋体" w:hAnsi="宋体"/>
          <w:color w:val="auto"/>
          <w:sz w:val="28"/>
          <w:szCs w:val="28"/>
          <w:highlight w:val="none"/>
        </w:rPr>
      </w:pPr>
    </w:p>
    <w:p w14:paraId="580AE0E6">
      <w:pPr>
        <w:pStyle w:val="24"/>
        <w:shd w:val="clear"/>
        <w:spacing w:line="240" w:lineRule="auto"/>
        <w:ind w:firstLine="560"/>
        <w:outlineLvl w:val="1"/>
        <w:rPr>
          <w:rFonts w:ascii="宋体" w:hAnsi="宋体"/>
          <w:sz w:val="28"/>
          <w:szCs w:val="28"/>
        </w:rPr>
      </w:pPr>
      <w:r>
        <w:rPr>
          <w:rFonts w:hint="eastAsia" w:ascii="宋体" w:hAnsi="宋体"/>
          <w:color w:val="auto"/>
          <w:sz w:val="28"/>
          <w:szCs w:val="28"/>
          <w:highlight w:val="none"/>
        </w:rPr>
        <w:t>2、污染物产生情况（按环评文件进行填写）</w:t>
      </w:r>
    </w:p>
    <w:tbl>
      <w:tblPr>
        <w:tblStyle w:val="14"/>
        <w:tblW w:w="86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
        <w:gridCol w:w="7757"/>
      </w:tblGrid>
      <w:tr w14:paraId="50F87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6" w:type="dxa"/>
            <w:shd w:val="clear" w:color="auto" w:fill="auto"/>
          </w:tcPr>
          <w:p w14:paraId="51D6C827">
            <w:pPr>
              <w:jc w:val="left"/>
              <w:rPr>
                <w:rFonts w:ascii="宋体" w:hAnsi="宋体" w:eastAsia="宋体" w:cs="宋体"/>
                <w:sz w:val="24"/>
                <w:szCs w:val="24"/>
              </w:rPr>
            </w:pPr>
            <w:r>
              <w:rPr>
                <w:rFonts w:hint="eastAsia" w:ascii="宋体" w:hAnsi="宋体" w:eastAsia="宋体" w:cs="宋体"/>
                <w:sz w:val="24"/>
                <w:szCs w:val="24"/>
              </w:rPr>
              <w:t>废水</w:t>
            </w:r>
          </w:p>
        </w:tc>
        <w:tc>
          <w:tcPr>
            <w:tcW w:w="7757" w:type="dxa"/>
            <w:shd w:val="clear" w:color="auto" w:fill="auto"/>
            <w:vAlign w:val="top"/>
          </w:tcPr>
          <w:p w14:paraId="363FA601">
            <w:pPr>
              <w:keepNext w:val="0"/>
              <w:keepLines w:val="0"/>
              <w:pageBreakBefore w:val="0"/>
              <w:kinsoku/>
              <w:wordWrap/>
              <w:overflowPunct/>
              <w:topLinePunct w:val="0"/>
              <w:autoSpaceDE/>
              <w:autoSpaceDN/>
              <w:bidi w:val="0"/>
              <w:spacing w:line="240" w:lineRule="auto"/>
              <w:jc w:val="left"/>
              <w:rPr>
                <w:rFonts w:ascii="宋体" w:hAnsi="宋体" w:eastAsia="宋体" w:cs="宋体"/>
                <w:sz w:val="24"/>
                <w:szCs w:val="24"/>
              </w:rPr>
            </w:pPr>
            <w:r>
              <w:rPr>
                <w:rFonts w:hint="eastAsia" w:ascii="宋体" w:hAnsi="宋体" w:eastAsia="宋体" w:cs="宋体"/>
                <w:sz w:val="24"/>
                <w:szCs w:val="24"/>
              </w:rPr>
              <w:t>处</w:t>
            </w:r>
            <w:r>
              <w:rPr>
                <w:rFonts w:hint="eastAsia" w:ascii="宋体" w:hAnsi="宋体" w:eastAsia="宋体" w:cs="宋体"/>
                <w:color w:val="auto"/>
                <w:sz w:val="24"/>
                <w:szCs w:val="24"/>
                <w:highlight w:val="none"/>
                <w:shd w:val="clear"/>
              </w:rPr>
              <w:t>理城镇生活管网收集的负荷相关接管标准的生活污水，脱泥压滤产生的少量污水回流至厂区提升泵房，进行处理。出水排至（</w:t>
            </w:r>
            <w:r>
              <w:rPr>
                <w:rFonts w:hint="eastAsia" w:ascii="宋体" w:hAnsi="宋体" w:eastAsia="宋体" w:cs="宋体"/>
                <w:color w:val="auto"/>
                <w:sz w:val="24"/>
                <w:szCs w:val="24"/>
                <w:highlight w:val="none"/>
                <w:shd w:val="clear"/>
                <w:lang w:val="en-US" w:eastAsia="zh-CN"/>
              </w:rPr>
              <w:t>赣江</w:t>
            </w:r>
            <w:r>
              <w:rPr>
                <w:rFonts w:hint="eastAsia" w:ascii="宋体" w:hAnsi="宋体" w:eastAsia="宋体" w:cs="宋体"/>
                <w:color w:val="auto"/>
                <w:sz w:val="24"/>
                <w:szCs w:val="24"/>
                <w:highlight w:val="none"/>
                <w:shd w:val="clear"/>
              </w:rPr>
              <w:t>），出水执行《城镇污水处理厂污染物排放标准》（GB18918-2002）一级A</w:t>
            </w:r>
            <w:r>
              <w:rPr>
                <w:rFonts w:hint="eastAsia" w:ascii="宋体" w:hAnsi="宋体" w:eastAsia="宋体" w:cs="宋体"/>
                <w:sz w:val="24"/>
                <w:szCs w:val="24"/>
              </w:rPr>
              <w:t>标准排放。</w:t>
            </w:r>
          </w:p>
        </w:tc>
      </w:tr>
      <w:tr w14:paraId="7E804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shd w:val="clear" w:color="auto" w:fill="auto"/>
          </w:tcPr>
          <w:p w14:paraId="1319AF22">
            <w:pPr>
              <w:jc w:val="left"/>
              <w:rPr>
                <w:rFonts w:ascii="宋体" w:hAnsi="宋体" w:eastAsia="宋体" w:cs="宋体"/>
                <w:sz w:val="24"/>
                <w:szCs w:val="24"/>
              </w:rPr>
            </w:pPr>
            <w:r>
              <w:rPr>
                <w:rFonts w:hint="eastAsia" w:ascii="宋体" w:hAnsi="宋体" w:eastAsia="宋体" w:cs="宋体"/>
                <w:sz w:val="24"/>
                <w:szCs w:val="24"/>
              </w:rPr>
              <w:t>废气</w:t>
            </w:r>
          </w:p>
        </w:tc>
        <w:tc>
          <w:tcPr>
            <w:tcW w:w="7757" w:type="dxa"/>
            <w:shd w:val="clear" w:color="auto" w:fill="auto"/>
            <w:vAlign w:val="top"/>
          </w:tcPr>
          <w:p w14:paraId="3F99198D">
            <w:pPr>
              <w:keepNext w:val="0"/>
              <w:keepLines w:val="0"/>
              <w:pageBreakBefore w:val="0"/>
              <w:kinsoku/>
              <w:wordWrap/>
              <w:overflowPunct/>
              <w:topLinePunct w:val="0"/>
              <w:autoSpaceDE/>
              <w:autoSpaceDN/>
              <w:bidi w:val="0"/>
              <w:spacing w:line="240" w:lineRule="auto"/>
              <w:jc w:val="left"/>
              <w:rPr>
                <w:rFonts w:ascii="宋体" w:hAnsi="宋体" w:eastAsia="宋体" w:cs="宋体"/>
                <w:sz w:val="24"/>
                <w:szCs w:val="24"/>
              </w:rPr>
            </w:pPr>
            <w:r>
              <w:rPr>
                <w:rFonts w:hint="eastAsia" w:ascii="宋体" w:hAnsi="宋体" w:eastAsia="宋体" w:cs="宋体"/>
                <w:b w:val="0"/>
                <w:bCs w:val="0"/>
                <w:sz w:val="24"/>
                <w:szCs w:val="24"/>
              </w:rPr>
              <w:t>根据环评及环评批复，废气主要为污水及污泥处理过程中产生的恶臭，相关废气执行《城镇污水处理厂污染物排放标准》（GB18918-2002）</w:t>
            </w:r>
            <w:r>
              <w:rPr>
                <w:rFonts w:hint="eastAsia" w:ascii="宋体" w:hAnsi="宋体" w:eastAsia="宋体" w:cs="宋体"/>
                <w:b w:val="0"/>
                <w:bCs w:val="0"/>
                <w:sz w:val="24"/>
                <w:szCs w:val="24"/>
                <w:lang w:val="en-US" w:eastAsia="zh-CN"/>
              </w:rPr>
              <w:t>表4中厂界废气排放最高允许浓度二级标准要求</w:t>
            </w:r>
            <w:r>
              <w:rPr>
                <w:rFonts w:hint="eastAsia" w:ascii="宋体" w:hAnsi="宋体" w:eastAsia="宋体" w:cs="宋体"/>
                <w:b w:val="0"/>
                <w:bCs w:val="0"/>
                <w:sz w:val="24"/>
                <w:szCs w:val="24"/>
              </w:rPr>
              <w:t>。</w:t>
            </w:r>
          </w:p>
        </w:tc>
      </w:tr>
      <w:tr w14:paraId="18CA5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shd w:val="clear" w:color="auto" w:fill="auto"/>
          </w:tcPr>
          <w:p w14:paraId="1753D840">
            <w:pPr>
              <w:jc w:val="left"/>
              <w:rPr>
                <w:rFonts w:ascii="宋体" w:hAnsi="宋体" w:eastAsia="宋体" w:cs="宋体"/>
                <w:sz w:val="24"/>
                <w:szCs w:val="24"/>
              </w:rPr>
            </w:pPr>
            <w:r>
              <w:rPr>
                <w:rFonts w:hint="eastAsia" w:ascii="宋体" w:hAnsi="宋体" w:eastAsia="宋体" w:cs="宋体"/>
                <w:sz w:val="24"/>
                <w:szCs w:val="24"/>
              </w:rPr>
              <w:t>噪声</w:t>
            </w:r>
          </w:p>
        </w:tc>
        <w:tc>
          <w:tcPr>
            <w:tcW w:w="7757" w:type="dxa"/>
            <w:shd w:val="clear" w:color="auto" w:fill="auto"/>
            <w:vAlign w:val="top"/>
          </w:tcPr>
          <w:p w14:paraId="013E8CFC">
            <w:pPr>
              <w:keepNext w:val="0"/>
              <w:keepLines w:val="0"/>
              <w:pageBreakBefore w:val="0"/>
              <w:kinsoku/>
              <w:wordWrap/>
              <w:overflowPunct/>
              <w:topLinePunct w:val="0"/>
              <w:autoSpaceDE/>
              <w:autoSpaceDN/>
              <w:bidi w:val="0"/>
              <w:spacing w:line="240" w:lineRule="auto"/>
              <w:jc w:val="left"/>
              <w:rPr>
                <w:rFonts w:ascii="宋体" w:hAnsi="宋体" w:eastAsia="宋体" w:cs="宋体"/>
                <w:sz w:val="24"/>
                <w:szCs w:val="24"/>
              </w:rPr>
            </w:pPr>
            <w:r>
              <w:rPr>
                <w:rFonts w:hint="eastAsia" w:ascii="宋体" w:hAnsi="宋体" w:eastAsia="宋体" w:cs="宋体"/>
                <w:b w:val="0"/>
                <w:bCs w:val="0"/>
                <w:sz w:val="24"/>
                <w:szCs w:val="24"/>
              </w:rPr>
              <w:t>污水处理提升泵等设备运行过程中产生噪声执行</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工业企业厂界环境噪声</w:t>
            </w:r>
            <w:r>
              <w:rPr>
                <w:rFonts w:hint="eastAsia" w:ascii="宋体" w:hAnsi="宋体" w:eastAsia="宋体" w:cs="宋体"/>
                <w:b w:val="0"/>
                <w:bCs w:val="0"/>
                <w:sz w:val="24"/>
                <w:szCs w:val="24"/>
              </w:rPr>
              <w:t>排放标准》（GB</w:t>
            </w:r>
            <w:r>
              <w:rPr>
                <w:rFonts w:hint="eastAsia" w:ascii="宋体" w:hAnsi="宋体" w:eastAsia="宋体" w:cs="宋体"/>
                <w:b w:val="0"/>
                <w:bCs w:val="0"/>
                <w:sz w:val="24"/>
                <w:szCs w:val="24"/>
                <w:lang w:val="en-US" w:eastAsia="zh-CN"/>
              </w:rPr>
              <w:t>12348</w:t>
            </w:r>
            <w:r>
              <w:rPr>
                <w:rFonts w:hint="eastAsia" w:ascii="宋体" w:hAnsi="宋体" w:eastAsia="宋体" w:cs="宋体"/>
                <w:b w:val="0"/>
                <w:bCs w:val="0"/>
                <w:sz w:val="24"/>
                <w:szCs w:val="24"/>
              </w:rPr>
              <w:t>-200</w:t>
            </w:r>
            <w:r>
              <w:rPr>
                <w:rFonts w:hint="eastAsia" w:ascii="宋体" w:hAnsi="宋体" w:eastAsia="宋体" w:cs="宋体"/>
                <w:b w:val="0"/>
                <w:bCs w:val="0"/>
                <w:sz w:val="24"/>
                <w:szCs w:val="24"/>
                <w:lang w:val="en-US" w:eastAsia="zh-CN"/>
              </w:rPr>
              <w:t>8</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中2类标准</w:t>
            </w:r>
            <w:r>
              <w:rPr>
                <w:rFonts w:hint="eastAsia" w:ascii="宋体" w:hAnsi="宋体" w:eastAsia="宋体" w:cs="宋体"/>
                <w:b w:val="0"/>
                <w:bCs w:val="0"/>
                <w:sz w:val="24"/>
                <w:szCs w:val="24"/>
              </w:rPr>
              <w:t>。</w:t>
            </w:r>
          </w:p>
        </w:tc>
      </w:tr>
      <w:tr w14:paraId="52007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shd w:val="clear" w:color="auto" w:fill="auto"/>
          </w:tcPr>
          <w:p w14:paraId="71249EAF">
            <w:pPr>
              <w:jc w:val="left"/>
              <w:rPr>
                <w:rFonts w:ascii="宋体" w:hAnsi="宋体" w:eastAsia="宋体" w:cs="宋体"/>
                <w:color w:val="auto"/>
                <w:sz w:val="24"/>
                <w:szCs w:val="24"/>
              </w:rPr>
            </w:pPr>
            <w:r>
              <w:rPr>
                <w:rFonts w:hint="eastAsia" w:ascii="宋体" w:hAnsi="宋体" w:eastAsia="宋体" w:cs="宋体"/>
                <w:color w:val="auto"/>
                <w:sz w:val="24"/>
                <w:szCs w:val="24"/>
              </w:rPr>
              <w:t>固废</w:t>
            </w:r>
          </w:p>
        </w:tc>
        <w:tc>
          <w:tcPr>
            <w:tcW w:w="7757" w:type="dxa"/>
            <w:shd w:val="clear" w:color="auto" w:fill="auto"/>
            <w:vAlign w:val="top"/>
          </w:tcPr>
          <w:p w14:paraId="1A7DCDB3">
            <w:pPr>
              <w:keepNext w:val="0"/>
              <w:keepLines w:val="0"/>
              <w:pageBreakBefore w:val="0"/>
              <w:kinsoku/>
              <w:wordWrap/>
              <w:overflowPunct/>
              <w:topLinePunct w:val="0"/>
              <w:autoSpaceDE/>
              <w:autoSpaceDN/>
              <w:bidi w:val="0"/>
              <w:spacing w:line="240" w:lineRule="auto"/>
              <w:jc w:val="left"/>
              <w:rPr>
                <w:rFonts w:ascii="宋体" w:hAnsi="宋体" w:eastAsia="宋体" w:cs="宋体"/>
                <w:color w:val="auto"/>
                <w:sz w:val="24"/>
                <w:szCs w:val="24"/>
              </w:rPr>
            </w:pPr>
            <w:r>
              <w:rPr>
                <w:rFonts w:hint="eastAsia" w:ascii="宋体" w:hAnsi="宋体" w:eastAsia="宋体" w:cs="宋体"/>
                <w:color w:val="auto"/>
                <w:sz w:val="24"/>
                <w:szCs w:val="24"/>
              </w:rPr>
              <w:t>根据环评及环评批复，我司污水处理厂固体废物主要为污水处理过程中产生的剩余污泥，固体废物满足相关稳定化和脱水处理后，再外运至政府指定的地点</w:t>
            </w:r>
            <w:r>
              <w:rPr>
                <w:rFonts w:hint="eastAsia" w:ascii="宋体" w:hAnsi="宋体" w:eastAsia="宋体" w:cs="宋体"/>
                <w:b w:val="0"/>
                <w:bCs w:val="0"/>
                <w:color w:val="auto"/>
                <w:sz w:val="24"/>
                <w:szCs w:val="24"/>
                <w:lang w:val="en-US" w:eastAsia="zh-CN"/>
              </w:rPr>
              <w:t>，一年预计产生4000吨。</w:t>
            </w:r>
          </w:p>
        </w:tc>
      </w:tr>
    </w:tbl>
    <w:p w14:paraId="26C62076">
      <w:pPr>
        <w:pStyle w:val="24"/>
        <w:spacing w:line="240" w:lineRule="auto"/>
        <w:ind w:firstLine="560"/>
        <w:outlineLvl w:val="1"/>
        <w:rPr>
          <w:rFonts w:hint="eastAsia" w:ascii="宋体" w:hAnsi="宋体"/>
          <w:color w:val="auto"/>
          <w:sz w:val="28"/>
          <w:szCs w:val="28"/>
        </w:rPr>
      </w:pPr>
    </w:p>
    <w:p w14:paraId="26E9F7FB">
      <w:pPr>
        <w:pStyle w:val="24"/>
        <w:spacing w:line="240" w:lineRule="auto"/>
        <w:ind w:firstLine="560"/>
        <w:outlineLvl w:val="1"/>
        <w:rPr>
          <w:rFonts w:ascii="宋体" w:hAnsi="宋体"/>
          <w:color w:val="auto"/>
          <w:sz w:val="28"/>
          <w:szCs w:val="28"/>
        </w:rPr>
      </w:pPr>
      <w:r>
        <w:rPr>
          <w:rFonts w:hint="eastAsia" w:ascii="宋体" w:hAnsi="宋体"/>
          <w:color w:val="auto"/>
          <w:sz w:val="28"/>
          <w:szCs w:val="28"/>
        </w:rPr>
        <w:t>3、污染处理设施情况（按环评文件进行填写）</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8"/>
        <w:gridCol w:w="6672"/>
      </w:tblGrid>
      <w:tr w14:paraId="75195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8" w:type="dxa"/>
            <w:shd w:val="clear" w:color="auto" w:fill="auto"/>
          </w:tcPr>
          <w:p w14:paraId="35A8885E">
            <w:pPr>
              <w:jc w:val="left"/>
              <w:rPr>
                <w:rFonts w:ascii="宋体" w:hAnsi="宋体" w:eastAsia="宋体" w:cs="宋体"/>
                <w:color w:val="auto"/>
                <w:sz w:val="24"/>
                <w:szCs w:val="24"/>
              </w:rPr>
            </w:pPr>
            <w:r>
              <w:rPr>
                <w:rFonts w:hint="eastAsia" w:ascii="宋体" w:hAnsi="宋体" w:eastAsia="宋体" w:cs="宋体"/>
                <w:color w:val="auto"/>
                <w:sz w:val="24"/>
                <w:szCs w:val="24"/>
              </w:rPr>
              <w:t>废水治理设施</w:t>
            </w:r>
          </w:p>
        </w:tc>
        <w:tc>
          <w:tcPr>
            <w:tcW w:w="6672" w:type="dxa"/>
            <w:shd w:val="clear" w:color="auto" w:fill="auto"/>
            <w:vAlign w:val="top"/>
          </w:tcPr>
          <w:p w14:paraId="21C9CB68">
            <w:pPr>
              <w:jc w:val="left"/>
              <w:rPr>
                <w:rFonts w:ascii="宋体" w:hAnsi="宋体" w:eastAsia="宋体" w:cs="宋体"/>
                <w:color w:val="auto"/>
                <w:sz w:val="24"/>
                <w:szCs w:val="24"/>
              </w:rPr>
            </w:pPr>
            <w:r>
              <w:rPr>
                <w:rFonts w:hint="eastAsia" w:ascii="宋体" w:hAnsi="宋体" w:eastAsia="宋体" w:cs="宋体"/>
                <w:color w:val="auto"/>
                <w:sz w:val="24"/>
                <w:szCs w:val="24"/>
              </w:rPr>
              <w:t>现有设计总处理规模为</w:t>
            </w:r>
            <w:r>
              <w:rPr>
                <w:rFonts w:hint="eastAsia" w:ascii="宋体" w:hAnsi="宋体" w:eastAsia="宋体" w:cs="宋体"/>
                <w:color w:val="auto"/>
                <w:sz w:val="24"/>
                <w:szCs w:val="24"/>
                <w:lang w:val="en-US" w:eastAsia="zh-CN"/>
              </w:rPr>
              <w:t>3</w:t>
            </w:r>
            <w:r>
              <w:rPr>
                <w:rFonts w:ascii="宋体" w:hAnsi="宋体" w:eastAsia="宋体" w:cs="宋体"/>
                <w:color w:val="auto"/>
                <w:sz w:val="24"/>
                <w:szCs w:val="24"/>
              </w:rPr>
              <w:t>万吨/日。污水处理工艺为“沉砂池+</w:t>
            </w:r>
            <w:r>
              <w:rPr>
                <w:rFonts w:hint="eastAsia" w:ascii="宋体" w:hAnsi="宋体" w:eastAsia="宋体" w:cs="宋体"/>
                <w:color w:val="auto"/>
                <w:sz w:val="24"/>
                <w:szCs w:val="24"/>
                <w:lang w:val="en-US" w:eastAsia="zh-CN"/>
              </w:rPr>
              <w:t>氧化沟</w:t>
            </w:r>
            <w:r>
              <w:rPr>
                <w:rFonts w:ascii="宋体" w:hAnsi="宋体" w:eastAsia="宋体" w:cs="宋体"/>
                <w:color w:val="auto"/>
                <w:sz w:val="24"/>
                <w:szCs w:val="24"/>
              </w:rPr>
              <w:t>+二沉池+高效沉淀池+</w:t>
            </w:r>
            <w:r>
              <w:rPr>
                <w:rFonts w:hint="eastAsia" w:ascii="宋体" w:hAnsi="宋体" w:eastAsia="宋体" w:cs="宋体"/>
                <w:color w:val="auto"/>
                <w:sz w:val="24"/>
                <w:szCs w:val="24"/>
                <w:lang w:val="en-US" w:eastAsia="zh-CN"/>
              </w:rPr>
              <w:t>连续砂滤池+</w:t>
            </w:r>
            <w:r>
              <w:rPr>
                <w:rFonts w:ascii="宋体" w:hAnsi="宋体" w:eastAsia="宋体" w:cs="宋体"/>
                <w:color w:val="auto"/>
                <w:sz w:val="24"/>
                <w:szCs w:val="24"/>
              </w:rPr>
              <w:t>次氯酸钠消毒”，主要污染处理设施包括格栅，提升泵、沉砂池、</w:t>
            </w:r>
            <w:r>
              <w:rPr>
                <w:rFonts w:hint="eastAsia" w:ascii="宋体" w:hAnsi="宋体" w:eastAsia="宋体" w:cs="宋体"/>
                <w:color w:val="auto"/>
                <w:sz w:val="24"/>
                <w:szCs w:val="24"/>
                <w:lang w:val="en-US" w:eastAsia="zh-CN"/>
              </w:rPr>
              <w:t>氧化沟</w:t>
            </w:r>
            <w:r>
              <w:rPr>
                <w:rFonts w:ascii="宋体" w:hAnsi="宋体" w:eastAsia="宋体" w:cs="宋体"/>
                <w:color w:val="auto"/>
                <w:sz w:val="24"/>
                <w:szCs w:val="24"/>
              </w:rPr>
              <w:t>，二沉池，高效沉淀池</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连续砂滤池</w:t>
            </w:r>
            <w:r>
              <w:rPr>
                <w:rFonts w:ascii="宋体" w:hAnsi="宋体" w:eastAsia="宋体" w:cs="宋体"/>
                <w:color w:val="auto"/>
                <w:sz w:val="24"/>
                <w:szCs w:val="24"/>
              </w:rPr>
              <w:t>等设备设施。</w:t>
            </w:r>
          </w:p>
        </w:tc>
      </w:tr>
      <w:tr w14:paraId="4BDD0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8" w:type="dxa"/>
            <w:shd w:val="clear" w:color="auto" w:fill="auto"/>
          </w:tcPr>
          <w:p w14:paraId="4240717D">
            <w:pPr>
              <w:jc w:val="left"/>
              <w:rPr>
                <w:rFonts w:ascii="宋体" w:hAnsi="宋体" w:eastAsia="宋体" w:cs="宋体"/>
                <w:sz w:val="24"/>
                <w:szCs w:val="24"/>
              </w:rPr>
            </w:pPr>
            <w:r>
              <w:rPr>
                <w:rFonts w:hint="eastAsia" w:ascii="宋体" w:hAnsi="宋体" w:eastAsia="宋体" w:cs="宋体"/>
                <w:sz w:val="24"/>
                <w:szCs w:val="24"/>
              </w:rPr>
              <w:t>废气治理设施</w:t>
            </w:r>
          </w:p>
        </w:tc>
        <w:tc>
          <w:tcPr>
            <w:tcW w:w="6672" w:type="dxa"/>
            <w:shd w:val="clear" w:color="auto" w:fill="auto"/>
            <w:vAlign w:val="top"/>
          </w:tcPr>
          <w:p w14:paraId="30EE5E61">
            <w:pPr>
              <w:keepNext w:val="0"/>
              <w:keepLines w:val="0"/>
              <w:pageBreakBefore w:val="0"/>
              <w:kinsoku/>
              <w:wordWrap/>
              <w:overflowPunct/>
              <w:topLinePunct w:val="0"/>
              <w:autoSpaceDE/>
              <w:autoSpaceDN/>
              <w:bidi w:val="0"/>
              <w:spacing w:line="240" w:lineRule="auto"/>
              <w:jc w:val="left"/>
              <w:rPr>
                <w:rFonts w:ascii="宋体" w:hAnsi="宋体" w:eastAsia="宋体" w:cs="宋体"/>
                <w:sz w:val="24"/>
                <w:szCs w:val="24"/>
              </w:rPr>
            </w:pPr>
            <w:r>
              <w:rPr>
                <w:rFonts w:hint="eastAsia" w:ascii="宋体" w:hAnsi="宋体" w:eastAsia="宋体" w:cs="宋体"/>
                <w:sz w:val="24"/>
                <w:szCs w:val="24"/>
                <w:lang w:val="en-US" w:eastAsia="zh-CN"/>
              </w:rPr>
              <w:t>废气源通过风管收集至</w:t>
            </w:r>
            <w:r>
              <w:rPr>
                <w:rFonts w:hint="eastAsia" w:ascii="宋体" w:hAnsi="宋体" w:eastAsia="宋体" w:cs="宋体"/>
                <w:sz w:val="24"/>
                <w:szCs w:val="24"/>
              </w:rPr>
              <w:t>生物</w:t>
            </w:r>
            <w:r>
              <w:rPr>
                <w:rFonts w:hint="eastAsia" w:ascii="宋体" w:hAnsi="宋体" w:eastAsia="宋体" w:cs="宋体"/>
                <w:color w:val="auto"/>
                <w:sz w:val="24"/>
                <w:szCs w:val="24"/>
              </w:rPr>
              <w:t>土壤滤池处理后</w:t>
            </w:r>
            <w:r>
              <w:rPr>
                <w:rFonts w:hint="eastAsia" w:ascii="宋体" w:hAnsi="宋体" w:eastAsia="宋体" w:cs="宋体"/>
                <w:color w:val="auto"/>
                <w:sz w:val="24"/>
                <w:szCs w:val="24"/>
                <w:lang w:val="en-US" w:eastAsia="zh-CN"/>
              </w:rPr>
              <w:t>无组织</w:t>
            </w:r>
            <w:r>
              <w:rPr>
                <w:rFonts w:hint="eastAsia" w:ascii="宋体" w:hAnsi="宋体" w:eastAsia="宋体" w:cs="宋体"/>
                <w:color w:val="auto"/>
                <w:sz w:val="24"/>
                <w:szCs w:val="24"/>
              </w:rPr>
              <w:t>排放</w:t>
            </w:r>
            <w:r>
              <w:rPr>
                <w:rFonts w:hint="eastAsia" w:ascii="宋体" w:hAnsi="宋体" w:eastAsia="宋体" w:cs="宋体"/>
                <w:sz w:val="24"/>
                <w:szCs w:val="24"/>
              </w:rPr>
              <w:t>。</w:t>
            </w:r>
          </w:p>
        </w:tc>
      </w:tr>
      <w:tr w14:paraId="4C4C2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8" w:type="dxa"/>
            <w:shd w:val="clear" w:color="auto" w:fill="auto"/>
          </w:tcPr>
          <w:p w14:paraId="3ADA23D3">
            <w:pPr>
              <w:jc w:val="left"/>
              <w:rPr>
                <w:rFonts w:ascii="宋体" w:hAnsi="宋体" w:eastAsia="宋体" w:cs="宋体"/>
                <w:sz w:val="24"/>
                <w:szCs w:val="24"/>
              </w:rPr>
            </w:pPr>
            <w:r>
              <w:rPr>
                <w:rFonts w:hint="eastAsia" w:ascii="宋体" w:hAnsi="宋体" w:eastAsia="宋体" w:cs="宋体"/>
                <w:sz w:val="24"/>
                <w:szCs w:val="24"/>
              </w:rPr>
              <w:t>噪声治理设施</w:t>
            </w:r>
          </w:p>
        </w:tc>
        <w:tc>
          <w:tcPr>
            <w:tcW w:w="6672" w:type="dxa"/>
            <w:shd w:val="clear" w:color="auto" w:fill="auto"/>
            <w:vAlign w:val="top"/>
          </w:tcPr>
          <w:p w14:paraId="41EB7CE2">
            <w:pPr>
              <w:keepNext w:val="0"/>
              <w:keepLines w:val="0"/>
              <w:pageBreakBefore w:val="0"/>
              <w:kinsoku/>
              <w:wordWrap/>
              <w:overflowPunct/>
              <w:topLinePunct w:val="0"/>
              <w:autoSpaceDE/>
              <w:autoSpaceDN/>
              <w:bidi w:val="0"/>
              <w:spacing w:line="240" w:lineRule="auto"/>
              <w:jc w:val="left"/>
              <w:rPr>
                <w:rFonts w:ascii="宋体" w:hAnsi="宋体" w:eastAsia="宋体" w:cs="宋体"/>
                <w:sz w:val="24"/>
                <w:szCs w:val="24"/>
              </w:rPr>
            </w:pPr>
            <w:r>
              <w:rPr>
                <w:rFonts w:hint="eastAsia" w:ascii="宋体" w:hAnsi="宋体" w:eastAsia="宋体" w:cs="宋体"/>
                <w:b w:val="0"/>
                <w:bCs w:val="0"/>
                <w:sz w:val="24"/>
                <w:szCs w:val="24"/>
              </w:rPr>
              <w:t>采用低噪音环保设备并通过安装在室内、水下和消音装置及厂区内外种植树木等措施防治噪音。</w:t>
            </w:r>
          </w:p>
        </w:tc>
      </w:tr>
      <w:tr w14:paraId="4C727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8" w:type="dxa"/>
            <w:shd w:val="clear" w:color="auto" w:fill="auto"/>
          </w:tcPr>
          <w:p w14:paraId="0AB3AF70">
            <w:pPr>
              <w:jc w:val="left"/>
              <w:rPr>
                <w:rFonts w:ascii="宋体" w:hAnsi="宋体" w:eastAsia="宋体" w:cs="宋体"/>
                <w:sz w:val="24"/>
                <w:szCs w:val="24"/>
              </w:rPr>
            </w:pPr>
            <w:r>
              <w:rPr>
                <w:rFonts w:hint="eastAsia" w:ascii="宋体" w:hAnsi="宋体" w:eastAsia="宋体" w:cs="宋体"/>
                <w:sz w:val="24"/>
                <w:szCs w:val="24"/>
              </w:rPr>
              <w:t>固废治理设施</w:t>
            </w:r>
          </w:p>
        </w:tc>
        <w:tc>
          <w:tcPr>
            <w:tcW w:w="6672" w:type="dxa"/>
            <w:shd w:val="clear" w:color="auto" w:fill="auto"/>
            <w:vAlign w:val="top"/>
          </w:tcPr>
          <w:p w14:paraId="11A58146">
            <w:pPr>
              <w:keepNext w:val="0"/>
              <w:keepLines w:val="0"/>
              <w:pageBreakBefore w:val="0"/>
              <w:kinsoku/>
              <w:wordWrap/>
              <w:overflowPunct/>
              <w:topLinePunct w:val="0"/>
              <w:autoSpaceDE/>
              <w:autoSpaceDN/>
              <w:bidi w:val="0"/>
              <w:spacing w:line="240" w:lineRule="auto"/>
              <w:jc w:val="left"/>
              <w:rPr>
                <w:rFonts w:ascii="宋体" w:hAnsi="宋体" w:eastAsia="宋体" w:cs="宋体"/>
                <w:sz w:val="24"/>
                <w:szCs w:val="24"/>
              </w:rPr>
            </w:pPr>
            <w:r>
              <w:rPr>
                <w:rFonts w:hint="eastAsia" w:ascii="宋体" w:hAnsi="宋体" w:eastAsia="宋体" w:cs="宋体"/>
                <w:color w:val="auto"/>
                <w:sz w:val="24"/>
                <w:szCs w:val="24"/>
              </w:rPr>
              <w:t>污泥稳定化</w:t>
            </w:r>
            <w:r>
              <w:rPr>
                <w:rFonts w:hint="eastAsia" w:ascii="宋体" w:hAnsi="宋体" w:eastAsia="宋体" w:cs="宋体"/>
                <w:color w:val="auto"/>
                <w:sz w:val="24"/>
                <w:szCs w:val="24"/>
                <w:lang w:val="en-US" w:eastAsia="zh-CN"/>
              </w:rPr>
              <w:t>后</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经板框压滤</w:t>
            </w:r>
            <w:r>
              <w:rPr>
                <w:rFonts w:hint="eastAsia" w:ascii="宋体" w:hAnsi="宋体" w:eastAsia="宋体" w:cs="宋体"/>
                <w:color w:val="auto"/>
                <w:sz w:val="24"/>
                <w:szCs w:val="24"/>
              </w:rPr>
              <w:t>脱水处理后</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污泥含水率低于60%，污泥</w:t>
            </w:r>
            <w:r>
              <w:rPr>
                <w:rFonts w:hint="eastAsia" w:ascii="宋体" w:hAnsi="宋体" w:eastAsia="宋体" w:cs="宋体"/>
                <w:color w:val="auto"/>
                <w:sz w:val="24"/>
                <w:szCs w:val="24"/>
              </w:rPr>
              <w:t>外运至</w:t>
            </w:r>
            <w:r>
              <w:rPr>
                <w:rFonts w:hint="eastAsia" w:ascii="宋体" w:hAnsi="宋体" w:eastAsia="宋体" w:cs="宋体"/>
                <w:color w:val="auto"/>
                <w:sz w:val="24"/>
                <w:szCs w:val="24"/>
                <w:lang w:val="en-US" w:eastAsia="zh-CN"/>
              </w:rPr>
              <w:t>政府指定地点处置</w:t>
            </w:r>
            <w:r>
              <w:rPr>
                <w:rFonts w:hint="eastAsia" w:ascii="宋体" w:hAnsi="宋体" w:eastAsia="宋体" w:cs="宋体"/>
                <w:color w:val="auto"/>
                <w:sz w:val="24"/>
                <w:szCs w:val="24"/>
              </w:rPr>
              <w:t>。</w:t>
            </w:r>
          </w:p>
        </w:tc>
      </w:tr>
    </w:tbl>
    <w:p w14:paraId="709412D4">
      <w:pPr>
        <w:pStyle w:val="24"/>
        <w:spacing w:line="240" w:lineRule="auto"/>
        <w:ind w:firstLine="0" w:firstLineChars="0"/>
        <w:jc w:val="center"/>
        <w:rPr>
          <w:rFonts w:ascii="宋体" w:hAnsi="宋体"/>
          <w:sz w:val="28"/>
          <w:szCs w:val="28"/>
        </w:rPr>
      </w:pPr>
      <w:r>
        <w:rPr>
          <w:rFonts w:hint="eastAsia" w:ascii="宋体" w:hAnsi="宋体"/>
          <w:b/>
          <w:bCs/>
          <w:sz w:val="28"/>
          <w:szCs w:val="28"/>
        </w:rPr>
        <w:t>二、工艺流程及监测点位</w:t>
      </w:r>
      <w:r>
        <w:rPr>
          <w:rFonts w:hint="eastAsia" w:ascii="宋体" w:hAnsi="宋体"/>
          <w:b/>
          <w:bCs/>
          <w:color w:val="auto"/>
          <w:sz w:val="28"/>
          <w:szCs w:val="28"/>
        </w:rPr>
        <w:t>（需要包含雨水口，监测点位置图需标示清楚雨水排放口，其他排放口、噪声及无组织排放口）</w:t>
      </w:r>
    </w:p>
    <w:p w14:paraId="771904B8">
      <w:pPr>
        <w:pStyle w:val="24"/>
        <w:spacing w:line="240" w:lineRule="auto"/>
        <w:ind w:firstLine="557" w:firstLineChars="199"/>
        <w:jc w:val="center"/>
        <w:rPr>
          <w:rFonts w:hint="eastAsia" w:ascii="宋体" w:hAnsi="宋体"/>
          <w:sz w:val="28"/>
          <w:szCs w:val="28"/>
        </w:rPr>
      </w:pPr>
      <w:r>
        <w:rPr>
          <w:rFonts w:hint="eastAsia" w:ascii="宋体" w:hAnsi="宋体"/>
          <w:sz w:val="28"/>
          <w:szCs w:val="28"/>
        </w:rPr>
        <w:t>图1  工艺流程图</w:t>
      </w:r>
    </w:p>
    <w:p w14:paraId="13450E60">
      <w:pPr>
        <w:bidi w:val="0"/>
        <w:rPr>
          <w:rFonts w:hint="eastAsia"/>
        </w:rPr>
      </w:pPr>
    </w:p>
    <w:p w14:paraId="3FA9AB87">
      <w:pPr>
        <w:bidi w:val="0"/>
        <w:jc w:val="center"/>
        <w:rPr>
          <w:rFonts w:hint="eastAsia"/>
        </w:rPr>
      </w:pPr>
      <w:r>
        <w:rPr>
          <w:rFonts w:hint="eastAsia" w:ascii="宋体" w:hAnsi="宋体" w:eastAsia="宋体" w:cs="宋体"/>
          <w:b w:val="0"/>
          <w:bCs w:val="0"/>
          <w:sz w:val="28"/>
          <w:szCs w:val="28"/>
        </w:rPr>
        <w:drawing>
          <wp:inline distT="0" distB="0" distL="114300" distR="114300">
            <wp:extent cx="5269230" cy="2716530"/>
            <wp:effectExtent l="0" t="0" r="7620" b="7620"/>
            <wp:docPr id="6" name="图片 6" descr="泰和污水处理厂工艺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泰和污水处理厂工艺流程图"/>
                    <pic:cNvPicPr>
                      <a:picLocks noChangeAspect="1"/>
                    </pic:cNvPicPr>
                  </pic:nvPicPr>
                  <pic:blipFill>
                    <a:blip r:embed="rId5"/>
                    <a:stretch>
                      <a:fillRect/>
                    </a:stretch>
                  </pic:blipFill>
                  <pic:spPr>
                    <a:xfrm>
                      <a:off x="0" y="0"/>
                      <a:ext cx="5269230" cy="2716530"/>
                    </a:xfrm>
                    <a:prstGeom prst="rect">
                      <a:avLst/>
                    </a:prstGeom>
                  </pic:spPr>
                </pic:pic>
              </a:graphicData>
            </a:graphic>
          </wp:inline>
        </w:drawing>
      </w:r>
    </w:p>
    <w:p w14:paraId="1AA15624">
      <w:pPr>
        <w:bidi w:val="0"/>
        <w:jc w:val="left"/>
        <w:rPr>
          <w:rFonts w:hint="eastAsia" w:eastAsiaTheme="minorEastAsia"/>
          <w:lang w:eastAsia="zh-CN"/>
        </w:rPr>
      </w:pPr>
    </w:p>
    <w:p w14:paraId="054D8F4B">
      <w:pPr>
        <w:pStyle w:val="24"/>
        <w:spacing w:line="240" w:lineRule="auto"/>
        <w:ind w:firstLine="0" w:firstLineChars="0"/>
        <w:jc w:val="center"/>
        <w:rPr>
          <w:rFonts w:hint="eastAsia" w:ascii="宋体" w:hAnsi="宋体" w:eastAsia="宋体"/>
          <w:sz w:val="28"/>
          <w:szCs w:val="28"/>
          <w:lang w:eastAsia="zh-CN"/>
        </w:rPr>
      </w:pPr>
      <w:bookmarkStart w:id="0" w:name="JCDWSYT"/>
      <w:r>
        <w:rPr>
          <w:rFonts w:hint="eastAsia" w:ascii="宋体" w:hAnsi="宋体" w:eastAsia="宋体"/>
          <w:sz w:val="28"/>
          <w:szCs w:val="28"/>
          <w:lang w:eastAsia="zh-CN"/>
        </w:rPr>
        <w:drawing>
          <wp:inline distT="0" distB="0" distL="114300" distR="114300">
            <wp:extent cx="5267960" cy="2670810"/>
            <wp:effectExtent l="0" t="0" r="8890" b="15240"/>
            <wp:docPr id="2" name="图片 2" descr="1699493057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99493057273"/>
                    <pic:cNvPicPr>
                      <a:picLocks noChangeAspect="1"/>
                    </pic:cNvPicPr>
                  </pic:nvPicPr>
                  <pic:blipFill>
                    <a:blip r:embed="rId6"/>
                    <a:stretch>
                      <a:fillRect/>
                    </a:stretch>
                  </pic:blipFill>
                  <pic:spPr>
                    <a:xfrm>
                      <a:off x="0" y="0"/>
                      <a:ext cx="5267960" cy="2670810"/>
                    </a:xfrm>
                    <a:prstGeom prst="rect">
                      <a:avLst/>
                    </a:prstGeom>
                  </pic:spPr>
                </pic:pic>
              </a:graphicData>
            </a:graphic>
          </wp:inline>
        </w:drawing>
      </w:r>
    </w:p>
    <w:bookmarkEnd w:id="0"/>
    <w:p w14:paraId="0C852C3E">
      <w:pPr>
        <w:pStyle w:val="24"/>
        <w:spacing w:line="240" w:lineRule="auto"/>
        <w:ind w:firstLine="557" w:firstLineChars="199"/>
        <w:jc w:val="center"/>
        <w:rPr>
          <w:rFonts w:ascii="宋体" w:hAnsi="宋体"/>
          <w:color w:val="FF0000"/>
          <w:sz w:val="28"/>
          <w:szCs w:val="28"/>
          <w:highlight w:val="yellow"/>
        </w:rPr>
      </w:pPr>
      <w:r>
        <w:rPr>
          <w:rFonts w:hint="eastAsia" w:ascii="宋体" w:hAnsi="宋体"/>
          <w:sz w:val="28"/>
          <w:szCs w:val="28"/>
          <w:lang w:val="en-US"/>
        </w:rPr>
        <w:t>图2   监测点位图</w:t>
      </w:r>
    </w:p>
    <w:p w14:paraId="057867A7">
      <w:pPr>
        <w:pStyle w:val="24"/>
        <w:shd w:val="clear"/>
        <w:spacing w:line="240" w:lineRule="auto"/>
        <w:ind w:firstLine="0" w:firstLineChars="0"/>
        <w:jc w:val="left"/>
        <w:rPr>
          <w:rFonts w:hint="eastAsia" w:ascii="宋体" w:hAnsi="宋体"/>
          <w:color w:val="auto"/>
          <w:sz w:val="28"/>
          <w:szCs w:val="28"/>
          <w:highlight w:val="none"/>
          <w:lang w:val="en-US"/>
        </w:rPr>
      </w:pPr>
      <w:r>
        <w:rPr>
          <w:rFonts w:hint="eastAsia" w:ascii="宋体" w:hAnsi="宋体"/>
          <w:color w:val="auto"/>
          <w:sz w:val="28"/>
          <w:szCs w:val="28"/>
          <w:highlight w:val="none"/>
        </w:rPr>
        <mc:AlternateContent>
          <mc:Choice Requires="wps">
            <w:drawing>
              <wp:anchor distT="0" distB="0" distL="114300" distR="114300" simplePos="0" relativeHeight="251670528" behindDoc="0" locked="0" layoutInCell="1" allowOverlap="1">
                <wp:simplePos x="0" y="0"/>
                <wp:positionH relativeFrom="column">
                  <wp:posOffset>4152265</wp:posOffset>
                </wp:positionH>
                <wp:positionV relativeFrom="paragraph">
                  <wp:posOffset>1501140</wp:posOffset>
                </wp:positionV>
                <wp:extent cx="293370" cy="716280"/>
                <wp:effectExtent l="15240" t="6350" r="15240" b="20320"/>
                <wp:wrapNone/>
                <wp:docPr id="20" name="箭头: 上 20"/>
                <wp:cNvGraphicFramePr/>
                <a:graphic xmlns:a="http://schemas.openxmlformats.org/drawingml/2006/main">
                  <a:graphicData uri="http://schemas.microsoft.com/office/word/2010/wordprocessingShape">
                    <wps:wsp>
                      <wps:cNvSpPr/>
                      <wps:spPr>
                        <a:xfrm rot="10800000">
                          <a:off x="0" y="0"/>
                          <a:ext cx="293370" cy="716280"/>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81004C7">
                            <w:pPr>
                              <w:jc w:val="center"/>
                            </w:pPr>
                          </w:p>
                          <w:p w14:paraId="6B895242">
                            <w:pPr>
                              <w:pStyle w:val="2"/>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箭头: 上 20" o:spid="_x0000_s1026" o:spt="68" type="#_x0000_t68" style="position:absolute;left:0pt;margin-left:326.95pt;margin-top:118.2pt;height:56.4pt;width:23.1pt;rotation:11796480f;z-index:251670528;v-text-anchor:middle;mso-width-relative:page;mso-height-relative:page;" fillcolor="#4472C4 [3204]" filled="t" stroked="t" coordsize="21600,21600" o:gfxdata="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CU1FPK3AAAAAsBAAAPAAAAAAAAAAEAIAAAACIAAABkcnMvZG93bnJldi54bWxQSwEC&#10;FAAUAAAACACHTuJAg2NTbpsCAAA4BQAADgAAAAAAAAABACAAAAArAQAAZHJzL2Uyb0RvYy54bWxQ&#10;SwUGAAAAAAYABgBZAQAAOAYAAAAA&#10;" adj="4423,5400">
                <v:fill on="t" focussize="0,0"/>
                <v:stroke weight="1pt" color="#2F528F [3204]" miterlimit="8" joinstyle="miter"/>
                <v:imagedata o:title=""/>
                <o:lock v:ext="edit" aspectratio="f"/>
                <v:textbox>
                  <w:txbxContent>
                    <w:p w14:paraId="181004C7">
                      <w:pPr>
                        <w:jc w:val="center"/>
                      </w:pPr>
                    </w:p>
                    <w:p w14:paraId="6B895242">
                      <w:pPr>
                        <w:pStyle w:val="2"/>
                      </w:pP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column">
                  <wp:posOffset>4836795</wp:posOffset>
                </wp:positionH>
                <wp:positionV relativeFrom="paragraph">
                  <wp:posOffset>1153795</wp:posOffset>
                </wp:positionV>
                <wp:extent cx="1442720" cy="1594485"/>
                <wp:effectExtent l="6350" t="6350" r="17780" b="18415"/>
                <wp:wrapNone/>
                <wp:docPr id="1" name="圆角矩形 1"/>
                <wp:cNvGraphicFramePr/>
                <a:graphic xmlns:a="http://schemas.openxmlformats.org/drawingml/2006/main">
                  <a:graphicData uri="http://schemas.microsoft.com/office/word/2010/wordprocessingShape">
                    <wps:wsp>
                      <wps:cNvSpPr/>
                      <wps:spPr>
                        <a:xfrm>
                          <a:off x="4911090" y="3278505"/>
                          <a:ext cx="1922780" cy="2684145"/>
                        </a:xfrm>
                        <a:prstGeom prst="roundRect">
                          <a:avLst/>
                        </a:prstGeom>
                      </wps:spPr>
                      <wps:style>
                        <a:lnRef idx="2">
                          <a:schemeClr val="dk1"/>
                        </a:lnRef>
                        <a:fillRef idx="1">
                          <a:schemeClr val="lt1"/>
                        </a:fillRef>
                        <a:effectRef idx="0">
                          <a:schemeClr val="dk1"/>
                        </a:effectRef>
                        <a:fontRef idx="minor">
                          <a:schemeClr val="dk1"/>
                        </a:fontRef>
                      </wps:style>
                      <wps:txbx>
                        <w:txbxContent>
                          <w:p w14:paraId="2B7BE772">
                            <w:pPr>
                              <w:pStyle w:val="24"/>
                              <w:spacing w:line="240" w:lineRule="auto"/>
                              <w:ind w:firstLine="0" w:firstLineChars="0"/>
                              <w:jc w:val="left"/>
                              <w:rPr>
                                <w:rFonts w:ascii="宋体" w:hAnsi="宋体"/>
                                <w:color w:val="auto"/>
                                <w:sz w:val="28"/>
                                <w:szCs w:val="28"/>
                                <w:highlight w:val="none"/>
                                <w:shd w:val="clear"/>
                                <w:lang w:val="en-US"/>
                              </w:rPr>
                            </w:pPr>
                            <w:r>
                              <w:rPr>
                                <w:rFonts w:hint="eastAsia" w:ascii="宋体" w:hAnsi="宋体"/>
                                <w:sz w:val="22"/>
                                <w:szCs w:val="22"/>
                                <w:lang w:val="en-US"/>
                              </w:rPr>
                              <w:t>注：根据监测期间的风向确定点位布设，上风向设一个参照点，下风向设三个监控点。</w:t>
                            </w:r>
                            <w:r>
                              <w:rPr>
                                <w:rFonts w:hint="eastAsia" w:ascii="宋体" w:hAnsi="宋体"/>
                                <w:color w:val="auto"/>
                                <w:sz w:val="22"/>
                                <w:szCs w:val="22"/>
                                <w:highlight w:val="none"/>
                                <w:shd w:val="clear"/>
                                <w:lang w:val="en-US"/>
                              </w:rPr>
                              <w:t>此段话需标注在监测点位图上。</w:t>
                            </w:r>
                          </w:p>
                          <w:p w14:paraId="3279EC61">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80.85pt;margin-top:90.85pt;height:125.55pt;width:113.6pt;z-index:251659264;v-text-anchor:middle;mso-width-relative:page;mso-height-relative:page;" fillcolor="#FFFFFF [3201]" filled="t" stroked="t" coordsize="21600,21600" arcsize="0.166666666666667" o:gfxdata="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FsxTrTY&#10;AAAACwEAAA8AAAAAAAAAAQAgAAAAIgAAAGRycy9kb3ducmV2LnhtbFBLAQIUABQAAAAIAIdO4kBT&#10;ML2TkgIAABcFAAAOAAAAAAAAAAEAIAAAACcBAABkcnMvZTJvRG9jLnhtbFBLBQYAAAAABgAGAFkB&#10;AAArBgAAAAA=&#10;">
                <v:fill on="t" focussize="0,0"/>
                <v:stroke weight="1pt" color="#000000 [3200]" miterlimit="8" joinstyle="miter"/>
                <v:imagedata o:title=""/>
                <o:lock v:ext="edit" aspectratio="f"/>
                <v:textbox>
                  <w:txbxContent>
                    <w:p w14:paraId="2B7BE772">
                      <w:pPr>
                        <w:pStyle w:val="24"/>
                        <w:spacing w:line="240" w:lineRule="auto"/>
                        <w:ind w:firstLine="0" w:firstLineChars="0"/>
                        <w:jc w:val="left"/>
                        <w:rPr>
                          <w:rFonts w:ascii="宋体" w:hAnsi="宋体"/>
                          <w:color w:val="auto"/>
                          <w:sz w:val="28"/>
                          <w:szCs w:val="28"/>
                          <w:highlight w:val="none"/>
                          <w:shd w:val="clear"/>
                          <w:lang w:val="en-US"/>
                        </w:rPr>
                      </w:pPr>
                      <w:r>
                        <w:rPr>
                          <w:rFonts w:hint="eastAsia" w:ascii="宋体" w:hAnsi="宋体"/>
                          <w:sz w:val="22"/>
                          <w:szCs w:val="22"/>
                          <w:lang w:val="en-US"/>
                        </w:rPr>
                        <w:t>注：根据监测期间的风向确定点位布设，上风向设一个参照点，下风向设三个监控点。</w:t>
                      </w:r>
                      <w:r>
                        <w:rPr>
                          <w:rFonts w:hint="eastAsia" w:ascii="宋体" w:hAnsi="宋体"/>
                          <w:color w:val="auto"/>
                          <w:sz w:val="22"/>
                          <w:szCs w:val="22"/>
                          <w:highlight w:val="none"/>
                          <w:shd w:val="clear"/>
                          <w:lang w:val="en-US"/>
                        </w:rPr>
                        <w:t>此段话需标注在监测点位图上。</w:t>
                      </w:r>
                    </w:p>
                    <w:p w14:paraId="3279EC61">
                      <w:pPr>
                        <w:jc w:val="center"/>
                      </w:pPr>
                    </w:p>
                  </w:txbxContent>
                </v:textbox>
              </v:roundrect>
            </w:pict>
          </mc:Fallback>
        </mc:AlternateContent>
      </w:r>
      <w:r>
        <w:rPr>
          <w:rFonts w:hint="eastAsia" w:ascii="宋体" w:hAnsi="宋体"/>
          <w:color w:val="auto"/>
          <w:sz w:val="28"/>
          <w:szCs w:val="28"/>
          <w:highlight w:val="none"/>
          <w:lang w:val="en-US"/>
        </w:rPr>
        <w:t>图例：图中标识使用不同符号以示区分；</w:t>
      </w:r>
      <w:r>
        <w:rPr>
          <w:rFonts w:hint="eastAsia" w:ascii="宋体" w:hAnsi="宋体"/>
          <w:color w:val="auto"/>
          <w:sz w:val="28"/>
          <w:szCs w:val="28"/>
          <w:highlight w:val="none"/>
        </w:rPr>
        <w:t>废水是“★”，噪声是“▲”，无组织废气是“○”，地表水是“☆”。</w:t>
      </w:r>
      <w:r>
        <w:rPr>
          <w:rFonts w:hint="eastAsia" w:ascii="宋体" w:hAnsi="宋体"/>
          <w:color w:val="auto"/>
          <w:sz w:val="28"/>
          <w:szCs w:val="28"/>
          <w:highlight w:val="none"/>
          <w:lang w:val="en-US"/>
        </w:rPr>
        <w:t>文字需中英文相结合 ，例如噪声监测点位ZS-01 、厂界监测点位CJ-001、地下水监测点位DXS-01等。</w:t>
      </w:r>
    </w:p>
    <w:p w14:paraId="61C0D6EE">
      <w:pPr>
        <w:pStyle w:val="24"/>
        <w:spacing w:line="240" w:lineRule="auto"/>
        <w:ind w:firstLine="0" w:firstLineChars="0"/>
        <w:jc w:val="left"/>
        <w:rPr>
          <w:rFonts w:hint="default" w:ascii="宋体" w:hAnsi="宋体" w:eastAsia="宋体"/>
          <w:color w:val="FF0000"/>
          <w:sz w:val="28"/>
          <w:szCs w:val="28"/>
          <w:highlight w:val="yellow"/>
          <w:lang w:val="en-US" w:eastAsia="zh-CN"/>
        </w:rPr>
      </w:pPr>
      <w:r>
        <w:rPr>
          <w:rFonts w:hint="eastAsia" w:ascii="宋体" w:hAnsi="宋体"/>
          <w:sz w:val="28"/>
          <w:szCs w:val="28"/>
        </w:rPr>
        <mc:AlternateContent>
          <mc:Choice Requires="wps">
            <w:drawing>
              <wp:anchor distT="0" distB="0" distL="114300" distR="114300" simplePos="0" relativeHeight="251671552" behindDoc="0" locked="0" layoutInCell="1" allowOverlap="1">
                <wp:simplePos x="0" y="0"/>
                <wp:positionH relativeFrom="column">
                  <wp:posOffset>4439920</wp:posOffset>
                </wp:positionH>
                <wp:positionV relativeFrom="paragraph">
                  <wp:posOffset>242570</wp:posOffset>
                </wp:positionV>
                <wp:extent cx="762635" cy="38862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762635" cy="388620"/>
                        </a:xfrm>
                        <a:prstGeom prst="rect">
                          <a:avLst/>
                        </a:prstGeom>
                        <a:noFill/>
                        <a:ln w="6350">
                          <a:noFill/>
                        </a:ln>
                      </wps:spPr>
                      <wps:txbx>
                        <w:txbxContent>
                          <w:p w14:paraId="1CF4943D">
                            <w:pPr>
                              <w:rPr>
                                <w:b/>
                                <w:bCs/>
                                <w:sz w:val="24"/>
                                <w:szCs w:val="24"/>
                              </w:rPr>
                            </w:pPr>
                            <w:r>
                              <w:rPr>
                                <w:rFonts w:hint="eastAsia"/>
                                <w:b/>
                                <w:bCs/>
                                <w:sz w:val="24"/>
                                <w:szCs w:val="24"/>
                              </w:rPr>
                              <w:t>风向</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9.6pt;margin-top:19.1pt;height:30.6pt;width:60.05pt;z-index:251671552;mso-width-relative:page;mso-height-relative:page;" filled="f" stroked="f" coordsize="21600,21600" o:gfxdata="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MqpOn2wAAAAkBAAAPAAAAAAAAAAEAIAAAACIAAABk&#10;cnMvZG93bnJldi54bWxQSwECFAAUAAAACACHTuJADjko9zwCAABnBAAADgAAAAAAAAABACAAAAAq&#10;AQAAZHJzL2Uyb0RvYy54bWxQSwUGAAAAAAYABgBZAQAA2AUAAAAA&#10;">
                <v:fill on="f" focussize="0,0"/>
                <v:stroke on="f" weight="0.5pt"/>
                <v:imagedata o:title=""/>
                <o:lock v:ext="edit" aspectratio="f"/>
                <v:textbox>
                  <w:txbxContent>
                    <w:p w14:paraId="1CF4943D">
                      <w:pPr>
                        <w:rPr>
                          <w:b/>
                          <w:bCs/>
                          <w:sz w:val="24"/>
                          <w:szCs w:val="24"/>
                        </w:rPr>
                      </w:pPr>
                      <w:r>
                        <w:rPr>
                          <w:rFonts w:hint="eastAsia"/>
                          <w:b/>
                          <w:bCs/>
                          <w:sz w:val="24"/>
                          <w:szCs w:val="24"/>
                        </w:rPr>
                        <w:t>风向</w:t>
                      </w:r>
                    </w:p>
                  </w:txbxContent>
                </v:textbox>
              </v:shape>
            </w:pict>
          </mc:Fallback>
        </mc:AlternateContent>
      </w:r>
      <w:r>
        <w:rPr>
          <w:rFonts w:hint="eastAsia" w:ascii="宋体" w:hAnsi="宋体"/>
          <w:sz w:val="28"/>
          <w:szCs w:val="28"/>
        </w:rPr>
        <mc:AlternateContent>
          <mc:Choice Requires="wps">
            <w:drawing>
              <wp:anchor distT="0" distB="0" distL="114300" distR="114300" simplePos="0" relativeHeight="251663360" behindDoc="0" locked="0" layoutInCell="1" allowOverlap="1">
                <wp:simplePos x="0" y="0"/>
                <wp:positionH relativeFrom="column">
                  <wp:posOffset>1285875</wp:posOffset>
                </wp:positionH>
                <wp:positionV relativeFrom="paragraph">
                  <wp:posOffset>138430</wp:posOffset>
                </wp:positionV>
                <wp:extent cx="327660" cy="38862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327660" cy="388620"/>
                        </a:xfrm>
                        <a:prstGeom prst="rect">
                          <a:avLst/>
                        </a:prstGeom>
                        <a:noFill/>
                        <a:ln w="6350">
                          <a:noFill/>
                        </a:ln>
                      </wps:spPr>
                      <wps:txbx>
                        <w:txbxContent>
                          <w:p w14:paraId="66D7CB87">
                            <w:pPr>
                              <w:rPr>
                                <w:rFonts w:hint="eastAsia" w:eastAsiaTheme="minorEastAsia"/>
                                <w:b/>
                                <w:bCs/>
                                <w:sz w:val="24"/>
                                <w:szCs w:val="24"/>
                                <w:lang w:val="en-US" w:eastAsia="zh-CN"/>
                              </w:rPr>
                            </w:pPr>
                            <w:r>
                              <w:rPr>
                                <w:rFonts w:hint="eastAsia"/>
                                <w:b/>
                                <w:bCs/>
                                <w:sz w:val="24"/>
                                <w:szCs w:val="24"/>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1.25pt;margin-top:10.9pt;height:30.6pt;width:25.8pt;z-index:251663360;mso-width-relative:page;mso-height-relative:page;" filled="f" stroked="f" coordsize="21600,21600" o:gfxdata="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C1bRqtkAAAAJAQAADwAAAAAAAAABACAAAAAiAAAAZHJz&#10;L2Rvd25yZXYueG1sUEsBAhQAFAAAAAgAh07iQLFUxVs8AgAAZwQAAA4AAAAAAAAAAQAgAAAAKAEA&#10;AGRycy9lMm9Eb2MueG1sUEsFBgAAAAAGAAYAWQEAANYFAAAAAA==&#10;">
                <v:fill on="f" focussize="0,0"/>
                <v:stroke on="f" weight="0.5pt"/>
                <v:imagedata o:title=""/>
                <o:lock v:ext="edit" aspectratio="f"/>
                <v:textbox>
                  <w:txbxContent>
                    <w:p w14:paraId="66D7CB87">
                      <w:pPr>
                        <w:rPr>
                          <w:rFonts w:hint="eastAsia" w:eastAsiaTheme="minorEastAsia"/>
                          <w:b/>
                          <w:bCs/>
                          <w:sz w:val="24"/>
                          <w:szCs w:val="24"/>
                          <w:lang w:val="en-US" w:eastAsia="zh-CN"/>
                        </w:rPr>
                      </w:pPr>
                      <w:r>
                        <w:rPr>
                          <w:rFonts w:hint="eastAsia"/>
                          <w:b/>
                          <w:bCs/>
                          <w:sz w:val="24"/>
                          <w:szCs w:val="24"/>
                          <w:lang w:val="en-US" w:eastAsia="zh-CN"/>
                        </w:rPr>
                        <w:t>1</w:t>
                      </w:r>
                    </w:p>
                  </w:txbxContent>
                </v:textbox>
              </v:shape>
            </w:pict>
          </mc:Fallback>
        </mc:AlternateContent>
      </w:r>
      <w:r>
        <w:rPr>
          <w:rFonts w:hint="eastAsia" w:ascii="宋体" w:hAnsi="宋体"/>
          <w:sz w:val="28"/>
          <w:szCs w:val="28"/>
        </w:rPr>
        <mc:AlternateContent>
          <mc:Choice Requires="wps">
            <w:drawing>
              <wp:anchor distT="0" distB="0" distL="114300" distR="114300" simplePos="0" relativeHeight="251662336" behindDoc="0" locked="0" layoutInCell="1" allowOverlap="1">
                <wp:simplePos x="0" y="0"/>
                <wp:positionH relativeFrom="column">
                  <wp:posOffset>1104900</wp:posOffset>
                </wp:positionH>
                <wp:positionV relativeFrom="paragraph">
                  <wp:posOffset>285115</wp:posOffset>
                </wp:positionV>
                <wp:extent cx="160020" cy="160020"/>
                <wp:effectExtent l="6350" t="6350" r="24130" b="24130"/>
                <wp:wrapNone/>
                <wp:docPr id="15" name="椭圆 15"/>
                <wp:cNvGraphicFramePr/>
                <a:graphic xmlns:a="http://schemas.openxmlformats.org/drawingml/2006/main">
                  <a:graphicData uri="http://schemas.microsoft.com/office/word/2010/wordprocessingShape">
                    <wps:wsp>
                      <wps:cNvSpPr/>
                      <wps:spPr>
                        <a:xfrm>
                          <a:off x="0" y="0"/>
                          <a:ext cx="160020" cy="16002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87pt;margin-top:22.45pt;height:12.6pt;width:12.6pt;z-index:251662336;v-text-anchor:middle;mso-width-relative:page;mso-height-relative:page;" filled="f" stroked="t" coordsize="21600,21600" o:gfxdata="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uCjW+1wAAAAkBAAAPAAAAAAAAAAEAIAAAACIAAABkcnMvZG93bnJldi54bWxQSwECFAAU&#10;AAAACACHTuJAGpqzlGQCAADPBAAADgAAAAAAAAABACAAAAAmAQAAZHJzL2Uyb0RvYy54bWxQSwUG&#10;AAAAAAYABgBZAQAA/AUAAAAA&#10;">
                <v:fill on="f" focussize="0,0"/>
                <v:stroke weight="1pt" color="#000000 [3213]" miterlimit="8" joinstyle="miter"/>
                <v:imagedata o:title=""/>
                <o:lock v:ext="edit" aspectratio="f"/>
              </v:shape>
            </w:pict>
          </mc:Fallback>
        </mc:AlternateContent>
      </w:r>
    </w:p>
    <w:p w14:paraId="40DB03C0">
      <w:pPr>
        <w:pStyle w:val="24"/>
        <w:spacing w:line="240" w:lineRule="auto"/>
        <w:ind w:firstLine="0" w:firstLineChars="0"/>
        <w:jc w:val="left"/>
        <w:rPr>
          <w:rFonts w:hint="eastAsia" w:ascii="宋体" w:hAnsi="宋体"/>
          <w:color w:val="FF0000"/>
          <w:sz w:val="28"/>
          <w:szCs w:val="28"/>
          <w:highlight w:val="yellow"/>
          <w:lang w:val="en-US"/>
        </w:rPr>
      </w:pPr>
      <w:r>
        <w:rPr>
          <w:rFonts w:hint="eastAsia" w:ascii="宋体" w:hAnsi="宋体"/>
          <w:sz w:val="28"/>
          <w:szCs w:val="28"/>
        </w:rPr>
        <mc:AlternateContent>
          <mc:Choice Requires="wps">
            <w:drawing>
              <wp:anchor distT="0" distB="0" distL="114300" distR="114300" simplePos="0" relativeHeight="251661312" behindDoc="0" locked="0" layoutInCell="1" allowOverlap="1">
                <wp:simplePos x="0" y="0"/>
                <wp:positionH relativeFrom="column">
                  <wp:posOffset>112395</wp:posOffset>
                </wp:positionH>
                <wp:positionV relativeFrom="paragraph">
                  <wp:posOffset>191770</wp:posOffset>
                </wp:positionV>
                <wp:extent cx="2644140" cy="1203960"/>
                <wp:effectExtent l="5080" t="4445" r="17780" b="10795"/>
                <wp:wrapNone/>
                <wp:docPr id="8" name="文本框 8"/>
                <wp:cNvGraphicFramePr/>
                <a:graphic xmlns:a="http://schemas.openxmlformats.org/drawingml/2006/main">
                  <a:graphicData uri="http://schemas.microsoft.com/office/word/2010/wordprocessingShape">
                    <wps:wsp>
                      <wps:cNvSpPr txBox="1"/>
                      <wps:spPr>
                        <a:xfrm>
                          <a:off x="0" y="0"/>
                          <a:ext cx="2644140" cy="1203960"/>
                        </a:xfrm>
                        <a:prstGeom prst="rect">
                          <a:avLst/>
                        </a:prstGeom>
                        <a:solidFill>
                          <a:schemeClr val="lt1"/>
                        </a:solidFill>
                        <a:ln w="6350">
                          <a:solidFill>
                            <a:prstClr val="black"/>
                          </a:solidFill>
                        </a:ln>
                      </wps:spPr>
                      <wps:txbx>
                        <w:txbxContent>
                          <w:p w14:paraId="3D9053F5">
                            <w:pPr>
                              <w:ind w:left="560" w:hanging="560" w:hangingChars="200"/>
                              <w:rPr>
                                <w:rFonts w:hint="eastAsia" w:ascii="宋体" w:hAnsi="宋体"/>
                                <w:b/>
                                <w:bCs/>
                                <w:sz w:val="28"/>
                                <w:szCs w:val="28"/>
                              </w:rPr>
                            </w:pPr>
                            <w:r>
                              <w:rPr>
                                <w:rFonts w:hint="eastAsia" w:ascii="宋体" w:hAnsi="宋体"/>
                                <w:b/>
                                <w:bCs/>
                                <w:sz w:val="28"/>
                                <w:szCs w:val="28"/>
                              </w:rPr>
                              <w:t>江西洪城水业环保有限公司  分公司</w:t>
                            </w:r>
                          </w:p>
                          <w:p w14:paraId="6866084D">
                            <w:pPr>
                              <w:pStyle w:val="2"/>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85pt;margin-top:15.1pt;height:94.8pt;width:208.2pt;z-index:251661312;mso-width-relative:page;mso-height-relative:page;" fillcolor="#FFFFFF [3201]" filled="t" stroked="t" coordsize="21600,21600" o:gfxdata="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YpVUddYA&#10;AAAJAQAADwAAAAAAAAABACAAAAAiAAAAZHJzL2Rvd25yZXYueG1sUEsBAhQAFAAAAAgAh07iQAXj&#10;QbNaAgAAuAQAAA4AAAAAAAAAAQAgAAAAJQEAAGRycy9lMm9Eb2MueG1sUEsFBgAAAAAGAAYAWQEA&#10;APEFAAAAAA==&#10;">
                <v:fill on="t" focussize="0,0"/>
                <v:stroke weight="0.5pt" color="#000000" joinstyle="round"/>
                <v:imagedata o:title=""/>
                <o:lock v:ext="edit" aspectratio="f"/>
                <v:textbox>
                  <w:txbxContent>
                    <w:p w14:paraId="3D9053F5">
                      <w:pPr>
                        <w:ind w:left="560" w:hanging="560" w:hangingChars="200"/>
                        <w:rPr>
                          <w:rFonts w:hint="eastAsia" w:ascii="宋体" w:hAnsi="宋体"/>
                          <w:b/>
                          <w:bCs/>
                          <w:sz w:val="28"/>
                          <w:szCs w:val="28"/>
                        </w:rPr>
                      </w:pPr>
                      <w:r>
                        <w:rPr>
                          <w:rFonts w:hint="eastAsia" w:ascii="宋体" w:hAnsi="宋体"/>
                          <w:b/>
                          <w:bCs/>
                          <w:sz w:val="28"/>
                          <w:szCs w:val="28"/>
                        </w:rPr>
                        <w:t>江西洪城水业环保有限公司  分公司</w:t>
                      </w:r>
                    </w:p>
                    <w:p w14:paraId="6866084D">
                      <w:pPr>
                        <w:pStyle w:val="2"/>
                      </w:pPr>
                    </w:p>
                  </w:txbxContent>
                </v:textbox>
              </v:shape>
            </w:pict>
          </mc:Fallback>
        </mc:AlternateContent>
      </w:r>
    </w:p>
    <w:p w14:paraId="27BF792F">
      <w:pPr>
        <w:pStyle w:val="24"/>
        <w:spacing w:line="240" w:lineRule="auto"/>
        <w:ind w:firstLine="0" w:firstLineChars="0"/>
        <w:jc w:val="left"/>
        <w:rPr>
          <w:rFonts w:hint="eastAsia" w:ascii="宋体" w:hAnsi="宋体"/>
          <w:color w:val="FF0000"/>
          <w:sz w:val="28"/>
          <w:szCs w:val="28"/>
          <w:highlight w:val="yellow"/>
          <w:lang w:val="en-US"/>
        </w:rPr>
      </w:pPr>
    </w:p>
    <w:p w14:paraId="7430FFD2">
      <w:pPr>
        <w:pStyle w:val="24"/>
        <w:spacing w:line="240" w:lineRule="auto"/>
        <w:ind w:firstLine="0" w:firstLineChars="0"/>
        <w:jc w:val="left"/>
        <w:rPr>
          <w:rFonts w:hint="eastAsia" w:ascii="宋体" w:hAnsi="宋体"/>
          <w:color w:val="FF0000"/>
          <w:sz w:val="28"/>
          <w:szCs w:val="28"/>
          <w:highlight w:val="yellow"/>
          <w:lang w:val="en-US"/>
        </w:rPr>
      </w:pPr>
      <w:r>
        <w:rPr>
          <w:rFonts w:hint="eastAsia" w:ascii="宋体" w:hAnsi="宋体"/>
          <w:sz w:val="28"/>
          <w:szCs w:val="28"/>
        </w:rPr>
        <mc:AlternateContent>
          <mc:Choice Requires="wps">
            <w:drawing>
              <wp:anchor distT="0" distB="0" distL="114300" distR="114300" simplePos="0" relativeHeight="251672576" behindDoc="0" locked="0" layoutInCell="1" allowOverlap="1">
                <wp:simplePos x="0" y="0"/>
                <wp:positionH relativeFrom="column">
                  <wp:posOffset>3446780</wp:posOffset>
                </wp:positionH>
                <wp:positionV relativeFrom="paragraph">
                  <wp:posOffset>73660</wp:posOffset>
                </wp:positionV>
                <wp:extent cx="1676400" cy="1082040"/>
                <wp:effectExtent l="0" t="0" r="0" b="3810"/>
                <wp:wrapNone/>
                <wp:docPr id="25" name="文本框 25"/>
                <wp:cNvGraphicFramePr/>
                <a:graphic xmlns:a="http://schemas.openxmlformats.org/drawingml/2006/main">
                  <a:graphicData uri="http://schemas.microsoft.com/office/word/2010/wordprocessingShape">
                    <wps:wsp>
                      <wps:cNvSpPr txBox="1"/>
                      <wps:spPr>
                        <a:xfrm>
                          <a:off x="0" y="0"/>
                          <a:ext cx="1676400" cy="1082040"/>
                        </a:xfrm>
                        <a:prstGeom prst="rect">
                          <a:avLst/>
                        </a:prstGeom>
                        <a:solidFill>
                          <a:schemeClr val="lt1"/>
                        </a:solidFill>
                        <a:ln w="6350">
                          <a:noFill/>
                        </a:ln>
                      </wps:spPr>
                      <wps:txbx>
                        <w:txbxContent>
                          <w:p w14:paraId="741CFBF9">
                            <w:pPr>
                              <w:pStyle w:val="24"/>
                              <w:spacing w:line="240" w:lineRule="atLeast"/>
                              <w:ind w:firstLine="0" w:firstLineChars="0"/>
                              <w:rPr>
                                <w:rFonts w:ascii="宋体" w:hAnsi="宋体"/>
                                <w:sz w:val="18"/>
                                <w:szCs w:val="18"/>
                              </w:rPr>
                            </w:pPr>
                            <w:r>
                              <w:rPr>
                                <w:rFonts w:hint="eastAsia" w:ascii="宋体" w:hAnsi="宋体"/>
                                <w:sz w:val="18"/>
                                <w:szCs w:val="18"/>
                              </w:rPr>
                              <w:t>注：</w:t>
                            </w:r>
                            <w:r>
                              <w:rPr>
                                <w:rFonts w:hint="eastAsia" w:ascii="宋体" w:hAnsi="宋体"/>
                                <w:sz w:val="18"/>
                                <w:szCs w:val="18"/>
                              </w:rPr>
                              <w:drawing>
                                <wp:inline distT="0" distB="0" distL="0" distR="0">
                                  <wp:extent cx="167640" cy="167640"/>
                                  <wp:effectExtent l="0" t="0" r="3810" b="381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67640" cy="167640"/>
                                          </a:xfrm>
                                          <a:prstGeom prst="rect">
                                            <a:avLst/>
                                          </a:prstGeom>
                                          <a:noFill/>
                                          <a:ln>
                                            <a:noFill/>
                                          </a:ln>
                                        </pic:spPr>
                                      </pic:pic>
                                    </a:graphicData>
                                  </a:graphic>
                                </wp:inline>
                              </w:drawing>
                            </w:r>
                            <w:r>
                              <w:rPr>
                                <w:rFonts w:hint="eastAsia" w:ascii="宋体" w:hAnsi="宋体"/>
                                <w:sz w:val="18"/>
                                <w:szCs w:val="18"/>
                              </w:rPr>
                              <w:t>为监测点</w:t>
                            </w:r>
                          </w:p>
                          <w:p w14:paraId="31AEEC96">
                            <w:pPr>
                              <w:pStyle w:val="24"/>
                              <w:spacing w:line="240" w:lineRule="atLeast"/>
                              <w:ind w:firstLine="0" w:firstLineChars="0"/>
                              <w:rPr>
                                <w:rFonts w:ascii="宋体" w:hAnsi="宋体"/>
                                <w:sz w:val="28"/>
                                <w:szCs w:val="28"/>
                              </w:rPr>
                            </w:pPr>
                            <w:r>
                              <w:rPr>
                                <w:rFonts w:hint="eastAsia" w:ascii="宋体" w:hAnsi="宋体"/>
                                <w:sz w:val="18"/>
                                <w:szCs w:val="18"/>
                              </w:rPr>
                              <w:t>根据监测期间的风向确定点位布设，上风向设1个参照点，下风向设3个监控点。</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1.4pt;margin-top:5.8pt;height:85.2pt;width:132pt;z-index:251672576;mso-width-relative:page;mso-height-relative:page;" fillcolor="#FFFFFF [3201]" filled="t" stroked="f" coordsize="21600,21600" o:gfxdata="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R2ibbNQAAAAKAQAADwAA&#10;AAAAAAABACAAAAAiAAAAZHJzL2Rvd25yZXYueG1sUEsBAhQAFAAAAAgAh07iQJIxcOVTAgAAkgQA&#10;AA4AAAAAAAAAAQAgAAAAIwEAAGRycy9lMm9Eb2MueG1sUEsFBgAAAAAGAAYAWQEAAOgFAAAAAA==&#10;">
                <v:fill on="t" focussize="0,0"/>
                <v:stroke on="f" weight="0.5pt"/>
                <v:imagedata o:title=""/>
                <o:lock v:ext="edit" aspectratio="f"/>
                <v:textbox>
                  <w:txbxContent>
                    <w:p w14:paraId="741CFBF9">
                      <w:pPr>
                        <w:pStyle w:val="24"/>
                        <w:spacing w:line="240" w:lineRule="atLeast"/>
                        <w:ind w:firstLine="0" w:firstLineChars="0"/>
                        <w:rPr>
                          <w:rFonts w:ascii="宋体" w:hAnsi="宋体"/>
                          <w:sz w:val="18"/>
                          <w:szCs w:val="18"/>
                        </w:rPr>
                      </w:pPr>
                      <w:r>
                        <w:rPr>
                          <w:rFonts w:hint="eastAsia" w:ascii="宋体" w:hAnsi="宋体"/>
                          <w:sz w:val="18"/>
                          <w:szCs w:val="18"/>
                        </w:rPr>
                        <w:t>注：</w:t>
                      </w:r>
                      <w:r>
                        <w:rPr>
                          <w:rFonts w:hint="eastAsia" w:ascii="宋体" w:hAnsi="宋体"/>
                          <w:sz w:val="18"/>
                          <w:szCs w:val="18"/>
                        </w:rPr>
                        <w:drawing>
                          <wp:inline distT="0" distB="0" distL="0" distR="0">
                            <wp:extent cx="167640" cy="167640"/>
                            <wp:effectExtent l="0" t="0" r="3810" b="381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67640" cy="167640"/>
                                    </a:xfrm>
                                    <a:prstGeom prst="rect">
                                      <a:avLst/>
                                    </a:prstGeom>
                                    <a:noFill/>
                                    <a:ln>
                                      <a:noFill/>
                                    </a:ln>
                                  </pic:spPr>
                                </pic:pic>
                              </a:graphicData>
                            </a:graphic>
                          </wp:inline>
                        </w:drawing>
                      </w:r>
                      <w:r>
                        <w:rPr>
                          <w:rFonts w:hint="eastAsia" w:ascii="宋体" w:hAnsi="宋体"/>
                          <w:sz w:val="18"/>
                          <w:szCs w:val="18"/>
                        </w:rPr>
                        <w:t>为监测点</w:t>
                      </w:r>
                    </w:p>
                    <w:p w14:paraId="31AEEC96">
                      <w:pPr>
                        <w:pStyle w:val="24"/>
                        <w:spacing w:line="240" w:lineRule="atLeast"/>
                        <w:ind w:firstLine="0" w:firstLineChars="0"/>
                        <w:rPr>
                          <w:rFonts w:ascii="宋体" w:hAnsi="宋体"/>
                          <w:sz w:val="28"/>
                          <w:szCs w:val="28"/>
                        </w:rPr>
                      </w:pPr>
                      <w:r>
                        <w:rPr>
                          <w:rFonts w:hint="eastAsia" w:ascii="宋体" w:hAnsi="宋体"/>
                          <w:sz w:val="18"/>
                          <w:szCs w:val="18"/>
                        </w:rPr>
                        <w:t>根据监测期间的风向确定点位布设，上风向设1个参照点，下风向设3个监控点。</w:t>
                      </w:r>
                    </w:p>
                  </w:txbxContent>
                </v:textbox>
              </v:shape>
            </w:pict>
          </mc:Fallback>
        </mc:AlternateContent>
      </w:r>
    </w:p>
    <w:p w14:paraId="54117F69">
      <w:pPr>
        <w:pStyle w:val="24"/>
        <w:spacing w:line="240" w:lineRule="auto"/>
        <w:ind w:firstLine="0" w:firstLineChars="0"/>
        <w:jc w:val="left"/>
        <w:rPr>
          <w:rFonts w:hint="eastAsia" w:ascii="宋体" w:hAnsi="宋体"/>
          <w:color w:val="FF0000"/>
          <w:sz w:val="28"/>
          <w:szCs w:val="28"/>
          <w:highlight w:val="yellow"/>
          <w:lang w:val="en-US"/>
        </w:rPr>
      </w:pPr>
      <w:r>
        <w:rPr>
          <w:rFonts w:hint="eastAsia" w:ascii="宋体" w:hAnsi="宋体"/>
          <w:sz w:val="28"/>
          <w:szCs w:val="28"/>
        </w:rPr>
        <mc:AlternateContent>
          <mc:Choice Requires="wps">
            <w:drawing>
              <wp:anchor distT="0" distB="0" distL="114300" distR="114300" simplePos="0" relativeHeight="251669504" behindDoc="0" locked="0" layoutInCell="1" allowOverlap="1">
                <wp:simplePos x="0" y="0"/>
                <wp:positionH relativeFrom="column">
                  <wp:posOffset>2409825</wp:posOffset>
                </wp:positionH>
                <wp:positionV relativeFrom="paragraph">
                  <wp:posOffset>67945</wp:posOffset>
                </wp:positionV>
                <wp:extent cx="327660" cy="38862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327660" cy="388620"/>
                        </a:xfrm>
                        <a:prstGeom prst="rect">
                          <a:avLst/>
                        </a:prstGeom>
                        <a:noFill/>
                        <a:ln w="6350">
                          <a:noFill/>
                        </a:ln>
                      </wps:spPr>
                      <wps:txbx>
                        <w:txbxContent>
                          <w:p w14:paraId="02559A32">
                            <w:pPr>
                              <w:rPr>
                                <w:rFonts w:hint="default" w:eastAsiaTheme="minorEastAsia"/>
                                <w:b/>
                                <w:bCs/>
                                <w:sz w:val="24"/>
                                <w:szCs w:val="24"/>
                                <w:lang w:val="en-US" w:eastAsia="zh-CN"/>
                              </w:rPr>
                            </w:pPr>
                            <w:r>
                              <w:rPr>
                                <w:rFonts w:hint="eastAsia"/>
                                <w:b/>
                                <w:bCs/>
                                <w:sz w:val="24"/>
                                <w:szCs w:val="24"/>
                                <w:lang w:val="en-US" w:eastAsia="zh-CN"/>
                              </w:rPr>
                              <w:t>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9.75pt;margin-top:5.35pt;height:30.6pt;width:25.8pt;z-index:251669504;mso-width-relative:page;mso-height-relative:page;" filled="f" stroked="f" coordsize="21600,21600" o:gfxdata="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&#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kxFni2gAAAAkBAAAPAAAAAAAAAAEAIAAAACIAAABk&#10;cnMvZG93bnJldi54bWxQSwECFAAUAAAACACHTuJAj0b1ZT0CAABnBAAADgAAAAAAAAABACAAAAAp&#10;AQAAZHJzL2Uyb0RvYy54bWxQSwUGAAAAAAYABgBZAQAA2AUAAAAA&#10;">
                <v:fill on="f" focussize="0,0"/>
                <v:stroke on="f" weight="0.5pt"/>
                <v:imagedata o:title=""/>
                <o:lock v:ext="edit" aspectratio="f"/>
                <v:textbox>
                  <w:txbxContent>
                    <w:p w14:paraId="02559A32">
                      <w:pPr>
                        <w:rPr>
                          <w:rFonts w:hint="default" w:eastAsiaTheme="minorEastAsia"/>
                          <w:b/>
                          <w:bCs/>
                          <w:sz w:val="24"/>
                          <w:szCs w:val="24"/>
                          <w:lang w:val="en-US" w:eastAsia="zh-CN"/>
                        </w:rPr>
                      </w:pPr>
                      <w:r>
                        <w:rPr>
                          <w:rFonts w:hint="eastAsia"/>
                          <w:b/>
                          <w:bCs/>
                          <w:sz w:val="24"/>
                          <w:szCs w:val="24"/>
                          <w:lang w:val="en-US" w:eastAsia="zh-CN"/>
                        </w:rPr>
                        <w:t>4</w:t>
                      </w:r>
                    </w:p>
                  </w:txbxContent>
                </v:textbox>
              </v:shape>
            </w:pict>
          </mc:Fallback>
        </mc:AlternateContent>
      </w:r>
      <w:r>
        <w:rPr>
          <w:rFonts w:hint="eastAsia" w:ascii="宋体" w:hAnsi="宋体"/>
          <w:sz w:val="28"/>
          <w:szCs w:val="28"/>
        </w:rPr>
        <mc:AlternateContent>
          <mc:Choice Requires="wps">
            <w:drawing>
              <wp:anchor distT="0" distB="0" distL="114300" distR="114300" simplePos="0" relativeHeight="251668480" behindDoc="0" locked="0" layoutInCell="1" allowOverlap="1">
                <wp:simplePos x="0" y="0"/>
                <wp:positionH relativeFrom="column">
                  <wp:posOffset>1609725</wp:posOffset>
                </wp:positionH>
                <wp:positionV relativeFrom="paragraph">
                  <wp:posOffset>58420</wp:posOffset>
                </wp:positionV>
                <wp:extent cx="327660" cy="38862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327660" cy="388620"/>
                        </a:xfrm>
                        <a:prstGeom prst="rect">
                          <a:avLst/>
                        </a:prstGeom>
                        <a:noFill/>
                        <a:ln w="6350">
                          <a:noFill/>
                        </a:ln>
                      </wps:spPr>
                      <wps:txbx>
                        <w:txbxContent>
                          <w:p w14:paraId="5405DE03">
                            <w:pPr>
                              <w:rPr>
                                <w:rFonts w:hint="default" w:eastAsiaTheme="minorEastAsia"/>
                                <w:b/>
                                <w:bCs/>
                                <w:sz w:val="24"/>
                                <w:szCs w:val="24"/>
                                <w:lang w:val="en-US" w:eastAsia="zh-CN"/>
                              </w:rPr>
                            </w:pPr>
                            <w:r>
                              <w:rPr>
                                <w:rFonts w:hint="eastAsia"/>
                                <w:b/>
                                <w:bCs/>
                                <w:sz w:val="24"/>
                                <w:szCs w:val="24"/>
                                <w:lang w:val="en-US" w:eastAsia="zh-CN"/>
                              </w:rPr>
                              <w:t>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6.75pt;margin-top:4.6pt;height:30.6pt;width:25.8pt;z-index:251668480;mso-width-relative:page;mso-height-relative:page;" filled="f" stroked="f" coordsize="21600,21600" o:gfxdata="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HFMRt2gAAAAgBAAAPAAAAAAAAAAEAIAAAACIAAABk&#10;cnMvZG93bnJldi54bWxQSwECFAAUAAAACACHTuJAyjAukj0CAABnBAAADgAAAAAAAAABACAAAAAp&#10;AQAAZHJzL2Uyb0RvYy54bWxQSwUGAAAAAAYABgBZAQAA2AUAAAAA&#10;">
                <v:fill on="f" focussize="0,0"/>
                <v:stroke on="f" weight="0.5pt"/>
                <v:imagedata o:title=""/>
                <o:lock v:ext="edit" aspectratio="f"/>
                <v:textbox>
                  <w:txbxContent>
                    <w:p w14:paraId="5405DE03">
                      <w:pPr>
                        <w:rPr>
                          <w:rFonts w:hint="default" w:eastAsiaTheme="minorEastAsia"/>
                          <w:b/>
                          <w:bCs/>
                          <w:sz w:val="24"/>
                          <w:szCs w:val="24"/>
                          <w:lang w:val="en-US" w:eastAsia="zh-CN"/>
                        </w:rPr>
                      </w:pPr>
                      <w:r>
                        <w:rPr>
                          <w:rFonts w:hint="eastAsia"/>
                          <w:b/>
                          <w:bCs/>
                          <w:sz w:val="24"/>
                          <w:szCs w:val="24"/>
                          <w:lang w:val="en-US" w:eastAsia="zh-CN"/>
                        </w:rPr>
                        <w:t>3</w:t>
                      </w:r>
                    </w:p>
                  </w:txbxContent>
                </v:textbox>
              </v:shape>
            </w:pict>
          </mc:Fallback>
        </mc:AlternateContent>
      </w:r>
      <w:r>
        <w:rPr>
          <w:rFonts w:hint="eastAsia" w:ascii="宋体" w:hAnsi="宋体"/>
          <w:sz w:val="28"/>
          <w:szCs w:val="28"/>
        </w:rPr>
        <mc:AlternateContent>
          <mc:Choice Requires="wps">
            <w:drawing>
              <wp:anchor distT="0" distB="0" distL="114300" distR="114300" simplePos="0" relativeHeight="251667456" behindDoc="0" locked="0" layoutInCell="1" allowOverlap="1">
                <wp:simplePos x="0" y="0"/>
                <wp:positionH relativeFrom="column">
                  <wp:posOffset>723900</wp:posOffset>
                </wp:positionH>
                <wp:positionV relativeFrom="paragraph">
                  <wp:posOffset>77470</wp:posOffset>
                </wp:positionV>
                <wp:extent cx="327660" cy="38862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327660" cy="388620"/>
                        </a:xfrm>
                        <a:prstGeom prst="rect">
                          <a:avLst/>
                        </a:prstGeom>
                        <a:noFill/>
                        <a:ln w="6350">
                          <a:noFill/>
                        </a:ln>
                      </wps:spPr>
                      <wps:txbx>
                        <w:txbxContent>
                          <w:p w14:paraId="14F82269">
                            <w:pPr>
                              <w:rPr>
                                <w:rFonts w:hint="default" w:eastAsiaTheme="minorEastAsia"/>
                                <w:b/>
                                <w:bCs/>
                                <w:sz w:val="24"/>
                                <w:szCs w:val="24"/>
                                <w:lang w:val="en-US" w:eastAsia="zh-CN"/>
                              </w:rPr>
                            </w:pPr>
                            <w:r>
                              <w:rPr>
                                <w:rFonts w:hint="eastAsia"/>
                                <w:b/>
                                <w:bCs/>
                                <w:sz w:val="24"/>
                                <w:szCs w:val="24"/>
                                <w:lang w:val="en-US" w:eastAsia="zh-CN"/>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7pt;margin-top:6.1pt;height:30.6pt;width:25.8pt;z-index:251667456;mso-width-relative:page;mso-height-relative:page;" filled="f" stroked="f" coordsize="21600,21600" o:gfxdata="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&#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WooCS2gAAAAkBAAAPAAAAAAAAAAEAIAAAACIAAABk&#10;cnMvZG93bnJldi54bWxQSwECFAAUAAAACACHTuJAkE/tej0CAABnBAAADgAAAAAAAAABACAAAAAp&#10;AQAAZHJzL2Uyb0RvYy54bWxQSwUGAAAAAAYABgBZAQAA2AUAAAAA&#10;">
                <v:fill on="f" focussize="0,0"/>
                <v:stroke on="f" weight="0.5pt"/>
                <v:imagedata o:title=""/>
                <o:lock v:ext="edit" aspectratio="f"/>
                <v:textbox>
                  <w:txbxContent>
                    <w:p w14:paraId="14F82269">
                      <w:pPr>
                        <w:rPr>
                          <w:rFonts w:hint="default" w:eastAsiaTheme="minorEastAsia"/>
                          <w:b/>
                          <w:bCs/>
                          <w:sz w:val="24"/>
                          <w:szCs w:val="24"/>
                          <w:lang w:val="en-US" w:eastAsia="zh-CN"/>
                        </w:rPr>
                      </w:pPr>
                      <w:r>
                        <w:rPr>
                          <w:rFonts w:hint="eastAsia"/>
                          <w:b/>
                          <w:bCs/>
                          <w:sz w:val="24"/>
                          <w:szCs w:val="24"/>
                          <w:lang w:val="en-US" w:eastAsia="zh-CN"/>
                        </w:rPr>
                        <w:t>2</w:t>
                      </w:r>
                    </w:p>
                  </w:txbxContent>
                </v:textbox>
              </v:shape>
            </w:pict>
          </mc:Fallback>
        </mc:AlternateContent>
      </w:r>
      <w:r>
        <w:rPr>
          <w:rFonts w:hint="eastAsia" w:ascii="宋体" w:hAnsi="宋体"/>
          <w:sz w:val="28"/>
          <w:szCs w:val="28"/>
        </w:rPr>
        <mc:AlternateContent>
          <mc:Choice Requires="wps">
            <w:drawing>
              <wp:anchor distT="0" distB="0" distL="114300" distR="114300" simplePos="0" relativeHeight="251666432" behindDoc="0" locked="0" layoutInCell="1" allowOverlap="1">
                <wp:simplePos x="0" y="0"/>
                <wp:positionH relativeFrom="column">
                  <wp:posOffset>2257425</wp:posOffset>
                </wp:positionH>
                <wp:positionV relativeFrom="paragraph">
                  <wp:posOffset>395605</wp:posOffset>
                </wp:positionV>
                <wp:extent cx="160020" cy="160020"/>
                <wp:effectExtent l="6350" t="6350" r="24130" b="24130"/>
                <wp:wrapNone/>
                <wp:docPr id="10" name="椭圆 10"/>
                <wp:cNvGraphicFramePr/>
                <a:graphic xmlns:a="http://schemas.openxmlformats.org/drawingml/2006/main">
                  <a:graphicData uri="http://schemas.microsoft.com/office/word/2010/wordprocessingShape">
                    <wps:wsp>
                      <wps:cNvSpPr/>
                      <wps:spPr>
                        <a:xfrm>
                          <a:off x="0" y="0"/>
                          <a:ext cx="160020" cy="16002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77.75pt;margin-top:31.15pt;height:12.6pt;width:12.6pt;z-index:251666432;v-text-anchor:middle;mso-width-relative:page;mso-height-relative:page;" filled="f" stroked="t" coordsize="21600,21600" o:gfxdata="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H4Z8BvXAAAACQEAAA8AAAAAAAAAAQAgAAAAIgAAAGRycy9kb3ducmV2LnhtbFBLAQIUABQA&#10;AAAIAIdO4kDWKGC/YwIAAM8EAAAOAAAAAAAAAAEAIAAAACYBAABkcnMvZTJvRG9jLnhtbFBLBQYA&#10;AAAABgAGAFkBAAD7BQAAAAA=&#10;">
                <v:fill on="f" focussize="0,0"/>
                <v:stroke weight="1pt" color="#000000 [3213]" miterlimit="8" joinstyle="miter"/>
                <v:imagedata o:title=""/>
                <o:lock v:ext="edit" aspectratio="f"/>
              </v:shape>
            </w:pict>
          </mc:Fallback>
        </mc:AlternateContent>
      </w:r>
      <w:r>
        <w:rPr>
          <w:rFonts w:hint="eastAsia" w:ascii="宋体" w:hAnsi="宋体"/>
          <w:sz w:val="28"/>
          <w:szCs w:val="28"/>
        </w:rPr>
        <mc:AlternateContent>
          <mc:Choice Requires="wps">
            <w:drawing>
              <wp:anchor distT="0" distB="0" distL="114300" distR="114300" simplePos="0" relativeHeight="251665408" behindDoc="0" locked="0" layoutInCell="1" allowOverlap="1">
                <wp:simplePos x="0" y="0"/>
                <wp:positionH relativeFrom="column">
                  <wp:posOffset>1447800</wp:posOffset>
                </wp:positionH>
                <wp:positionV relativeFrom="paragraph">
                  <wp:posOffset>376555</wp:posOffset>
                </wp:positionV>
                <wp:extent cx="160020" cy="160020"/>
                <wp:effectExtent l="6350" t="6350" r="24130" b="24130"/>
                <wp:wrapNone/>
                <wp:docPr id="9" name="椭圆 9"/>
                <wp:cNvGraphicFramePr/>
                <a:graphic xmlns:a="http://schemas.openxmlformats.org/drawingml/2006/main">
                  <a:graphicData uri="http://schemas.microsoft.com/office/word/2010/wordprocessingShape">
                    <wps:wsp>
                      <wps:cNvSpPr/>
                      <wps:spPr>
                        <a:xfrm>
                          <a:off x="0" y="0"/>
                          <a:ext cx="160020" cy="16002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14pt;margin-top:29.65pt;height:12.6pt;width:12.6pt;z-index:251665408;v-text-anchor:middle;mso-width-relative:page;mso-height-relative:page;" filled="f" stroked="t" coordsize="21600,21600" o:gfxdata="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nuj3x9gAAAAJAQAADwAAAAAAAAABACAAAAAiAAAAZHJzL2Rvd25yZXYueG1sUEsBAhQA&#10;FAAAAAgAh07iQPFpqYRkAgAAzQQAAA4AAAAAAAAAAQAgAAAAJwEAAGRycy9lMm9Eb2MueG1sUEsF&#10;BgAAAAAGAAYAWQEAAP0FAAAAAA==&#10;">
                <v:fill on="f" focussize="0,0"/>
                <v:stroke weight="1pt" color="#000000 [3213]" miterlimit="8" joinstyle="miter"/>
                <v:imagedata o:title=""/>
                <o:lock v:ext="edit" aspectratio="f"/>
              </v:shape>
            </w:pict>
          </mc:Fallback>
        </mc:AlternateContent>
      </w:r>
      <w:r>
        <w:rPr>
          <w:rFonts w:hint="eastAsia" w:ascii="宋体" w:hAnsi="宋体"/>
          <w:sz w:val="28"/>
          <w:szCs w:val="28"/>
        </w:rPr>
        <mc:AlternateContent>
          <mc:Choice Requires="wps">
            <w:drawing>
              <wp:anchor distT="0" distB="0" distL="114300" distR="114300" simplePos="0" relativeHeight="251664384" behindDoc="0" locked="0" layoutInCell="1" allowOverlap="1">
                <wp:simplePos x="0" y="0"/>
                <wp:positionH relativeFrom="column">
                  <wp:posOffset>533400</wp:posOffset>
                </wp:positionH>
                <wp:positionV relativeFrom="paragraph">
                  <wp:posOffset>376555</wp:posOffset>
                </wp:positionV>
                <wp:extent cx="160020" cy="160020"/>
                <wp:effectExtent l="6350" t="6350" r="24130" b="24130"/>
                <wp:wrapNone/>
                <wp:docPr id="7" name="椭圆 7"/>
                <wp:cNvGraphicFramePr/>
                <a:graphic xmlns:a="http://schemas.openxmlformats.org/drawingml/2006/main">
                  <a:graphicData uri="http://schemas.microsoft.com/office/word/2010/wordprocessingShape">
                    <wps:wsp>
                      <wps:cNvSpPr/>
                      <wps:spPr>
                        <a:xfrm>
                          <a:off x="0" y="0"/>
                          <a:ext cx="160020" cy="16002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42pt;margin-top:29.65pt;height:12.6pt;width:12.6pt;z-index:251664384;v-text-anchor:middle;mso-width-relative:page;mso-height-relative:page;" filled="f" stroked="t" coordsize="21600,21600" o:gfxdata="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GAVsf/WAAAACAEAAA8AAAAAAAAAAQAgAAAAIgAAAGRycy9kb3ducmV2LnhtbFBLAQIUABQA&#10;AAAIAIdO4kA/W3e1ZAIAAM0EAAAOAAAAAAAAAAEAIAAAACUBAABkcnMvZTJvRG9jLnhtbFBLBQYA&#10;AAAABgAGAFkBAAD7BQAAAAA=&#10;">
                <v:fill on="f" focussize="0,0"/>
                <v:stroke weight="1pt" color="#000000 [3213]" miterlimit="8" joinstyle="miter"/>
                <v:imagedata o:title=""/>
                <o:lock v:ext="edit" aspectratio="f"/>
              </v:shape>
            </w:pict>
          </mc:Fallback>
        </mc:AlternateContent>
      </w:r>
    </w:p>
    <w:p w14:paraId="396B4A20">
      <w:pPr>
        <w:pStyle w:val="24"/>
        <w:spacing w:line="240" w:lineRule="auto"/>
        <w:ind w:firstLine="0" w:firstLineChars="0"/>
        <w:jc w:val="left"/>
        <w:rPr>
          <w:rFonts w:hint="eastAsia" w:ascii="宋体" w:hAnsi="宋体"/>
          <w:color w:val="FF0000"/>
          <w:sz w:val="28"/>
          <w:szCs w:val="28"/>
          <w:highlight w:val="yellow"/>
          <w:lang w:val="en-US"/>
        </w:rPr>
      </w:pPr>
    </w:p>
    <w:p w14:paraId="07D0B636">
      <w:pPr>
        <w:pStyle w:val="24"/>
        <w:spacing w:line="240" w:lineRule="auto"/>
        <w:ind w:firstLine="0" w:firstLineChars="0"/>
        <w:jc w:val="left"/>
        <w:rPr>
          <w:rFonts w:hint="eastAsia" w:ascii="宋体" w:hAnsi="宋体"/>
          <w:color w:val="FF0000"/>
          <w:sz w:val="28"/>
          <w:szCs w:val="28"/>
          <w:highlight w:val="yellow"/>
          <w:lang w:val="en-US"/>
        </w:rPr>
      </w:pPr>
    </w:p>
    <w:p w14:paraId="1686D23B">
      <w:pPr>
        <w:pStyle w:val="24"/>
        <w:spacing w:line="240" w:lineRule="auto"/>
        <w:ind w:firstLine="0" w:firstLineChars="0"/>
        <w:jc w:val="left"/>
        <w:rPr>
          <w:rFonts w:hint="eastAsia" w:ascii="宋体" w:hAnsi="宋体"/>
          <w:color w:val="FF0000"/>
          <w:sz w:val="28"/>
          <w:szCs w:val="28"/>
          <w:highlight w:val="yellow"/>
          <w:lang w:val="en-US"/>
        </w:rPr>
      </w:pPr>
    </w:p>
    <w:p w14:paraId="13902143">
      <w:pPr>
        <w:pStyle w:val="24"/>
        <w:spacing w:line="240" w:lineRule="auto"/>
        <w:ind w:firstLine="0" w:firstLineChars="0"/>
        <w:jc w:val="left"/>
        <w:rPr>
          <w:rFonts w:hint="eastAsia" w:ascii="宋体" w:hAnsi="宋体"/>
          <w:color w:val="FF0000"/>
          <w:sz w:val="28"/>
          <w:szCs w:val="28"/>
          <w:highlight w:val="yellow"/>
          <w:lang w:val="en-US"/>
        </w:rPr>
      </w:pPr>
    </w:p>
    <w:p w14:paraId="6734B70B">
      <w:pPr>
        <w:pStyle w:val="24"/>
        <w:spacing w:line="240" w:lineRule="auto"/>
        <w:ind w:firstLine="0" w:firstLineChars="0"/>
        <w:jc w:val="left"/>
        <w:rPr>
          <w:rFonts w:hint="eastAsia" w:ascii="宋体" w:hAnsi="宋体"/>
          <w:color w:val="FF0000"/>
          <w:sz w:val="28"/>
          <w:szCs w:val="28"/>
          <w:highlight w:val="yellow"/>
          <w:lang w:val="en-US"/>
        </w:rPr>
      </w:pPr>
    </w:p>
    <w:p w14:paraId="69D718DD">
      <w:pPr>
        <w:pStyle w:val="24"/>
        <w:spacing w:line="240" w:lineRule="auto"/>
        <w:ind w:firstLine="0" w:firstLineChars="0"/>
        <w:jc w:val="left"/>
        <w:rPr>
          <w:rFonts w:hint="eastAsia" w:ascii="宋体" w:hAnsi="宋体"/>
          <w:color w:val="FF0000"/>
          <w:sz w:val="28"/>
          <w:szCs w:val="28"/>
          <w:highlight w:val="yellow"/>
          <w:lang w:val="en-US"/>
        </w:rPr>
      </w:pPr>
    </w:p>
    <w:p w14:paraId="613BAD29">
      <w:pPr>
        <w:pStyle w:val="24"/>
        <w:spacing w:line="240" w:lineRule="auto"/>
        <w:ind w:firstLine="562"/>
        <w:outlineLvl w:val="0"/>
        <w:rPr>
          <w:rFonts w:ascii="宋体" w:hAnsi="宋体"/>
          <w:b/>
          <w:bCs/>
          <w:sz w:val="28"/>
          <w:szCs w:val="28"/>
        </w:rPr>
      </w:pPr>
      <w:r>
        <w:rPr>
          <w:rFonts w:hint="eastAsia" w:ascii="宋体" w:hAnsi="宋体"/>
          <w:b/>
          <w:bCs/>
          <w:sz w:val="28"/>
          <w:szCs w:val="28"/>
          <w:lang w:val="en-US"/>
        </w:rPr>
        <w:t>三</w:t>
      </w:r>
      <w:r>
        <w:rPr>
          <w:rFonts w:hint="eastAsia" w:ascii="宋体" w:hAnsi="宋体"/>
          <w:b/>
          <w:bCs/>
          <w:sz w:val="28"/>
          <w:szCs w:val="28"/>
        </w:rPr>
        <w:t>、监测指标及相关信息</w:t>
      </w:r>
    </w:p>
    <w:p w14:paraId="52E8C3A9">
      <w:pPr>
        <w:pStyle w:val="24"/>
        <w:spacing w:line="240" w:lineRule="auto"/>
        <w:ind w:firstLine="560"/>
        <w:rPr>
          <w:rFonts w:ascii="宋体" w:hAnsi="宋体"/>
          <w:sz w:val="28"/>
          <w:szCs w:val="28"/>
        </w:rPr>
      </w:pPr>
      <w:r>
        <w:rPr>
          <w:rFonts w:hint="eastAsia" w:ascii="宋体" w:hAnsi="宋体"/>
          <w:sz w:val="28"/>
          <w:szCs w:val="28"/>
        </w:rPr>
        <w:t>本公司自行监测的具体监测点位、监测指标、监测频次和监测方法见下表。</w:t>
      </w:r>
    </w:p>
    <w:p w14:paraId="2B801F89">
      <w:pPr>
        <w:pStyle w:val="24"/>
        <w:spacing w:line="240" w:lineRule="auto"/>
        <w:ind w:firstLine="560"/>
        <w:rPr>
          <w:rFonts w:ascii="宋体" w:hAnsi="宋体"/>
          <w:sz w:val="28"/>
          <w:szCs w:val="28"/>
        </w:rPr>
        <w:sectPr>
          <w:footerReference r:id="rId3" w:type="default"/>
          <w:pgSz w:w="11906" w:h="16838"/>
          <w:pgMar w:top="1440" w:right="1800" w:bottom="1440" w:left="1800" w:header="851" w:footer="992" w:gutter="0"/>
          <w:cols w:space="425" w:num="1"/>
          <w:docGrid w:type="lines" w:linePitch="312" w:charSpace="0"/>
        </w:sectPr>
      </w:pPr>
    </w:p>
    <w:p w14:paraId="5C6AF167">
      <w:pPr>
        <w:adjustRightInd w:val="0"/>
        <w:snapToGrid w:val="0"/>
        <w:ind w:firstLine="560" w:firstLineChars="200"/>
        <w:jc w:val="left"/>
        <w:outlineLvl w:val="1"/>
        <w:rPr>
          <w:rFonts w:ascii="宋体" w:hAnsi="宋体" w:eastAsia="宋体" w:cs="宋体"/>
          <w:color w:val="000000"/>
          <w:sz w:val="28"/>
          <w:szCs w:val="28"/>
        </w:rPr>
      </w:pPr>
      <w:r>
        <w:rPr>
          <w:rFonts w:hint="eastAsia" w:ascii="宋体" w:hAnsi="宋体" w:eastAsia="宋体" w:cs="宋体"/>
          <w:color w:val="000000"/>
          <w:sz w:val="28"/>
          <w:szCs w:val="28"/>
        </w:rPr>
        <w:t>1、废气</w:t>
      </w:r>
      <w:r>
        <w:rPr>
          <w:rFonts w:hint="eastAsia" w:ascii="宋体" w:hAnsi="宋体" w:eastAsia="宋体" w:cs="宋体"/>
          <w:color w:val="auto"/>
          <w:sz w:val="28"/>
          <w:szCs w:val="28"/>
          <w:highlight w:val="none"/>
          <w:shd w:val="clear"/>
        </w:rPr>
        <w:t>无组织</w:t>
      </w:r>
      <w:r>
        <w:rPr>
          <w:rFonts w:hint="eastAsia" w:ascii="宋体" w:hAnsi="宋体" w:eastAsia="宋体" w:cs="宋体"/>
          <w:color w:val="000000"/>
          <w:sz w:val="28"/>
          <w:szCs w:val="28"/>
        </w:rPr>
        <w:t>自行监测及记录信息表</w:t>
      </w:r>
      <w:bookmarkStart w:id="1" w:name="BIAO15"/>
    </w:p>
    <w:bookmarkEnd w:id="1"/>
    <w:tbl>
      <w:tblPr>
        <w:tblStyle w:val="14"/>
        <w:tblW w:w="21408" w:type="dxa"/>
        <w:tblInd w:w="9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47"/>
        <w:gridCol w:w="900"/>
        <w:gridCol w:w="886"/>
        <w:gridCol w:w="955"/>
        <w:gridCol w:w="904"/>
        <w:gridCol w:w="809"/>
        <w:gridCol w:w="2983"/>
        <w:gridCol w:w="1418"/>
        <w:gridCol w:w="1631"/>
        <w:gridCol w:w="1771"/>
        <w:gridCol w:w="1701"/>
        <w:gridCol w:w="3827"/>
        <w:gridCol w:w="1666"/>
        <w:gridCol w:w="1410"/>
      </w:tblGrid>
      <w:tr w14:paraId="5405F4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683" w:hRule="atLeast"/>
          <w:tblHeader/>
        </w:trPr>
        <w:tc>
          <w:tcPr>
            <w:tcW w:w="547" w:type="dxa"/>
            <w:tcBorders>
              <w:tl2br w:val="nil"/>
              <w:tr2bl w:val="nil"/>
            </w:tcBorders>
            <w:shd w:val="clear" w:color="auto" w:fill="auto"/>
            <w:vAlign w:val="center"/>
          </w:tcPr>
          <w:p w14:paraId="0CE9BB40">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序号</w:t>
            </w:r>
          </w:p>
        </w:tc>
        <w:tc>
          <w:tcPr>
            <w:tcW w:w="900" w:type="dxa"/>
            <w:tcBorders>
              <w:tl2br w:val="nil"/>
              <w:tr2bl w:val="nil"/>
            </w:tcBorders>
            <w:shd w:val="clear" w:color="auto" w:fill="auto"/>
            <w:vAlign w:val="center"/>
          </w:tcPr>
          <w:p w14:paraId="363FDE5E">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污染源类别/监测类别</w:t>
            </w:r>
          </w:p>
        </w:tc>
        <w:tc>
          <w:tcPr>
            <w:tcW w:w="886" w:type="dxa"/>
            <w:tcBorders>
              <w:tl2br w:val="nil"/>
              <w:tr2bl w:val="nil"/>
            </w:tcBorders>
            <w:shd w:val="clear" w:color="auto" w:fill="auto"/>
            <w:vAlign w:val="center"/>
          </w:tcPr>
          <w:p w14:paraId="188994F5">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排放口编号/监测点位</w:t>
            </w:r>
          </w:p>
        </w:tc>
        <w:tc>
          <w:tcPr>
            <w:tcW w:w="955" w:type="dxa"/>
            <w:tcBorders>
              <w:tl2br w:val="nil"/>
              <w:tr2bl w:val="nil"/>
            </w:tcBorders>
            <w:shd w:val="clear" w:color="auto" w:fill="auto"/>
            <w:vAlign w:val="center"/>
          </w:tcPr>
          <w:p w14:paraId="21E3987A">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监测点位名称</w:t>
            </w:r>
          </w:p>
        </w:tc>
        <w:tc>
          <w:tcPr>
            <w:tcW w:w="904" w:type="dxa"/>
            <w:tcBorders>
              <w:tl2br w:val="nil"/>
              <w:tr2bl w:val="nil"/>
            </w:tcBorders>
            <w:shd w:val="clear" w:color="auto" w:fill="auto"/>
            <w:vAlign w:val="center"/>
          </w:tcPr>
          <w:p w14:paraId="46E85278">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监测指标</w:t>
            </w:r>
          </w:p>
        </w:tc>
        <w:tc>
          <w:tcPr>
            <w:tcW w:w="809" w:type="dxa"/>
            <w:tcBorders>
              <w:tl2br w:val="nil"/>
              <w:tr2bl w:val="nil"/>
            </w:tcBorders>
            <w:shd w:val="clear" w:color="auto" w:fill="auto"/>
            <w:vAlign w:val="center"/>
          </w:tcPr>
          <w:p w14:paraId="08BB9259">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监测设施</w:t>
            </w:r>
          </w:p>
        </w:tc>
        <w:tc>
          <w:tcPr>
            <w:tcW w:w="2983" w:type="dxa"/>
            <w:tcBorders>
              <w:tl2br w:val="nil"/>
              <w:tr2bl w:val="nil"/>
            </w:tcBorders>
            <w:shd w:val="clear" w:color="auto" w:fill="auto"/>
            <w:vAlign w:val="center"/>
          </w:tcPr>
          <w:p w14:paraId="1FAD8FC2">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排放标准</w:t>
            </w:r>
          </w:p>
        </w:tc>
        <w:tc>
          <w:tcPr>
            <w:tcW w:w="1418" w:type="dxa"/>
            <w:tcBorders>
              <w:tl2br w:val="nil"/>
              <w:tr2bl w:val="nil"/>
            </w:tcBorders>
            <w:shd w:val="clear" w:color="auto" w:fill="auto"/>
            <w:vAlign w:val="center"/>
          </w:tcPr>
          <w:p w14:paraId="6D9C5E87">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排放限值</w:t>
            </w:r>
          </w:p>
        </w:tc>
        <w:tc>
          <w:tcPr>
            <w:tcW w:w="1631" w:type="dxa"/>
            <w:tcBorders>
              <w:tl2br w:val="nil"/>
              <w:tr2bl w:val="nil"/>
            </w:tcBorders>
            <w:shd w:val="clear" w:color="auto" w:fill="auto"/>
            <w:vAlign w:val="center"/>
          </w:tcPr>
          <w:p w14:paraId="07BC96BE">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方法检出限</w:t>
            </w:r>
          </w:p>
        </w:tc>
        <w:tc>
          <w:tcPr>
            <w:tcW w:w="1771" w:type="dxa"/>
            <w:tcBorders>
              <w:tl2br w:val="nil"/>
              <w:tr2bl w:val="nil"/>
            </w:tcBorders>
            <w:shd w:val="clear" w:color="auto" w:fill="auto"/>
            <w:vAlign w:val="center"/>
          </w:tcPr>
          <w:p w14:paraId="43C65899">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手工监测采样方法及个数</w:t>
            </w:r>
          </w:p>
        </w:tc>
        <w:tc>
          <w:tcPr>
            <w:tcW w:w="1701" w:type="dxa"/>
            <w:tcBorders>
              <w:tl2br w:val="nil"/>
              <w:tr2bl w:val="nil"/>
            </w:tcBorders>
            <w:shd w:val="clear" w:color="auto" w:fill="auto"/>
            <w:vAlign w:val="center"/>
          </w:tcPr>
          <w:p w14:paraId="6B96CB6E">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手工监测频次</w:t>
            </w:r>
          </w:p>
        </w:tc>
        <w:tc>
          <w:tcPr>
            <w:tcW w:w="3827" w:type="dxa"/>
            <w:tcBorders>
              <w:tl2br w:val="nil"/>
              <w:tr2bl w:val="nil"/>
            </w:tcBorders>
            <w:shd w:val="clear" w:color="auto" w:fill="auto"/>
            <w:vAlign w:val="center"/>
          </w:tcPr>
          <w:p w14:paraId="1B9F4A99">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手工测定方法</w:t>
            </w:r>
          </w:p>
        </w:tc>
        <w:tc>
          <w:tcPr>
            <w:tcW w:w="1666" w:type="dxa"/>
            <w:tcBorders>
              <w:tl2br w:val="nil"/>
              <w:tr2bl w:val="nil"/>
            </w:tcBorders>
            <w:shd w:val="clear" w:color="auto" w:fill="auto"/>
            <w:vAlign w:val="center"/>
          </w:tcPr>
          <w:p w14:paraId="1CC022B0">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手工检测设备</w:t>
            </w:r>
          </w:p>
        </w:tc>
        <w:tc>
          <w:tcPr>
            <w:tcW w:w="1410" w:type="dxa"/>
            <w:tcBorders>
              <w:tl2br w:val="nil"/>
              <w:tr2bl w:val="nil"/>
            </w:tcBorders>
            <w:shd w:val="clear" w:color="auto" w:fill="auto"/>
            <w:vAlign w:val="center"/>
          </w:tcPr>
          <w:p w14:paraId="19D209B3">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其他信息</w:t>
            </w:r>
          </w:p>
        </w:tc>
      </w:tr>
      <w:tr w14:paraId="2347ED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57" w:hRule="atLeast"/>
        </w:trPr>
        <w:tc>
          <w:tcPr>
            <w:tcW w:w="547" w:type="dxa"/>
            <w:tcBorders>
              <w:tl2br w:val="nil"/>
              <w:tr2bl w:val="nil"/>
            </w:tcBorders>
            <w:shd w:val="clear" w:color="auto" w:fill="auto"/>
            <w:vAlign w:val="center"/>
          </w:tcPr>
          <w:p w14:paraId="1FE48879">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1</w:t>
            </w:r>
          </w:p>
        </w:tc>
        <w:tc>
          <w:tcPr>
            <w:tcW w:w="900" w:type="dxa"/>
            <w:tcBorders>
              <w:tl2br w:val="nil"/>
              <w:tr2bl w:val="nil"/>
            </w:tcBorders>
            <w:shd w:val="clear" w:color="auto" w:fill="auto"/>
            <w:vAlign w:val="center"/>
          </w:tcPr>
          <w:p w14:paraId="38471E49">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废气</w:t>
            </w:r>
          </w:p>
        </w:tc>
        <w:tc>
          <w:tcPr>
            <w:tcW w:w="886" w:type="dxa"/>
            <w:tcBorders>
              <w:tl2br w:val="nil"/>
              <w:tr2bl w:val="nil"/>
            </w:tcBorders>
            <w:shd w:val="clear" w:color="auto" w:fill="auto"/>
            <w:vAlign w:val="center"/>
          </w:tcPr>
          <w:p w14:paraId="34ED1F68">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val="en-US" w:eastAsia="zh-CN"/>
              </w:rPr>
              <w:t>CJ</w:t>
            </w:r>
            <w:r>
              <w:rPr>
                <w:rFonts w:hint="eastAsia" w:ascii="宋体" w:hAnsi="宋体" w:eastAsia="宋体" w:cs="宋体"/>
                <w:color w:val="auto"/>
                <w:kern w:val="0"/>
                <w:sz w:val="20"/>
                <w:szCs w:val="20"/>
                <w:highlight w:val="none"/>
              </w:rPr>
              <w:t>001</w:t>
            </w:r>
          </w:p>
        </w:tc>
        <w:tc>
          <w:tcPr>
            <w:tcW w:w="955" w:type="dxa"/>
            <w:tcBorders>
              <w:tl2br w:val="nil"/>
              <w:tr2bl w:val="nil"/>
            </w:tcBorders>
            <w:shd w:val="clear" w:color="auto" w:fill="auto"/>
            <w:vAlign w:val="center"/>
          </w:tcPr>
          <w:p w14:paraId="00FAD480">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厂界上风向1</w:t>
            </w:r>
          </w:p>
        </w:tc>
        <w:tc>
          <w:tcPr>
            <w:tcW w:w="904" w:type="dxa"/>
            <w:tcBorders>
              <w:tl2br w:val="nil"/>
              <w:tr2bl w:val="nil"/>
            </w:tcBorders>
            <w:shd w:val="clear" w:color="auto" w:fill="auto"/>
            <w:vAlign w:val="center"/>
          </w:tcPr>
          <w:p w14:paraId="13E760D1">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臭气浓度</w:t>
            </w:r>
          </w:p>
        </w:tc>
        <w:tc>
          <w:tcPr>
            <w:tcW w:w="809" w:type="dxa"/>
            <w:tcBorders>
              <w:tl2br w:val="nil"/>
              <w:tr2bl w:val="nil"/>
            </w:tcBorders>
            <w:shd w:val="clear" w:color="auto" w:fill="auto"/>
            <w:vAlign w:val="center"/>
          </w:tcPr>
          <w:p w14:paraId="1E5D581B">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手工</w:t>
            </w:r>
          </w:p>
        </w:tc>
        <w:tc>
          <w:tcPr>
            <w:tcW w:w="2983" w:type="dxa"/>
            <w:tcBorders>
              <w:tl2br w:val="nil"/>
              <w:tr2bl w:val="nil"/>
            </w:tcBorders>
            <w:shd w:val="clear" w:color="auto" w:fill="auto"/>
            <w:vAlign w:val="center"/>
          </w:tcPr>
          <w:p w14:paraId="5EF2D9D0">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《城镇污水处理厂污染物排放标准》（GB18918-2002）二级标准排放</w:t>
            </w:r>
          </w:p>
        </w:tc>
        <w:tc>
          <w:tcPr>
            <w:tcW w:w="1418" w:type="dxa"/>
            <w:tcBorders>
              <w:tl2br w:val="nil"/>
              <w:tr2bl w:val="nil"/>
            </w:tcBorders>
            <w:shd w:val="clear" w:color="auto" w:fill="auto"/>
            <w:vAlign w:val="center"/>
          </w:tcPr>
          <w:p w14:paraId="67B0B88C">
            <w:pPr>
              <w:widowControl/>
              <w:jc w:val="left"/>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上限:20（无量纲）</w:t>
            </w:r>
          </w:p>
        </w:tc>
        <w:tc>
          <w:tcPr>
            <w:tcW w:w="1631" w:type="dxa"/>
            <w:tcBorders>
              <w:tl2br w:val="nil"/>
              <w:tr2bl w:val="nil"/>
            </w:tcBorders>
            <w:shd w:val="clear" w:color="auto" w:fill="auto"/>
            <w:vAlign w:val="center"/>
          </w:tcPr>
          <w:p w14:paraId="026BDAD1">
            <w:pPr>
              <w:widowControl/>
              <w:jc w:val="left"/>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10(无量纲）</w:t>
            </w:r>
          </w:p>
        </w:tc>
        <w:tc>
          <w:tcPr>
            <w:tcW w:w="1771" w:type="dxa"/>
            <w:tcBorders>
              <w:tl2br w:val="nil"/>
              <w:tr2bl w:val="nil"/>
            </w:tcBorders>
            <w:shd w:val="clear" w:color="auto" w:fill="auto"/>
            <w:vAlign w:val="center"/>
          </w:tcPr>
          <w:p w14:paraId="3D2EA470">
            <w:pPr>
              <w:widowControl/>
              <w:jc w:val="left"/>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xml:space="preserve">非连续采样 </w:t>
            </w:r>
          </w:p>
          <w:p w14:paraId="40428F75">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至少</w:t>
            </w:r>
            <w:r>
              <w:rPr>
                <w:rFonts w:ascii="宋体" w:hAnsi="宋体" w:eastAsia="宋体" w:cs="宋体"/>
                <w:color w:val="auto"/>
                <w:kern w:val="0"/>
                <w:sz w:val="20"/>
                <w:szCs w:val="20"/>
                <w:highlight w:val="none"/>
              </w:rPr>
              <w:t>4</w:t>
            </w:r>
            <w:r>
              <w:rPr>
                <w:rFonts w:hint="eastAsia" w:ascii="宋体" w:hAnsi="宋体" w:eastAsia="宋体" w:cs="宋体"/>
                <w:color w:val="auto"/>
                <w:kern w:val="0"/>
                <w:sz w:val="20"/>
                <w:szCs w:val="20"/>
                <w:highlight w:val="none"/>
              </w:rPr>
              <w:t>个</w:t>
            </w:r>
          </w:p>
        </w:tc>
        <w:tc>
          <w:tcPr>
            <w:tcW w:w="1701" w:type="dxa"/>
            <w:tcBorders>
              <w:tl2br w:val="nil"/>
              <w:tr2bl w:val="nil"/>
            </w:tcBorders>
            <w:shd w:val="clear" w:color="auto" w:fill="auto"/>
            <w:vAlign w:val="center"/>
          </w:tcPr>
          <w:p w14:paraId="4573F29D">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1次/半年</w:t>
            </w:r>
          </w:p>
        </w:tc>
        <w:tc>
          <w:tcPr>
            <w:tcW w:w="3827" w:type="dxa"/>
            <w:tcBorders>
              <w:tl2br w:val="nil"/>
              <w:tr2bl w:val="nil"/>
            </w:tcBorders>
            <w:shd w:val="clear" w:color="auto" w:fill="auto"/>
            <w:vAlign w:val="center"/>
          </w:tcPr>
          <w:p w14:paraId="69C62DAA">
            <w:pPr>
              <w:widowControl/>
              <w:jc w:val="left"/>
              <w:textAlignment w:val="center"/>
              <w:rPr>
                <w:rFonts w:hint="default"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 xml:space="preserve">环境空气和废气 臭气的测定 </w:t>
            </w:r>
            <w:r>
              <w:rPr>
                <w:rFonts w:hint="eastAsia" w:ascii="宋体" w:hAnsi="宋体" w:eastAsia="宋体" w:cs="宋体"/>
                <w:color w:val="auto"/>
                <w:kern w:val="0"/>
                <w:sz w:val="20"/>
                <w:szCs w:val="20"/>
                <w:highlight w:val="none"/>
              </w:rPr>
              <w:t>三点比较式臭袋法</w:t>
            </w:r>
            <w:r>
              <w:rPr>
                <w:rFonts w:hint="eastAsia" w:ascii="宋体" w:hAnsi="宋体" w:eastAsia="宋体" w:cs="宋体"/>
                <w:color w:val="auto"/>
                <w:kern w:val="0"/>
                <w:sz w:val="20"/>
                <w:szCs w:val="20"/>
                <w:highlight w:val="none"/>
                <w:lang w:val="en-US" w:eastAsia="zh-CN"/>
              </w:rPr>
              <w:t xml:space="preserve">  HJ 1262-2022</w:t>
            </w:r>
          </w:p>
          <w:p w14:paraId="036931C7">
            <w:pPr>
              <w:widowControl/>
              <w:jc w:val="left"/>
              <w:textAlignment w:val="center"/>
              <w:rPr>
                <w:rFonts w:hint="default" w:ascii="宋体" w:hAnsi="宋体" w:eastAsia="宋体" w:cs="宋体"/>
                <w:color w:val="auto"/>
                <w:sz w:val="20"/>
                <w:szCs w:val="20"/>
                <w:highlight w:val="none"/>
                <w:lang w:val="en-US" w:eastAsia="zh-CN"/>
              </w:rPr>
            </w:pPr>
          </w:p>
        </w:tc>
        <w:tc>
          <w:tcPr>
            <w:tcW w:w="1666" w:type="dxa"/>
            <w:tcBorders>
              <w:tl2br w:val="nil"/>
              <w:tr2bl w:val="nil"/>
            </w:tcBorders>
            <w:shd w:val="clear" w:color="auto" w:fill="auto"/>
            <w:vAlign w:val="center"/>
          </w:tcPr>
          <w:p w14:paraId="1896E859">
            <w:pPr>
              <w:jc w:val="left"/>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w:t>
            </w:r>
          </w:p>
        </w:tc>
        <w:tc>
          <w:tcPr>
            <w:tcW w:w="1410" w:type="dxa"/>
            <w:tcBorders>
              <w:tl2br w:val="nil"/>
              <w:tr2bl w:val="nil"/>
            </w:tcBorders>
            <w:shd w:val="clear" w:color="auto" w:fill="auto"/>
            <w:vAlign w:val="center"/>
          </w:tcPr>
          <w:p w14:paraId="521FE748">
            <w:pPr>
              <w:jc w:val="left"/>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委托检测</w:t>
            </w:r>
          </w:p>
        </w:tc>
      </w:tr>
      <w:tr w14:paraId="6BBE0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57" w:hRule="atLeast"/>
        </w:trPr>
        <w:tc>
          <w:tcPr>
            <w:tcW w:w="547" w:type="dxa"/>
            <w:tcBorders>
              <w:tl2br w:val="nil"/>
              <w:tr2bl w:val="nil"/>
            </w:tcBorders>
            <w:shd w:val="clear" w:color="auto" w:fill="auto"/>
            <w:vAlign w:val="center"/>
          </w:tcPr>
          <w:p w14:paraId="70AB61D6">
            <w:pPr>
              <w:widowControl/>
              <w:jc w:val="center"/>
              <w:textAlignment w:val="center"/>
              <w:rPr>
                <w:color w:val="auto"/>
                <w:sz w:val="20"/>
                <w:szCs w:val="20"/>
                <w:highlight w:val="none"/>
              </w:rPr>
            </w:pPr>
            <w:r>
              <w:rPr>
                <w:rFonts w:hint="eastAsia"/>
                <w:color w:val="auto"/>
                <w:sz w:val="20"/>
                <w:szCs w:val="20"/>
                <w:highlight w:val="none"/>
              </w:rPr>
              <w:t>2</w:t>
            </w:r>
          </w:p>
        </w:tc>
        <w:tc>
          <w:tcPr>
            <w:tcW w:w="900" w:type="dxa"/>
            <w:tcBorders>
              <w:tl2br w:val="nil"/>
              <w:tr2bl w:val="nil"/>
            </w:tcBorders>
            <w:shd w:val="clear" w:color="auto" w:fill="auto"/>
            <w:vAlign w:val="center"/>
          </w:tcPr>
          <w:p w14:paraId="0610FE3B">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废气</w:t>
            </w:r>
          </w:p>
        </w:tc>
        <w:tc>
          <w:tcPr>
            <w:tcW w:w="886" w:type="dxa"/>
            <w:tcBorders>
              <w:tl2br w:val="nil"/>
              <w:tr2bl w:val="nil"/>
            </w:tcBorders>
            <w:shd w:val="clear" w:color="auto" w:fill="auto"/>
            <w:vAlign w:val="center"/>
          </w:tcPr>
          <w:p w14:paraId="1E11451A">
            <w:pPr>
              <w:widowControl/>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kern w:val="0"/>
                <w:sz w:val="20"/>
                <w:szCs w:val="20"/>
                <w:highlight w:val="none"/>
                <w:lang w:val="en-US" w:eastAsia="zh-CN"/>
              </w:rPr>
              <w:t>CJ</w:t>
            </w:r>
            <w:r>
              <w:rPr>
                <w:rFonts w:hint="eastAsia" w:ascii="宋体" w:hAnsi="宋体" w:eastAsia="宋体" w:cs="宋体"/>
                <w:color w:val="auto"/>
                <w:kern w:val="0"/>
                <w:sz w:val="20"/>
                <w:szCs w:val="20"/>
                <w:highlight w:val="none"/>
              </w:rPr>
              <w:t>00</w:t>
            </w:r>
            <w:r>
              <w:rPr>
                <w:rFonts w:hint="eastAsia" w:ascii="宋体" w:hAnsi="宋体" w:eastAsia="宋体" w:cs="宋体"/>
                <w:color w:val="auto"/>
                <w:kern w:val="0"/>
                <w:sz w:val="20"/>
                <w:szCs w:val="20"/>
                <w:highlight w:val="none"/>
                <w:lang w:val="en-US" w:eastAsia="zh-CN"/>
              </w:rPr>
              <w:t>2</w:t>
            </w:r>
          </w:p>
        </w:tc>
        <w:tc>
          <w:tcPr>
            <w:tcW w:w="955" w:type="dxa"/>
            <w:tcBorders>
              <w:tl2br w:val="nil"/>
              <w:tr2bl w:val="nil"/>
            </w:tcBorders>
            <w:shd w:val="clear" w:color="auto" w:fill="auto"/>
            <w:vAlign w:val="center"/>
          </w:tcPr>
          <w:p w14:paraId="6100EF56">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厂界下风向1</w:t>
            </w:r>
          </w:p>
        </w:tc>
        <w:tc>
          <w:tcPr>
            <w:tcW w:w="904" w:type="dxa"/>
            <w:tcBorders>
              <w:tl2br w:val="nil"/>
              <w:tr2bl w:val="nil"/>
            </w:tcBorders>
            <w:shd w:val="clear" w:color="auto" w:fill="auto"/>
            <w:vAlign w:val="center"/>
          </w:tcPr>
          <w:p w14:paraId="3D5C3D65">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臭气浓度</w:t>
            </w:r>
          </w:p>
        </w:tc>
        <w:tc>
          <w:tcPr>
            <w:tcW w:w="809" w:type="dxa"/>
            <w:tcBorders>
              <w:tl2br w:val="nil"/>
              <w:tr2bl w:val="nil"/>
            </w:tcBorders>
            <w:shd w:val="clear" w:color="auto" w:fill="auto"/>
            <w:vAlign w:val="center"/>
          </w:tcPr>
          <w:p w14:paraId="398616F8">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手工</w:t>
            </w:r>
          </w:p>
        </w:tc>
        <w:tc>
          <w:tcPr>
            <w:tcW w:w="2983" w:type="dxa"/>
            <w:tcBorders>
              <w:tl2br w:val="nil"/>
              <w:tr2bl w:val="nil"/>
            </w:tcBorders>
            <w:shd w:val="clear" w:color="auto" w:fill="auto"/>
            <w:vAlign w:val="center"/>
          </w:tcPr>
          <w:p w14:paraId="6891A753">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《城镇污水处理厂污染物排放标准》（GB18918-2002）二级标准排放</w:t>
            </w:r>
          </w:p>
        </w:tc>
        <w:tc>
          <w:tcPr>
            <w:tcW w:w="1418" w:type="dxa"/>
            <w:tcBorders>
              <w:tl2br w:val="nil"/>
              <w:tr2bl w:val="nil"/>
            </w:tcBorders>
            <w:shd w:val="clear" w:color="auto" w:fill="auto"/>
            <w:vAlign w:val="center"/>
          </w:tcPr>
          <w:p w14:paraId="017FE13E">
            <w:pPr>
              <w:widowControl/>
              <w:jc w:val="left"/>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上限:20（无量纲）</w:t>
            </w:r>
          </w:p>
        </w:tc>
        <w:tc>
          <w:tcPr>
            <w:tcW w:w="1631" w:type="dxa"/>
            <w:tcBorders>
              <w:tl2br w:val="nil"/>
              <w:tr2bl w:val="nil"/>
            </w:tcBorders>
            <w:shd w:val="clear" w:color="auto" w:fill="auto"/>
            <w:vAlign w:val="center"/>
          </w:tcPr>
          <w:p w14:paraId="44AB8D51">
            <w:pPr>
              <w:widowControl/>
              <w:jc w:val="left"/>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10(无量纲）</w:t>
            </w:r>
          </w:p>
        </w:tc>
        <w:tc>
          <w:tcPr>
            <w:tcW w:w="1771" w:type="dxa"/>
            <w:tcBorders>
              <w:tl2br w:val="nil"/>
              <w:tr2bl w:val="nil"/>
            </w:tcBorders>
            <w:shd w:val="clear" w:color="auto" w:fill="auto"/>
            <w:vAlign w:val="center"/>
          </w:tcPr>
          <w:p w14:paraId="1E4AF7C8">
            <w:pPr>
              <w:widowControl/>
              <w:jc w:val="left"/>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xml:space="preserve">非连续采样 </w:t>
            </w:r>
          </w:p>
          <w:p w14:paraId="41AD7901">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至少</w:t>
            </w:r>
            <w:r>
              <w:rPr>
                <w:rFonts w:ascii="宋体" w:hAnsi="宋体" w:eastAsia="宋体" w:cs="宋体"/>
                <w:color w:val="auto"/>
                <w:kern w:val="0"/>
                <w:sz w:val="20"/>
                <w:szCs w:val="20"/>
                <w:highlight w:val="none"/>
              </w:rPr>
              <w:t>4</w:t>
            </w:r>
            <w:r>
              <w:rPr>
                <w:rFonts w:hint="eastAsia" w:ascii="宋体" w:hAnsi="宋体" w:eastAsia="宋体" w:cs="宋体"/>
                <w:color w:val="auto"/>
                <w:kern w:val="0"/>
                <w:sz w:val="20"/>
                <w:szCs w:val="20"/>
                <w:highlight w:val="none"/>
              </w:rPr>
              <w:t>个</w:t>
            </w:r>
          </w:p>
        </w:tc>
        <w:tc>
          <w:tcPr>
            <w:tcW w:w="1701" w:type="dxa"/>
            <w:tcBorders>
              <w:tl2br w:val="nil"/>
              <w:tr2bl w:val="nil"/>
            </w:tcBorders>
            <w:shd w:val="clear" w:color="auto" w:fill="auto"/>
            <w:vAlign w:val="center"/>
          </w:tcPr>
          <w:p w14:paraId="0881F61D">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1次/半年</w:t>
            </w:r>
          </w:p>
        </w:tc>
        <w:tc>
          <w:tcPr>
            <w:tcW w:w="3827" w:type="dxa"/>
            <w:tcBorders>
              <w:tl2br w:val="nil"/>
              <w:tr2bl w:val="nil"/>
            </w:tcBorders>
            <w:shd w:val="clear" w:color="auto" w:fill="auto"/>
            <w:vAlign w:val="center"/>
          </w:tcPr>
          <w:p w14:paraId="0C0BFBE9">
            <w:pPr>
              <w:widowControl/>
              <w:jc w:val="left"/>
              <w:textAlignment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kern w:val="0"/>
                <w:sz w:val="20"/>
                <w:szCs w:val="20"/>
                <w:highlight w:val="none"/>
                <w:lang w:eastAsia="zh-CN"/>
              </w:rPr>
              <w:t>环境空气和废气 臭气的测定 三点比较式臭袋法  HJ 1262-2022</w:t>
            </w:r>
          </w:p>
        </w:tc>
        <w:tc>
          <w:tcPr>
            <w:tcW w:w="1666" w:type="dxa"/>
            <w:tcBorders>
              <w:tl2br w:val="nil"/>
              <w:tr2bl w:val="nil"/>
            </w:tcBorders>
            <w:shd w:val="clear" w:color="auto" w:fill="auto"/>
            <w:vAlign w:val="center"/>
          </w:tcPr>
          <w:p w14:paraId="26BCC8D4">
            <w:pPr>
              <w:jc w:val="left"/>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w:t>
            </w:r>
          </w:p>
        </w:tc>
        <w:tc>
          <w:tcPr>
            <w:tcW w:w="1410" w:type="dxa"/>
            <w:tcBorders>
              <w:tl2br w:val="nil"/>
              <w:tr2bl w:val="nil"/>
            </w:tcBorders>
            <w:shd w:val="clear" w:color="auto" w:fill="auto"/>
            <w:vAlign w:val="center"/>
          </w:tcPr>
          <w:p w14:paraId="2375C041">
            <w:pPr>
              <w:jc w:val="left"/>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委托检测</w:t>
            </w:r>
          </w:p>
        </w:tc>
      </w:tr>
      <w:tr w14:paraId="21E201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57" w:hRule="atLeast"/>
        </w:trPr>
        <w:tc>
          <w:tcPr>
            <w:tcW w:w="547" w:type="dxa"/>
            <w:tcBorders>
              <w:tl2br w:val="nil"/>
              <w:tr2bl w:val="nil"/>
            </w:tcBorders>
            <w:shd w:val="clear" w:color="auto" w:fill="auto"/>
            <w:vAlign w:val="center"/>
          </w:tcPr>
          <w:p w14:paraId="13D42780">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w:t>
            </w:r>
          </w:p>
        </w:tc>
        <w:tc>
          <w:tcPr>
            <w:tcW w:w="900" w:type="dxa"/>
            <w:tcBorders>
              <w:tl2br w:val="nil"/>
              <w:tr2bl w:val="nil"/>
            </w:tcBorders>
            <w:shd w:val="clear" w:color="auto" w:fill="auto"/>
            <w:vAlign w:val="center"/>
          </w:tcPr>
          <w:p w14:paraId="10099844">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废气</w:t>
            </w:r>
          </w:p>
        </w:tc>
        <w:tc>
          <w:tcPr>
            <w:tcW w:w="886" w:type="dxa"/>
            <w:tcBorders>
              <w:tl2br w:val="nil"/>
              <w:tr2bl w:val="nil"/>
            </w:tcBorders>
            <w:shd w:val="clear" w:color="auto" w:fill="auto"/>
            <w:vAlign w:val="center"/>
          </w:tcPr>
          <w:p w14:paraId="4B01DF5F">
            <w:pPr>
              <w:widowControl/>
              <w:jc w:val="left"/>
              <w:textAlignment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kern w:val="0"/>
                <w:sz w:val="20"/>
                <w:szCs w:val="20"/>
                <w:highlight w:val="none"/>
                <w:lang w:val="en-US" w:eastAsia="zh-CN"/>
              </w:rPr>
              <w:t>CJ</w:t>
            </w:r>
            <w:r>
              <w:rPr>
                <w:rFonts w:hint="eastAsia" w:ascii="宋体" w:hAnsi="宋体" w:eastAsia="宋体" w:cs="宋体"/>
                <w:color w:val="auto"/>
                <w:kern w:val="0"/>
                <w:sz w:val="20"/>
                <w:szCs w:val="20"/>
                <w:highlight w:val="none"/>
              </w:rPr>
              <w:t>00</w:t>
            </w:r>
            <w:r>
              <w:rPr>
                <w:rFonts w:hint="eastAsia" w:ascii="宋体" w:hAnsi="宋体" w:eastAsia="宋体" w:cs="宋体"/>
                <w:color w:val="auto"/>
                <w:kern w:val="0"/>
                <w:sz w:val="20"/>
                <w:szCs w:val="20"/>
                <w:highlight w:val="none"/>
                <w:lang w:val="en-US" w:eastAsia="zh-CN"/>
              </w:rPr>
              <w:t>3</w:t>
            </w:r>
          </w:p>
        </w:tc>
        <w:tc>
          <w:tcPr>
            <w:tcW w:w="955" w:type="dxa"/>
            <w:tcBorders>
              <w:tl2br w:val="nil"/>
              <w:tr2bl w:val="nil"/>
            </w:tcBorders>
            <w:shd w:val="clear" w:color="auto" w:fill="auto"/>
            <w:vAlign w:val="center"/>
          </w:tcPr>
          <w:p w14:paraId="6FCFED62">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厂界下风向2</w:t>
            </w:r>
          </w:p>
        </w:tc>
        <w:tc>
          <w:tcPr>
            <w:tcW w:w="904" w:type="dxa"/>
            <w:tcBorders>
              <w:tl2br w:val="nil"/>
              <w:tr2bl w:val="nil"/>
            </w:tcBorders>
            <w:shd w:val="clear" w:color="auto" w:fill="auto"/>
            <w:vAlign w:val="center"/>
          </w:tcPr>
          <w:p w14:paraId="11C12569">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臭气浓度</w:t>
            </w:r>
          </w:p>
        </w:tc>
        <w:tc>
          <w:tcPr>
            <w:tcW w:w="809" w:type="dxa"/>
            <w:tcBorders>
              <w:tl2br w:val="nil"/>
              <w:tr2bl w:val="nil"/>
            </w:tcBorders>
            <w:shd w:val="clear" w:color="auto" w:fill="auto"/>
            <w:vAlign w:val="center"/>
          </w:tcPr>
          <w:p w14:paraId="3E20B0A3">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手工</w:t>
            </w:r>
          </w:p>
        </w:tc>
        <w:tc>
          <w:tcPr>
            <w:tcW w:w="2983" w:type="dxa"/>
            <w:tcBorders>
              <w:tl2br w:val="nil"/>
              <w:tr2bl w:val="nil"/>
            </w:tcBorders>
            <w:shd w:val="clear" w:color="auto" w:fill="auto"/>
            <w:vAlign w:val="center"/>
          </w:tcPr>
          <w:p w14:paraId="7AF0418F">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《城镇污水处理厂污染物排放标准》（GB18918-2002）二级标准排放</w:t>
            </w:r>
          </w:p>
        </w:tc>
        <w:tc>
          <w:tcPr>
            <w:tcW w:w="1418" w:type="dxa"/>
            <w:tcBorders>
              <w:tl2br w:val="nil"/>
              <w:tr2bl w:val="nil"/>
            </w:tcBorders>
            <w:shd w:val="clear" w:color="auto" w:fill="auto"/>
            <w:vAlign w:val="center"/>
          </w:tcPr>
          <w:p w14:paraId="294BCB0D">
            <w:pPr>
              <w:widowControl/>
              <w:jc w:val="left"/>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上限:20（无量纲）</w:t>
            </w:r>
          </w:p>
        </w:tc>
        <w:tc>
          <w:tcPr>
            <w:tcW w:w="1631" w:type="dxa"/>
            <w:tcBorders>
              <w:tl2br w:val="nil"/>
              <w:tr2bl w:val="nil"/>
            </w:tcBorders>
            <w:shd w:val="clear" w:color="auto" w:fill="auto"/>
            <w:vAlign w:val="center"/>
          </w:tcPr>
          <w:p w14:paraId="0708D6A4">
            <w:pPr>
              <w:widowControl/>
              <w:jc w:val="left"/>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10(无量纲）</w:t>
            </w:r>
          </w:p>
        </w:tc>
        <w:tc>
          <w:tcPr>
            <w:tcW w:w="1771" w:type="dxa"/>
            <w:tcBorders>
              <w:tl2br w:val="nil"/>
              <w:tr2bl w:val="nil"/>
            </w:tcBorders>
            <w:shd w:val="clear" w:color="auto" w:fill="auto"/>
            <w:vAlign w:val="center"/>
          </w:tcPr>
          <w:p w14:paraId="48D89630">
            <w:pPr>
              <w:widowControl/>
              <w:jc w:val="left"/>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xml:space="preserve">非连续采样 </w:t>
            </w:r>
          </w:p>
          <w:p w14:paraId="0F8C8912">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至少</w:t>
            </w:r>
            <w:r>
              <w:rPr>
                <w:rFonts w:ascii="宋体" w:hAnsi="宋体" w:eastAsia="宋体" w:cs="宋体"/>
                <w:color w:val="auto"/>
                <w:kern w:val="0"/>
                <w:sz w:val="20"/>
                <w:szCs w:val="20"/>
                <w:highlight w:val="none"/>
              </w:rPr>
              <w:t>4</w:t>
            </w:r>
            <w:r>
              <w:rPr>
                <w:rFonts w:hint="eastAsia" w:ascii="宋体" w:hAnsi="宋体" w:eastAsia="宋体" w:cs="宋体"/>
                <w:color w:val="auto"/>
                <w:kern w:val="0"/>
                <w:sz w:val="20"/>
                <w:szCs w:val="20"/>
                <w:highlight w:val="none"/>
              </w:rPr>
              <w:t>个</w:t>
            </w:r>
          </w:p>
        </w:tc>
        <w:tc>
          <w:tcPr>
            <w:tcW w:w="1701" w:type="dxa"/>
            <w:tcBorders>
              <w:tl2br w:val="nil"/>
              <w:tr2bl w:val="nil"/>
            </w:tcBorders>
            <w:shd w:val="clear" w:color="auto" w:fill="auto"/>
            <w:vAlign w:val="center"/>
          </w:tcPr>
          <w:p w14:paraId="270F07CF">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1次/半年</w:t>
            </w:r>
          </w:p>
        </w:tc>
        <w:tc>
          <w:tcPr>
            <w:tcW w:w="3827" w:type="dxa"/>
            <w:tcBorders>
              <w:tl2br w:val="nil"/>
              <w:tr2bl w:val="nil"/>
            </w:tcBorders>
            <w:shd w:val="clear" w:color="auto" w:fill="auto"/>
            <w:vAlign w:val="center"/>
          </w:tcPr>
          <w:p w14:paraId="0DC120CC">
            <w:pPr>
              <w:widowControl/>
              <w:jc w:val="left"/>
              <w:textAlignment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kern w:val="0"/>
                <w:sz w:val="20"/>
                <w:szCs w:val="20"/>
                <w:highlight w:val="none"/>
                <w:lang w:eastAsia="zh-CN"/>
              </w:rPr>
              <w:t>环境空气和废气 臭气的测定 三点比较式臭袋法  HJ 1262-2022</w:t>
            </w:r>
          </w:p>
        </w:tc>
        <w:tc>
          <w:tcPr>
            <w:tcW w:w="1666" w:type="dxa"/>
            <w:tcBorders>
              <w:tl2br w:val="nil"/>
              <w:tr2bl w:val="nil"/>
            </w:tcBorders>
            <w:shd w:val="clear" w:color="auto" w:fill="auto"/>
            <w:vAlign w:val="center"/>
          </w:tcPr>
          <w:p w14:paraId="779229F8">
            <w:pPr>
              <w:jc w:val="left"/>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w:t>
            </w:r>
          </w:p>
        </w:tc>
        <w:tc>
          <w:tcPr>
            <w:tcW w:w="1410" w:type="dxa"/>
            <w:tcBorders>
              <w:tl2br w:val="nil"/>
              <w:tr2bl w:val="nil"/>
            </w:tcBorders>
            <w:shd w:val="clear" w:color="auto" w:fill="auto"/>
            <w:vAlign w:val="center"/>
          </w:tcPr>
          <w:p w14:paraId="096EF39D">
            <w:pPr>
              <w:jc w:val="left"/>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委托检测</w:t>
            </w:r>
          </w:p>
        </w:tc>
      </w:tr>
      <w:tr w14:paraId="619DF4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57" w:hRule="atLeast"/>
        </w:trPr>
        <w:tc>
          <w:tcPr>
            <w:tcW w:w="547" w:type="dxa"/>
            <w:tcBorders>
              <w:tl2br w:val="nil"/>
              <w:tr2bl w:val="nil"/>
            </w:tcBorders>
            <w:shd w:val="clear" w:color="auto" w:fill="auto"/>
            <w:vAlign w:val="center"/>
          </w:tcPr>
          <w:p w14:paraId="01A4EDA8">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w:t>
            </w:r>
          </w:p>
        </w:tc>
        <w:tc>
          <w:tcPr>
            <w:tcW w:w="900" w:type="dxa"/>
            <w:tcBorders>
              <w:tl2br w:val="nil"/>
              <w:tr2bl w:val="nil"/>
            </w:tcBorders>
            <w:shd w:val="clear" w:color="auto" w:fill="auto"/>
            <w:vAlign w:val="center"/>
          </w:tcPr>
          <w:p w14:paraId="3A9FFE7F">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废气</w:t>
            </w:r>
          </w:p>
        </w:tc>
        <w:tc>
          <w:tcPr>
            <w:tcW w:w="886" w:type="dxa"/>
            <w:tcBorders>
              <w:tl2br w:val="nil"/>
              <w:tr2bl w:val="nil"/>
            </w:tcBorders>
            <w:shd w:val="clear" w:color="auto" w:fill="auto"/>
            <w:vAlign w:val="center"/>
          </w:tcPr>
          <w:p w14:paraId="12CDA626">
            <w:pPr>
              <w:widowControl/>
              <w:jc w:val="left"/>
              <w:textAlignment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kern w:val="0"/>
                <w:sz w:val="20"/>
                <w:szCs w:val="20"/>
                <w:highlight w:val="none"/>
                <w:lang w:val="en-US" w:eastAsia="zh-CN"/>
              </w:rPr>
              <w:t>CJ</w:t>
            </w:r>
            <w:r>
              <w:rPr>
                <w:rFonts w:hint="eastAsia" w:ascii="宋体" w:hAnsi="宋体" w:eastAsia="宋体" w:cs="宋体"/>
                <w:color w:val="auto"/>
                <w:kern w:val="0"/>
                <w:sz w:val="20"/>
                <w:szCs w:val="20"/>
                <w:highlight w:val="none"/>
              </w:rPr>
              <w:t>00</w:t>
            </w:r>
            <w:r>
              <w:rPr>
                <w:rFonts w:hint="eastAsia" w:ascii="宋体" w:hAnsi="宋体" w:eastAsia="宋体" w:cs="宋体"/>
                <w:color w:val="auto"/>
                <w:kern w:val="0"/>
                <w:sz w:val="20"/>
                <w:szCs w:val="20"/>
                <w:highlight w:val="none"/>
                <w:lang w:val="en-US" w:eastAsia="zh-CN"/>
              </w:rPr>
              <w:t>4</w:t>
            </w:r>
          </w:p>
        </w:tc>
        <w:tc>
          <w:tcPr>
            <w:tcW w:w="955" w:type="dxa"/>
            <w:tcBorders>
              <w:tl2br w:val="nil"/>
              <w:tr2bl w:val="nil"/>
            </w:tcBorders>
            <w:shd w:val="clear" w:color="auto" w:fill="auto"/>
            <w:vAlign w:val="center"/>
          </w:tcPr>
          <w:p w14:paraId="7284429E">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厂界下风向3</w:t>
            </w:r>
          </w:p>
        </w:tc>
        <w:tc>
          <w:tcPr>
            <w:tcW w:w="904" w:type="dxa"/>
            <w:tcBorders>
              <w:tl2br w:val="nil"/>
              <w:tr2bl w:val="nil"/>
            </w:tcBorders>
            <w:shd w:val="clear" w:color="auto" w:fill="auto"/>
            <w:vAlign w:val="center"/>
          </w:tcPr>
          <w:p w14:paraId="75486ED5">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臭气浓度</w:t>
            </w:r>
          </w:p>
        </w:tc>
        <w:tc>
          <w:tcPr>
            <w:tcW w:w="809" w:type="dxa"/>
            <w:tcBorders>
              <w:tl2br w:val="nil"/>
              <w:tr2bl w:val="nil"/>
            </w:tcBorders>
            <w:shd w:val="clear" w:color="auto" w:fill="auto"/>
            <w:vAlign w:val="center"/>
          </w:tcPr>
          <w:p w14:paraId="39A99756">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手工</w:t>
            </w:r>
          </w:p>
        </w:tc>
        <w:tc>
          <w:tcPr>
            <w:tcW w:w="2983" w:type="dxa"/>
            <w:tcBorders>
              <w:tl2br w:val="nil"/>
              <w:tr2bl w:val="nil"/>
            </w:tcBorders>
            <w:shd w:val="clear" w:color="auto" w:fill="auto"/>
            <w:vAlign w:val="center"/>
          </w:tcPr>
          <w:p w14:paraId="3C109417">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《城镇污水处理厂污染物排放标准》（GB18918-2002）二级标准排放</w:t>
            </w:r>
          </w:p>
        </w:tc>
        <w:tc>
          <w:tcPr>
            <w:tcW w:w="1418" w:type="dxa"/>
            <w:tcBorders>
              <w:tl2br w:val="nil"/>
              <w:tr2bl w:val="nil"/>
            </w:tcBorders>
            <w:shd w:val="clear" w:color="auto" w:fill="auto"/>
            <w:vAlign w:val="center"/>
          </w:tcPr>
          <w:p w14:paraId="5DE167E7">
            <w:pPr>
              <w:widowControl/>
              <w:jc w:val="left"/>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上限:20（无量纲）</w:t>
            </w:r>
          </w:p>
        </w:tc>
        <w:tc>
          <w:tcPr>
            <w:tcW w:w="1631" w:type="dxa"/>
            <w:tcBorders>
              <w:tl2br w:val="nil"/>
              <w:tr2bl w:val="nil"/>
            </w:tcBorders>
            <w:shd w:val="clear" w:color="auto" w:fill="auto"/>
            <w:vAlign w:val="center"/>
          </w:tcPr>
          <w:p w14:paraId="676E3E19">
            <w:pPr>
              <w:widowControl/>
              <w:jc w:val="left"/>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10(无量纲）</w:t>
            </w:r>
          </w:p>
        </w:tc>
        <w:tc>
          <w:tcPr>
            <w:tcW w:w="1771" w:type="dxa"/>
            <w:tcBorders>
              <w:tl2br w:val="nil"/>
              <w:tr2bl w:val="nil"/>
            </w:tcBorders>
            <w:shd w:val="clear" w:color="auto" w:fill="auto"/>
            <w:vAlign w:val="center"/>
          </w:tcPr>
          <w:p w14:paraId="20787520">
            <w:pPr>
              <w:widowControl/>
              <w:jc w:val="left"/>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xml:space="preserve">非连续采样 </w:t>
            </w:r>
          </w:p>
          <w:p w14:paraId="412F9CD7">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至少</w:t>
            </w:r>
            <w:r>
              <w:rPr>
                <w:rFonts w:ascii="宋体" w:hAnsi="宋体" w:eastAsia="宋体" w:cs="宋体"/>
                <w:color w:val="auto"/>
                <w:kern w:val="0"/>
                <w:sz w:val="20"/>
                <w:szCs w:val="20"/>
                <w:highlight w:val="none"/>
              </w:rPr>
              <w:t>4</w:t>
            </w:r>
            <w:r>
              <w:rPr>
                <w:rFonts w:hint="eastAsia" w:ascii="宋体" w:hAnsi="宋体" w:eastAsia="宋体" w:cs="宋体"/>
                <w:color w:val="auto"/>
                <w:kern w:val="0"/>
                <w:sz w:val="20"/>
                <w:szCs w:val="20"/>
                <w:highlight w:val="none"/>
              </w:rPr>
              <w:t>个</w:t>
            </w:r>
          </w:p>
        </w:tc>
        <w:tc>
          <w:tcPr>
            <w:tcW w:w="1701" w:type="dxa"/>
            <w:tcBorders>
              <w:tl2br w:val="nil"/>
              <w:tr2bl w:val="nil"/>
            </w:tcBorders>
            <w:shd w:val="clear" w:color="auto" w:fill="auto"/>
            <w:vAlign w:val="center"/>
          </w:tcPr>
          <w:p w14:paraId="4CADFED6">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1次/半年</w:t>
            </w:r>
          </w:p>
        </w:tc>
        <w:tc>
          <w:tcPr>
            <w:tcW w:w="3827" w:type="dxa"/>
            <w:tcBorders>
              <w:tl2br w:val="nil"/>
              <w:tr2bl w:val="nil"/>
            </w:tcBorders>
            <w:shd w:val="clear" w:color="auto" w:fill="auto"/>
            <w:vAlign w:val="center"/>
          </w:tcPr>
          <w:p w14:paraId="4CF63702">
            <w:pPr>
              <w:widowControl/>
              <w:jc w:val="left"/>
              <w:textAlignment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kern w:val="0"/>
                <w:sz w:val="20"/>
                <w:szCs w:val="20"/>
                <w:highlight w:val="none"/>
                <w:lang w:eastAsia="zh-CN"/>
              </w:rPr>
              <w:t>环境空气和废气 臭气的测定 三点比较式臭袋法  HJ 1262-2022</w:t>
            </w:r>
          </w:p>
        </w:tc>
        <w:tc>
          <w:tcPr>
            <w:tcW w:w="1666" w:type="dxa"/>
            <w:tcBorders>
              <w:tl2br w:val="nil"/>
              <w:tr2bl w:val="nil"/>
            </w:tcBorders>
            <w:shd w:val="clear" w:color="auto" w:fill="auto"/>
            <w:vAlign w:val="center"/>
          </w:tcPr>
          <w:p w14:paraId="594EBB49">
            <w:pPr>
              <w:jc w:val="left"/>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w:t>
            </w:r>
          </w:p>
        </w:tc>
        <w:tc>
          <w:tcPr>
            <w:tcW w:w="1410" w:type="dxa"/>
            <w:tcBorders>
              <w:tl2br w:val="nil"/>
              <w:tr2bl w:val="nil"/>
            </w:tcBorders>
            <w:shd w:val="clear" w:color="auto" w:fill="auto"/>
            <w:vAlign w:val="center"/>
          </w:tcPr>
          <w:p w14:paraId="04CD32F3">
            <w:pPr>
              <w:jc w:val="left"/>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委托检测</w:t>
            </w:r>
          </w:p>
        </w:tc>
      </w:tr>
      <w:tr w14:paraId="1A05B3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093" w:hRule="atLeast"/>
        </w:trPr>
        <w:tc>
          <w:tcPr>
            <w:tcW w:w="547" w:type="dxa"/>
            <w:tcBorders>
              <w:tl2br w:val="nil"/>
              <w:tr2bl w:val="nil"/>
            </w:tcBorders>
            <w:shd w:val="clear" w:color="auto" w:fill="auto"/>
            <w:vAlign w:val="center"/>
          </w:tcPr>
          <w:p w14:paraId="3F0DA1DD">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5</w:t>
            </w:r>
          </w:p>
        </w:tc>
        <w:tc>
          <w:tcPr>
            <w:tcW w:w="900" w:type="dxa"/>
            <w:tcBorders>
              <w:tl2br w:val="nil"/>
              <w:tr2bl w:val="nil"/>
            </w:tcBorders>
            <w:shd w:val="clear" w:color="auto" w:fill="auto"/>
            <w:vAlign w:val="center"/>
          </w:tcPr>
          <w:p w14:paraId="710BC556">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废气</w:t>
            </w:r>
          </w:p>
        </w:tc>
        <w:tc>
          <w:tcPr>
            <w:tcW w:w="886" w:type="dxa"/>
            <w:tcBorders>
              <w:tl2br w:val="nil"/>
              <w:tr2bl w:val="nil"/>
            </w:tcBorders>
            <w:shd w:val="clear" w:color="auto" w:fill="auto"/>
            <w:vAlign w:val="center"/>
          </w:tcPr>
          <w:p w14:paraId="1F763DD6">
            <w:pPr>
              <w:widowControl/>
              <w:jc w:val="left"/>
              <w:textAlignment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kern w:val="0"/>
                <w:sz w:val="20"/>
                <w:szCs w:val="20"/>
                <w:highlight w:val="none"/>
                <w:lang w:val="en-US" w:eastAsia="zh-CN"/>
              </w:rPr>
              <w:t>CJ</w:t>
            </w:r>
            <w:r>
              <w:rPr>
                <w:rFonts w:hint="eastAsia" w:ascii="宋体" w:hAnsi="宋体" w:eastAsia="宋体" w:cs="宋体"/>
                <w:color w:val="auto"/>
                <w:kern w:val="0"/>
                <w:sz w:val="20"/>
                <w:szCs w:val="20"/>
                <w:highlight w:val="none"/>
              </w:rPr>
              <w:t>00</w:t>
            </w:r>
            <w:r>
              <w:rPr>
                <w:rFonts w:hint="eastAsia" w:ascii="宋体" w:hAnsi="宋体" w:eastAsia="宋体" w:cs="宋体"/>
                <w:color w:val="auto"/>
                <w:kern w:val="0"/>
                <w:sz w:val="20"/>
                <w:szCs w:val="20"/>
                <w:highlight w:val="none"/>
                <w:lang w:val="en-US" w:eastAsia="zh-CN"/>
              </w:rPr>
              <w:t>1</w:t>
            </w:r>
          </w:p>
        </w:tc>
        <w:tc>
          <w:tcPr>
            <w:tcW w:w="955" w:type="dxa"/>
            <w:tcBorders>
              <w:tl2br w:val="nil"/>
              <w:tr2bl w:val="nil"/>
            </w:tcBorders>
            <w:shd w:val="clear" w:color="auto" w:fill="auto"/>
            <w:vAlign w:val="center"/>
          </w:tcPr>
          <w:p w14:paraId="244865D8">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厂界上风向1</w:t>
            </w:r>
          </w:p>
        </w:tc>
        <w:tc>
          <w:tcPr>
            <w:tcW w:w="904" w:type="dxa"/>
            <w:tcBorders>
              <w:tl2br w:val="nil"/>
              <w:tr2bl w:val="nil"/>
            </w:tcBorders>
            <w:shd w:val="clear" w:color="auto" w:fill="auto"/>
            <w:vAlign w:val="center"/>
          </w:tcPr>
          <w:p w14:paraId="5B6EC451">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氨</w:t>
            </w:r>
          </w:p>
        </w:tc>
        <w:tc>
          <w:tcPr>
            <w:tcW w:w="809" w:type="dxa"/>
            <w:tcBorders>
              <w:tl2br w:val="nil"/>
              <w:tr2bl w:val="nil"/>
            </w:tcBorders>
            <w:shd w:val="clear" w:color="auto" w:fill="auto"/>
            <w:vAlign w:val="center"/>
          </w:tcPr>
          <w:p w14:paraId="0EBA4EEA">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手工</w:t>
            </w:r>
          </w:p>
        </w:tc>
        <w:tc>
          <w:tcPr>
            <w:tcW w:w="2983" w:type="dxa"/>
            <w:tcBorders>
              <w:tl2br w:val="nil"/>
              <w:tr2bl w:val="nil"/>
            </w:tcBorders>
            <w:shd w:val="clear" w:color="auto" w:fill="auto"/>
            <w:vAlign w:val="center"/>
          </w:tcPr>
          <w:p w14:paraId="3660A338">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《城镇污水处理厂污染物排放标准》（GB18918-2002）二级标准排放</w:t>
            </w:r>
          </w:p>
        </w:tc>
        <w:tc>
          <w:tcPr>
            <w:tcW w:w="1418" w:type="dxa"/>
            <w:tcBorders>
              <w:tl2br w:val="nil"/>
              <w:tr2bl w:val="nil"/>
            </w:tcBorders>
            <w:shd w:val="clear" w:color="auto" w:fill="auto"/>
            <w:vAlign w:val="center"/>
          </w:tcPr>
          <w:p w14:paraId="5D866B67">
            <w:pPr>
              <w:widowControl/>
              <w:jc w:val="left"/>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上限:1.5mg/Nm</w:t>
            </w:r>
            <w:r>
              <w:rPr>
                <w:rFonts w:hint="eastAsia" w:ascii="宋体" w:hAnsi="宋体" w:eastAsia="宋体" w:cs="宋体"/>
                <w:color w:val="auto"/>
                <w:kern w:val="0"/>
                <w:sz w:val="20"/>
                <w:szCs w:val="20"/>
                <w:highlight w:val="none"/>
                <w:vertAlign w:val="superscript"/>
              </w:rPr>
              <w:t>3</w:t>
            </w:r>
          </w:p>
        </w:tc>
        <w:tc>
          <w:tcPr>
            <w:tcW w:w="1631" w:type="dxa"/>
            <w:tcBorders>
              <w:tl2br w:val="nil"/>
              <w:tr2bl w:val="nil"/>
            </w:tcBorders>
            <w:shd w:val="clear" w:color="auto" w:fill="auto"/>
            <w:vAlign w:val="center"/>
          </w:tcPr>
          <w:p w14:paraId="4E23374B">
            <w:pPr>
              <w:widowControl/>
              <w:jc w:val="left"/>
              <w:textAlignment w:val="center"/>
              <w:rPr>
                <w:rFonts w:ascii="宋体" w:hAnsi="宋体" w:eastAsia="宋体" w:cs="宋体"/>
                <w:color w:val="auto"/>
                <w:kern w:val="0"/>
                <w:sz w:val="20"/>
                <w:szCs w:val="20"/>
                <w:highlight w:val="none"/>
              </w:rPr>
            </w:pPr>
            <w:r>
              <w:rPr>
                <w:rFonts w:hint="eastAsia" w:ascii="宋体" w:hAnsi="宋体" w:eastAsia="宋体" w:cs="宋体"/>
                <w:color w:val="auto"/>
                <w:sz w:val="20"/>
                <w:szCs w:val="20"/>
                <w:highlight w:val="none"/>
              </w:rPr>
              <w:t>0.01</w:t>
            </w:r>
            <w:r>
              <w:rPr>
                <w:rFonts w:hint="eastAsia" w:ascii="宋体" w:hAnsi="宋体" w:eastAsia="宋体" w:cs="宋体"/>
                <w:color w:val="auto"/>
                <w:kern w:val="0"/>
                <w:sz w:val="20"/>
                <w:szCs w:val="20"/>
                <w:highlight w:val="none"/>
              </w:rPr>
              <w:t>mg/Nm</w:t>
            </w:r>
            <w:r>
              <w:rPr>
                <w:rFonts w:hint="eastAsia" w:ascii="宋体" w:hAnsi="宋体" w:eastAsia="宋体" w:cs="宋体"/>
                <w:color w:val="auto"/>
                <w:kern w:val="0"/>
                <w:sz w:val="20"/>
                <w:szCs w:val="20"/>
                <w:highlight w:val="none"/>
                <w:vertAlign w:val="superscript"/>
              </w:rPr>
              <w:t>3</w:t>
            </w:r>
          </w:p>
        </w:tc>
        <w:tc>
          <w:tcPr>
            <w:tcW w:w="1771" w:type="dxa"/>
            <w:tcBorders>
              <w:tl2br w:val="nil"/>
              <w:tr2bl w:val="nil"/>
            </w:tcBorders>
            <w:shd w:val="clear" w:color="auto" w:fill="auto"/>
            <w:vAlign w:val="center"/>
          </w:tcPr>
          <w:p w14:paraId="59D73406">
            <w:pPr>
              <w:widowControl/>
              <w:jc w:val="left"/>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xml:space="preserve">非连续采样 </w:t>
            </w:r>
          </w:p>
          <w:p w14:paraId="3EC13E10">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至少</w:t>
            </w:r>
            <w:r>
              <w:rPr>
                <w:rFonts w:ascii="宋体" w:hAnsi="宋体" w:eastAsia="宋体" w:cs="宋体"/>
                <w:color w:val="auto"/>
                <w:kern w:val="0"/>
                <w:sz w:val="20"/>
                <w:szCs w:val="20"/>
                <w:highlight w:val="none"/>
              </w:rPr>
              <w:t>4</w:t>
            </w:r>
            <w:r>
              <w:rPr>
                <w:rFonts w:hint="eastAsia" w:ascii="宋体" w:hAnsi="宋体" w:eastAsia="宋体" w:cs="宋体"/>
                <w:color w:val="auto"/>
                <w:kern w:val="0"/>
                <w:sz w:val="20"/>
                <w:szCs w:val="20"/>
                <w:highlight w:val="none"/>
              </w:rPr>
              <w:t>个</w:t>
            </w:r>
          </w:p>
        </w:tc>
        <w:tc>
          <w:tcPr>
            <w:tcW w:w="1701" w:type="dxa"/>
            <w:tcBorders>
              <w:tl2br w:val="nil"/>
              <w:tr2bl w:val="nil"/>
            </w:tcBorders>
            <w:shd w:val="clear" w:color="auto" w:fill="auto"/>
            <w:vAlign w:val="center"/>
          </w:tcPr>
          <w:p w14:paraId="6D2D7933">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1次/半年</w:t>
            </w:r>
          </w:p>
        </w:tc>
        <w:tc>
          <w:tcPr>
            <w:tcW w:w="3827" w:type="dxa"/>
            <w:tcBorders>
              <w:tl2br w:val="nil"/>
              <w:tr2bl w:val="nil"/>
            </w:tcBorders>
            <w:shd w:val="clear" w:color="auto" w:fill="auto"/>
            <w:vAlign w:val="center"/>
          </w:tcPr>
          <w:p w14:paraId="70AC65C1">
            <w:pPr>
              <w:widowControl/>
              <w:jc w:val="left"/>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环境空气和废气 氨的测定 纳氏试剂分光光度法 HJ 533-2009</w:t>
            </w:r>
          </w:p>
        </w:tc>
        <w:tc>
          <w:tcPr>
            <w:tcW w:w="1666" w:type="dxa"/>
            <w:tcBorders>
              <w:tl2br w:val="nil"/>
              <w:tr2bl w:val="nil"/>
            </w:tcBorders>
            <w:shd w:val="clear" w:color="auto" w:fill="auto"/>
            <w:vAlign w:val="center"/>
          </w:tcPr>
          <w:p w14:paraId="4318702E">
            <w:pPr>
              <w:jc w:val="left"/>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紫外分光光度计</w:t>
            </w:r>
          </w:p>
        </w:tc>
        <w:tc>
          <w:tcPr>
            <w:tcW w:w="1410" w:type="dxa"/>
            <w:tcBorders>
              <w:tl2br w:val="nil"/>
              <w:tr2bl w:val="nil"/>
            </w:tcBorders>
            <w:shd w:val="clear" w:color="auto" w:fill="auto"/>
            <w:vAlign w:val="center"/>
          </w:tcPr>
          <w:p w14:paraId="553385A4">
            <w:pPr>
              <w:jc w:val="left"/>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委托检测</w:t>
            </w:r>
          </w:p>
        </w:tc>
      </w:tr>
      <w:tr w14:paraId="2D9A82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81" w:hRule="atLeast"/>
        </w:trPr>
        <w:tc>
          <w:tcPr>
            <w:tcW w:w="547" w:type="dxa"/>
            <w:tcBorders>
              <w:tl2br w:val="nil"/>
              <w:tr2bl w:val="nil"/>
            </w:tcBorders>
            <w:shd w:val="clear" w:color="auto" w:fill="auto"/>
            <w:vAlign w:val="center"/>
          </w:tcPr>
          <w:p w14:paraId="1DF8EA05">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6</w:t>
            </w:r>
          </w:p>
        </w:tc>
        <w:tc>
          <w:tcPr>
            <w:tcW w:w="900" w:type="dxa"/>
            <w:tcBorders>
              <w:tl2br w:val="nil"/>
              <w:tr2bl w:val="nil"/>
            </w:tcBorders>
            <w:shd w:val="clear" w:color="auto" w:fill="auto"/>
            <w:vAlign w:val="center"/>
          </w:tcPr>
          <w:p w14:paraId="389F3842">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废气</w:t>
            </w:r>
          </w:p>
        </w:tc>
        <w:tc>
          <w:tcPr>
            <w:tcW w:w="886" w:type="dxa"/>
            <w:tcBorders>
              <w:tl2br w:val="nil"/>
              <w:tr2bl w:val="nil"/>
            </w:tcBorders>
            <w:shd w:val="clear" w:color="auto" w:fill="auto"/>
            <w:vAlign w:val="center"/>
          </w:tcPr>
          <w:p w14:paraId="62D2B6A1">
            <w:pPr>
              <w:widowControl/>
              <w:jc w:val="left"/>
              <w:textAlignment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kern w:val="0"/>
                <w:sz w:val="20"/>
                <w:szCs w:val="20"/>
                <w:highlight w:val="none"/>
                <w:lang w:val="en-US" w:eastAsia="zh-CN"/>
              </w:rPr>
              <w:t>CJ</w:t>
            </w:r>
            <w:r>
              <w:rPr>
                <w:rFonts w:hint="eastAsia" w:ascii="宋体" w:hAnsi="宋体" w:eastAsia="宋体" w:cs="宋体"/>
                <w:color w:val="auto"/>
                <w:kern w:val="0"/>
                <w:sz w:val="20"/>
                <w:szCs w:val="20"/>
                <w:highlight w:val="none"/>
              </w:rPr>
              <w:t>00</w:t>
            </w:r>
            <w:r>
              <w:rPr>
                <w:rFonts w:hint="eastAsia" w:ascii="宋体" w:hAnsi="宋体" w:eastAsia="宋体" w:cs="宋体"/>
                <w:color w:val="auto"/>
                <w:kern w:val="0"/>
                <w:sz w:val="20"/>
                <w:szCs w:val="20"/>
                <w:highlight w:val="none"/>
                <w:lang w:val="en-US" w:eastAsia="zh-CN"/>
              </w:rPr>
              <w:t>2</w:t>
            </w:r>
          </w:p>
        </w:tc>
        <w:tc>
          <w:tcPr>
            <w:tcW w:w="955" w:type="dxa"/>
            <w:tcBorders>
              <w:tl2br w:val="nil"/>
              <w:tr2bl w:val="nil"/>
            </w:tcBorders>
            <w:shd w:val="clear" w:color="auto" w:fill="auto"/>
            <w:vAlign w:val="center"/>
          </w:tcPr>
          <w:p w14:paraId="2CEB0CAD">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厂界下风向1</w:t>
            </w:r>
          </w:p>
        </w:tc>
        <w:tc>
          <w:tcPr>
            <w:tcW w:w="904" w:type="dxa"/>
            <w:tcBorders>
              <w:tl2br w:val="nil"/>
              <w:tr2bl w:val="nil"/>
            </w:tcBorders>
            <w:shd w:val="clear" w:color="auto" w:fill="auto"/>
            <w:vAlign w:val="center"/>
          </w:tcPr>
          <w:p w14:paraId="1ECA18ED">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氨</w:t>
            </w:r>
          </w:p>
        </w:tc>
        <w:tc>
          <w:tcPr>
            <w:tcW w:w="809" w:type="dxa"/>
            <w:tcBorders>
              <w:tl2br w:val="nil"/>
              <w:tr2bl w:val="nil"/>
            </w:tcBorders>
            <w:shd w:val="clear" w:color="auto" w:fill="auto"/>
            <w:vAlign w:val="center"/>
          </w:tcPr>
          <w:p w14:paraId="21B67B7F">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手工</w:t>
            </w:r>
          </w:p>
        </w:tc>
        <w:tc>
          <w:tcPr>
            <w:tcW w:w="2983" w:type="dxa"/>
            <w:tcBorders>
              <w:tl2br w:val="nil"/>
              <w:tr2bl w:val="nil"/>
            </w:tcBorders>
            <w:shd w:val="clear" w:color="auto" w:fill="auto"/>
            <w:vAlign w:val="center"/>
          </w:tcPr>
          <w:p w14:paraId="7FEFA088">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《城镇污水处理厂污染物排放标准》（GB18918-2002）二级标准排放</w:t>
            </w:r>
          </w:p>
        </w:tc>
        <w:tc>
          <w:tcPr>
            <w:tcW w:w="1418" w:type="dxa"/>
            <w:tcBorders>
              <w:tl2br w:val="nil"/>
              <w:tr2bl w:val="nil"/>
            </w:tcBorders>
            <w:shd w:val="clear" w:color="auto" w:fill="auto"/>
            <w:vAlign w:val="center"/>
          </w:tcPr>
          <w:p w14:paraId="37A24015">
            <w:pPr>
              <w:widowControl/>
              <w:jc w:val="left"/>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上限:1.5mg/Nm</w:t>
            </w:r>
            <w:r>
              <w:rPr>
                <w:rFonts w:hint="eastAsia" w:ascii="宋体" w:hAnsi="宋体" w:eastAsia="宋体" w:cs="宋体"/>
                <w:color w:val="auto"/>
                <w:kern w:val="0"/>
                <w:sz w:val="20"/>
                <w:szCs w:val="20"/>
                <w:highlight w:val="none"/>
                <w:vertAlign w:val="superscript"/>
              </w:rPr>
              <w:t>3</w:t>
            </w:r>
          </w:p>
        </w:tc>
        <w:tc>
          <w:tcPr>
            <w:tcW w:w="1631" w:type="dxa"/>
            <w:tcBorders>
              <w:tl2br w:val="nil"/>
              <w:tr2bl w:val="nil"/>
            </w:tcBorders>
            <w:shd w:val="clear" w:color="auto" w:fill="auto"/>
            <w:vAlign w:val="center"/>
          </w:tcPr>
          <w:p w14:paraId="0EBA7C50">
            <w:pPr>
              <w:widowControl/>
              <w:jc w:val="left"/>
              <w:textAlignment w:val="center"/>
              <w:rPr>
                <w:rFonts w:ascii="宋体" w:hAnsi="宋体" w:eastAsia="宋体" w:cs="宋体"/>
                <w:color w:val="auto"/>
                <w:kern w:val="0"/>
                <w:sz w:val="20"/>
                <w:szCs w:val="20"/>
                <w:highlight w:val="none"/>
              </w:rPr>
            </w:pPr>
            <w:r>
              <w:rPr>
                <w:rFonts w:hint="eastAsia" w:ascii="宋体" w:hAnsi="宋体" w:eastAsia="宋体" w:cs="宋体"/>
                <w:color w:val="auto"/>
                <w:sz w:val="20"/>
                <w:szCs w:val="20"/>
                <w:highlight w:val="none"/>
              </w:rPr>
              <w:t>0.01</w:t>
            </w:r>
            <w:r>
              <w:rPr>
                <w:rFonts w:hint="eastAsia" w:ascii="宋体" w:hAnsi="宋体" w:eastAsia="宋体" w:cs="宋体"/>
                <w:color w:val="auto"/>
                <w:kern w:val="0"/>
                <w:sz w:val="20"/>
                <w:szCs w:val="20"/>
                <w:highlight w:val="none"/>
              </w:rPr>
              <w:t>mg/Nm</w:t>
            </w:r>
            <w:r>
              <w:rPr>
                <w:rFonts w:hint="eastAsia" w:ascii="宋体" w:hAnsi="宋体" w:eastAsia="宋体" w:cs="宋体"/>
                <w:color w:val="auto"/>
                <w:kern w:val="0"/>
                <w:sz w:val="20"/>
                <w:szCs w:val="20"/>
                <w:highlight w:val="none"/>
                <w:vertAlign w:val="superscript"/>
              </w:rPr>
              <w:t>3</w:t>
            </w:r>
          </w:p>
        </w:tc>
        <w:tc>
          <w:tcPr>
            <w:tcW w:w="1771" w:type="dxa"/>
            <w:tcBorders>
              <w:tl2br w:val="nil"/>
              <w:tr2bl w:val="nil"/>
            </w:tcBorders>
            <w:shd w:val="clear" w:color="auto" w:fill="auto"/>
            <w:vAlign w:val="center"/>
          </w:tcPr>
          <w:p w14:paraId="7BE8381B">
            <w:pPr>
              <w:widowControl/>
              <w:jc w:val="left"/>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xml:space="preserve">非连续采样 </w:t>
            </w:r>
          </w:p>
          <w:p w14:paraId="1E574465">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至少</w:t>
            </w:r>
            <w:r>
              <w:rPr>
                <w:rFonts w:ascii="宋体" w:hAnsi="宋体" w:eastAsia="宋体" w:cs="宋体"/>
                <w:color w:val="auto"/>
                <w:kern w:val="0"/>
                <w:sz w:val="20"/>
                <w:szCs w:val="20"/>
                <w:highlight w:val="none"/>
              </w:rPr>
              <w:t>4</w:t>
            </w:r>
            <w:r>
              <w:rPr>
                <w:rFonts w:hint="eastAsia" w:ascii="宋体" w:hAnsi="宋体" w:eastAsia="宋体" w:cs="宋体"/>
                <w:color w:val="auto"/>
                <w:kern w:val="0"/>
                <w:sz w:val="20"/>
                <w:szCs w:val="20"/>
                <w:highlight w:val="none"/>
              </w:rPr>
              <w:t>个</w:t>
            </w:r>
          </w:p>
        </w:tc>
        <w:tc>
          <w:tcPr>
            <w:tcW w:w="1701" w:type="dxa"/>
            <w:tcBorders>
              <w:tl2br w:val="nil"/>
              <w:tr2bl w:val="nil"/>
            </w:tcBorders>
            <w:shd w:val="clear" w:color="auto" w:fill="auto"/>
            <w:vAlign w:val="center"/>
          </w:tcPr>
          <w:p w14:paraId="5CCD6AE0">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1次/半年</w:t>
            </w:r>
          </w:p>
        </w:tc>
        <w:tc>
          <w:tcPr>
            <w:tcW w:w="3827" w:type="dxa"/>
            <w:tcBorders>
              <w:tl2br w:val="nil"/>
              <w:tr2bl w:val="nil"/>
            </w:tcBorders>
            <w:shd w:val="clear" w:color="auto" w:fill="auto"/>
            <w:vAlign w:val="center"/>
          </w:tcPr>
          <w:p w14:paraId="1398F567">
            <w:pPr>
              <w:widowControl/>
              <w:jc w:val="left"/>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环境空气和废气 氨的测定 纳氏试剂分光光度法 HJ 533-2009</w:t>
            </w:r>
          </w:p>
        </w:tc>
        <w:tc>
          <w:tcPr>
            <w:tcW w:w="1666" w:type="dxa"/>
            <w:tcBorders>
              <w:tl2br w:val="nil"/>
              <w:tr2bl w:val="nil"/>
            </w:tcBorders>
            <w:shd w:val="clear" w:color="auto" w:fill="auto"/>
            <w:vAlign w:val="center"/>
          </w:tcPr>
          <w:p w14:paraId="15055E0C">
            <w:pPr>
              <w:jc w:val="left"/>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紫外分光光度计</w:t>
            </w:r>
          </w:p>
        </w:tc>
        <w:tc>
          <w:tcPr>
            <w:tcW w:w="1410" w:type="dxa"/>
            <w:tcBorders>
              <w:tl2br w:val="nil"/>
              <w:tr2bl w:val="nil"/>
            </w:tcBorders>
            <w:shd w:val="clear" w:color="auto" w:fill="auto"/>
            <w:vAlign w:val="center"/>
          </w:tcPr>
          <w:p w14:paraId="4CABF0D5">
            <w:pPr>
              <w:jc w:val="left"/>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委托检测</w:t>
            </w:r>
          </w:p>
        </w:tc>
      </w:tr>
      <w:tr w14:paraId="62463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95" w:hRule="atLeast"/>
        </w:trPr>
        <w:tc>
          <w:tcPr>
            <w:tcW w:w="547" w:type="dxa"/>
            <w:tcBorders>
              <w:tl2br w:val="nil"/>
              <w:tr2bl w:val="nil"/>
            </w:tcBorders>
            <w:shd w:val="clear" w:color="auto" w:fill="auto"/>
            <w:vAlign w:val="center"/>
          </w:tcPr>
          <w:p w14:paraId="6A6F8284">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7</w:t>
            </w:r>
          </w:p>
        </w:tc>
        <w:tc>
          <w:tcPr>
            <w:tcW w:w="900" w:type="dxa"/>
            <w:tcBorders>
              <w:tl2br w:val="nil"/>
              <w:tr2bl w:val="nil"/>
            </w:tcBorders>
            <w:shd w:val="clear" w:color="auto" w:fill="auto"/>
            <w:vAlign w:val="center"/>
          </w:tcPr>
          <w:p w14:paraId="4247E482">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废气</w:t>
            </w:r>
          </w:p>
        </w:tc>
        <w:tc>
          <w:tcPr>
            <w:tcW w:w="886" w:type="dxa"/>
            <w:tcBorders>
              <w:tl2br w:val="nil"/>
              <w:tr2bl w:val="nil"/>
            </w:tcBorders>
            <w:shd w:val="clear" w:color="auto" w:fill="auto"/>
            <w:vAlign w:val="center"/>
          </w:tcPr>
          <w:p w14:paraId="139701F0">
            <w:pPr>
              <w:widowControl/>
              <w:jc w:val="left"/>
              <w:textAlignment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kern w:val="0"/>
                <w:sz w:val="20"/>
                <w:szCs w:val="20"/>
                <w:highlight w:val="none"/>
                <w:lang w:val="en-US" w:eastAsia="zh-CN"/>
              </w:rPr>
              <w:t>CJ</w:t>
            </w:r>
            <w:r>
              <w:rPr>
                <w:rFonts w:hint="eastAsia" w:ascii="宋体" w:hAnsi="宋体" w:eastAsia="宋体" w:cs="宋体"/>
                <w:color w:val="auto"/>
                <w:kern w:val="0"/>
                <w:sz w:val="20"/>
                <w:szCs w:val="20"/>
                <w:highlight w:val="none"/>
              </w:rPr>
              <w:t>00</w:t>
            </w:r>
            <w:r>
              <w:rPr>
                <w:rFonts w:hint="eastAsia" w:ascii="宋体" w:hAnsi="宋体" w:eastAsia="宋体" w:cs="宋体"/>
                <w:color w:val="auto"/>
                <w:kern w:val="0"/>
                <w:sz w:val="20"/>
                <w:szCs w:val="20"/>
                <w:highlight w:val="none"/>
                <w:lang w:val="en-US" w:eastAsia="zh-CN"/>
              </w:rPr>
              <w:t>3</w:t>
            </w:r>
          </w:p>
        </w:tc>
        <w:tc>
          <w:tcPr>
            <w:tcW w:w="955" w:type="dxa"/>
            <w:tcBorders>
              <w:tl2br w:val="nil"/>
              <w:tr2bl w:val="nil"/>
            </w:tcBorders>
            <w:shd w:val="clear" w:color="auto" w:fill="auto"/>
            <w:vAlign w:val="center"/>
          </w:tcPr>
          <w:p w14:paraId="29A69880">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厂界下风向2</w:t>
            </w:r>
          </w:p>
        </w:tc>
        <w:tc>
          <w:tcPr>
            <w:tcW w:w="904" w:type="dxa"/>
            <w:tcBorders>
              <w:tl2br w:val="nil"/>
              <w:tr2bl w:val="nil"/>
            </w:tcBorders>
            <w:shd w:val="clear" w:color="auto" w:fill="auto"/>
            <w:vAlign w:val="center"/>
          </w:tcPr>
          <w:p w14:paraId="05DE2E37">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氨</w:t>
            </w:r>
          </w:p>
        </w:tc>
        <w:tc>
          <w:tcPr>
            <w:tcW w:w="809" w:type="dxa"/>
            <w:tcBorders>
              <w:tl2br w:val="nil"/>
              <w:tr2bl w:val="nil"/>
            </w:tcBorders>
            <w:shd w:val="clear" w:color="auto" w:fill="auto"/>
            <w:vAlign w:val="center"/>
          </w:tcPr>
          <w:p w14:paraId="50E9DC26">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手工</w:t>
            </w:r>
          </w:p>
        </w:tc>
        <w:tc>
          <w:tcPr>
            <w:tcW w:w="2983" w:type="dxa"/>
            <w:tcBorders>
              <w:tl2br w:val="nil"/>
              <w:tr2bl w:val="nil"/>
            </w:tcBorders>
            <w:shd w:val="clear" w:color="auto" w:fill="auto"/>
            <w:vAlign w:val="center"/>
          </w:tcPr>
          <w:p w14:paraId="2D6409F7">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《城镇污水处理厂污染物排放标准》（GB18918-2002）二级标准排放</w:t>
            </w:r>
          </w:p>
        </w:tc>
        <w:tc>
          <w:tcPr>
            <w:tcW w:w="1418" w:type="dxa"/>
            <w:tcBorders>
              <w:tl2br w:val="nil"/>
              <w:tr2bl w:val="nil"/>
            </w:tcBorders>
            <w:shd w:val="clear" w:color="auto" w:fill="auto"/>
            <w:vAlign w:val="center"/>
          </w:tcPr>
          <w:p w14:paraId="7E60448B">
            <w:pPr>
              <w:widowControl/>
              <w:jc w:val="left"/>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上限:1.5mg/Nm</w:t>
            </w:r>
            <w:r>
              <w:rPr>
                <w:rFonts w:hint="eastAsia" w:ascii="宋体" w:hAnsi="宋体" w:eastAsia="宋体" w:cs="宋体"/>
                <w:color w:val="auto"/>
                <w:kern w:val="0"/>
                <w:sz w:val="20"/>
                <w:szCs w:val="20"/>
                <w:highlight w:val="none"/>
                <w:vertAlign w:val="superscript"/>
              </w:rPr>
              <w:t>3</w:t>
            </w:r>
          </w:p>
        </w:tc>
        <w:tc>
          <w:tcPr>
            <w:tcW w:w="1631" w:type="dxa"/>
            <w:tcBorders>
              <w:tl2br w:val="nil"/>
              <w:tr2bl w:val="nil"/>
            </w:tcBorders>
            <w:shd w:val="clear" w:color="auto" w:fill="auto"/>
            <w:vAlign w:val="center"/>
          </w:tcPr>
          <w:p w14:paraId="71382E5F">
            <w:pPr>
              <w:widowControl/>
              <w:jc w:val="left"/>
              <w:textAlignment w:val="center"/>
              <w:rPr>
                <w:rFonts w:ascii="宋体" w:hAnsi="宋体" w:eastAsia="宋体" w:cs="宋体"/>
                <w:color w:val="auto"/>
                <w:kern w:val="0"/>
                <w:sz w:val="20"/>
                <w:szCs w:val="20"/>
                <w:highlight w:val="none"/>
              </w:rPr>
            </w:pPr>
            <w:r>
              <w:rPr>
                <w:rFonts w:hint="eastAsia" w:ascii="宋体" w:hAnsi="宋体" w:eastAsia="宋体" w:cs="宋体"/>
                <w:color w:val="auto"/>
                <w:sz w:val="20"/>
                <w:szCs w:val="20"/>
                <w:highlight w:val="none"/>
              </w:rPr>
              <w:t>0.01</w:t>
            </w:r>
            <w:r>
              <w:rPr>
                <w:rFonts w:hint="eastAsia" w:ascii="宋体" w:hAnsi="宋体" w:eastAsia="宋体" w:cs="宋体"/>
                <w:color w:val="auto"/>
                <w:kern w:val="0"/>
                <w:sz w:val="20"/>
                <w:szCs w:val="20"/>
                <w:highlight w:val="none"/>
              </w:rPr>
              <w:t>mg/Nm</w:t>
            </w:r>
            <w:r>
              <w:rPr>
                <w:rFonts w:hint="eastAsia" w:ascii="宋体" w:hAnsi="宋体" w:eastAsia="宋体" w:cs="宋体"/>
                <w:color w:val="auto"/>
                <w:kern w:val="0"/>
                <w:sz w:val="20"/>
                <w:szCs w:val="20"/>
                <w:highlight w:val="none"/>
                <w:vertAlign w:val="superscript"/>
              </w:rPr>
              <w:t>3</w:t>
            </w:r>
          </w:p>
        </w:tc>
        <w:tc>
          <w:tcPr>
            <w:tcW w:w="1771" w:type="dxa"/>
            <w:tcBorders>
              <w:tl2br w:val="nil"/>
              <w:tr2bl w:val="nil"/>
            </w:tcBorders>
            <w:shd w:val="clear" w:color="auto" w:fill="auto"/>
            <w:vAlign w:val="center"/>
          </w:tcPr>
          <w:p w14:paraId="126F1A3B">
            <w:pPr>
              <w:widowControl/>
              <w:jc w:val="left"/>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xml:space="preserve">非连续采样 </w:t>
            </w:r>
          </w:p>
          <w:p w14:paraId="40982766">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至少</w:t>
            </w:r>
            <w:r>
              <w:rPr>
                <w:rFonts w:ascii="宋体" w:hAnsi="宋体" w:eastAsia="宋体" w:cs="宋体"/>
                <w:color w:val="auto"/>
                <w:kern w:val="0"/>
                <w:sz w:val="20"/>
                <w:szCs w:val="20"/>
                <w:highlight w:val="none"/>
              </w:rPr>
              <w:t>4</w:t>
            </w:r>
            <w:r>
              <w:rPr>
                <w:rFonts w:hint="eastAsia" w:ascii="宋体" w:hAnsi="宋体" w:eastAsia="宋体" w:cs="宋体"/>
                <w:color w:val="auto"/>
                <w:kern w:val="0"/>
                <w:sz w:val="20"/>
                <w:szCs w:val="20"/>
                <w:highlight w:val="none"/>
              </w:rPr>
              <w:t>个</w:t>
            </w:r>
          </w:p>
        </w:tc>
        <w:tc>
          <w:tcPr>
            <w:tcW w:w="1701" w:type="dxa"/>
            <w:tcBorders>
              <w:tl2br w:val="nil"/>
              <w:tr2bl w:val="nil"/>
            </w:tcBorders>
            <w:shd w:val="clear" w:color="auto" w:fill="auto"/>
            <w:vAlign w:val="center"/>
          </w:tcPr>
          <w:p w14:paraId="664EEE4E">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1次/半年</w:t>
            </w:r>
          </w:p>
        </w:tc>
        <w:tc>
          <w:tcPr>
            <w:tcW w:w="3827" w:type="dxa"/>
            <w:tcBorders>
              <w:tl2br w:val="nil"/>
              <w:tr2bl w:val="nil"/>
            </w:tcBorders>
            <w:shd w:val="clear" w:color="auto" w:fill="auto"/>
            <w:vAlign w:val="center"/>
          </w:tcPr>
          <w:p w14:paraId="2463EDDB">
            <w:pPr>
              <w:widowControl/>
              <w:jc w:val="left"/>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环境空气和废气 氨的测定 纳氏试剂分光光度法 HJ 533-2009</w:t>
            </w:r>
          </w:p>
        </w:tc>
        <w:tc>
          <w:tcPr>
            <w:tcW w:w="1666" w:type="dxa"/>
            <w:tcBorders>
              <w:tl2br w:val="nil"/>
              <w:tr2bl w:val="nil"/>
            </w:tcBorders>
            <w:shd w:val="clear" w:color="auto" w:fill="auto"/>
            <w:vAlign w:val="center"/>
          </w:tcPr>
          <w:p w14:paraId="319F7B49">
            <w:pPr>
              <w:jc w:val="left"/>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紫外分光光度计</w:t>
            </w:r>
          </w:p>
        </w:tc>
        <w:tc>
          <w:tcPr>
            <w:tcW w:w="1410" w:type="dxa"/>
            <w:tcBorders>
              <w:tl2br w:val="nil"/>
              <w:tr2bl w:val="nil"/>
            </w:tcBorders>
            <w:shd w:val="clear" w:color="auto" w:fill="auto"/>
            <w:vAlign w:val="center"/>
          </w:tcPr>
          <w:p w14:paraId="297F63FE">
            <w:pPr>
              <w:jc w:val="left"/>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委托检测</w:t>
            </w:r>
          </w:p>
        </w:tc>
      </w:tr>
      <w:tr w14:paraId="7E1695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81" w:hRule="atLeast"/>
        </w:trPr>
        <w:tc>
          <w:tcPr>
            <w:tcW w:w="547" w:type="dxa"/>
            <w:tcBorders>
              <w:tl2br w:val="nil"/>
              <w:tr2bl w:val="nil"/>
            </w:tcBorders>
            <w:shd w:val="clear" w:color="auto" w:fill="auto"/>
            <w:vAlign w:val="center"/>
          </w:tcPr>
          <w:p w14:paraId="2B95373E">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8</w:t>
            </w:r>
          </w:p>
        </w:tc>
        <w:tc>
          <w:tcPr>
            <w:tcW w:w="900" w:type="dxa"/>
            <w:tcBorders>
              <w:tl2br w:val="nil"/>
              <w:tr2bl w:val="nil"/>
            </w:tcBorders>
            <w:shd w:val="clear" w:color="auto" w:fill="auto"/>
            <w:vAlign w:val="center"/>
          </w:tcPr>
          <w:p w14:paraId="26BBA879">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废气</w:t>
            </w:r>
          </w:p>
        </w:tc>
        <w:tc>
          <w:tcPr>
            <w:tcW w:w="886" w:type="dxa"/>
            <w:tcBorders>
              <w:tl2br w:val="nil"/>
              <w:tr2bl w:val="nil"/>
            </w:tcBorders>
            <w:shd w:val="clear" w:color="auto" w:fill="auto"/>
            <w:vAlign w:val="center"/>
          </w:tcPr>
          <w:p w14:paraId="7AFA1855">
            <w:pPr>
              <w:widowControl/>
              <w:jc w:val="left"/>
              <w:textAlignment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kern w:val="0"/>
                <w:sz w:val="20"/>
                <w:szCs w:val="20"/>
                <w:highlight w:val="none"/>
                <w:lang w:val="en-US" w:eastAsia="zh-CN"/>
              </w:rPr>
              <w:t>CJ</w:t>
            </w:r>
            <w:r>
              <w:rPr>
                <w:rFonts w:hint="eastAsia" w:ascii="宋体" w:hAnsi="宋体" w:eastAsia="宋体" w:cs="宋体"/>
                <w:color w:val="auto"/>
                <w:kern w:val="0"/>
                <w:sz w:val="20"/>
                <w:szCs w:val="20"/>
                <w:highlight w:val="none"/>
              </w:rPr>
              <w:t>00</w:t>
            </w:r>
            <w:r>
              <w:rPr>
                <w:rFonts w:hint="eastAsia" w:ascii="宋体" w:hAnsi="宋体" w:eastAsia="宋体" w:cs="宋体"/>
                <w:color w:val="auto"/>
                <w:kern w:val="0"/>
                <w:sz w:val="20"/>
                <w:szCs w:val="20"/>
                <w:highlight w:val="none"/>
                <w:lang w:val="en-US" w:eastAsia="zh-CN"/>
              </w:rPr>
              <w:t>4</w:t>
            </w:r>
          </w:p>
        </w:tc>
        <w:tc>
          <w:tcPr>
            <w:tcW w:w="955" w:type="dxa"/>
            <w:tcBorders>
              <w:tl2br w:val="nil"/>
              <w:tr2bl w:val="nil"/>
            </w:tcBorders>
            <w:shd w:val="clear" w:color="auto" w:fill="auto"/>
            <w:vAlign w:val="center"/>
          </w:tcPr>
          <w:p w14:paraId="514050AE">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厂界下风向3</w:t>
            </w:r>
          </w:p>
        </w:tc>
        <w:tc>
          <w:tcPr>
            <w:tcW w:w="904" w:type="dxa"/>
            <w:tcBorders>
              <w:tl2br w:val="nil"/>
              <w:tr2bl w:val="nil"/>
            </w:tcBorders>
            <w:shd w:val="clear" w:color="auto" w:fill="auto"/>
            <w:vAlign w:val="center"/>
          </w:tcPr>
          <w:p w14:paraId="25E63EB7">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氨</w:t>
            </w:r>
          </w:p>
        </w:tc>
        <w:tc>
          <w:tcPr>
            <w:tcW w:w="809" w:type="dxa"/>
            <w:tcBorders>
              <w:tl2br w:val="nil"/>
              <w:tr2bl w:val="nil"/>
            </w:tcBorders>
            <w:shd w:val="clear" w:color="auto" w:fill="auto"/>
            <w:vAlign w:val="center"/>
          </w:tcPr>
          <w:p w14:paraId="31317C51">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手工</w:t>
            </w:r>
          </w:p>
        </w:tc>
        <w:tc>
          <w:tcPr>
            <w:tcW w:w="2983" w:type="dxa"/>
            <w:tcBorders>
              <w:tl2br w:val="nil"/>
              <w:tr2bl w:val="nil"/>
            </w:tcBorders>
            <w:shd w:val="clear" w:color="auto" w:fill="auto"/>
            <w:vAlign w:val="center"/>
          </w:tcPr>
          <w:p w14:paraId="6448EB10">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《城镇污水处理厂污染物排放标准》（GB18918-2002）二级标准排放</w:t>
            </w:r>
          </w:p>
        </w:tc>
        <w:tc>
          <w:tcPr>
            <w:tcW w:w="1418" w:type="dxa"/>
            <w:tcBorders>
              <w:tl2br w:val="nil"/>
              <w:tr2bl w:val="nil"/>
            </w:tcBorders>
            <w:shd w:val="clear" w:color="auto" w:fill="auto"/>
            <w:vAlign w:val="center"/>
          </w:tcPr>
          <w:p w14:paraId="1CD4C193">
            <w:pPr>
              <w:widowControl/>
              <w:jc w:val="left"/>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上限:1.5mg/Nm</w:t>
            </w:r>
            <w:r>
              <w:rPr>
                <w:rFonts w:hint="eastAsia" w:ascii="宋体" w:hAnsi="宋体" w:eastAsia="宋体" w:cs="宋体"/>
                <w:color w:val="auto"/>
                <w:kern w:val="0"/>
                <w:sz w:val="20"/>
                <w:szCs w:val="20"/>
                <w:highlight w:val="none"/>
                <w:vertAlign w:val="superscript"/>
              </w:rPr>
              <w:t>3</w:t>
            </w:r>
          </w:p>
        </w:tc>
        <w:tc>
          <w:tcPr>
            <w:tcW w:w="1631" w:type="dxa"/>
            <w:tcBorders>
              <w:tl2br w:val="nil"/>
              <w:tr2bl w:val="nil"/>
            </w:tcBorders>
            <w:shd w:val="clear" w:color="auto" w:fill="auto"/>
            <w:vAlign w:val="center"/>
          </w:tcPr>
          <w:p w14:paraId="062CF6BA">
            <w:pPr>
              <w:widowControl/>
              <w:jc w:val="left"/>
              <w:textAlignment w:val="center"/>
              <w:rPr>
                <w:rFonts w:ascii="宋体" w:hAnsi="宋体" w:eastAsia="宋体" w:cs="宋体"/>
                <w:color w:val="auto"/>
                <w:kern w:val="0"/>
                <w:sz w:val="20"/>
                <w:szCs w:val="20"/>
                <w:highlight w:val="none"/>
              </w:rPr>
            </w:pPr>
            <w:r>
              <w:rPr>
                <w:rFonts w:hint="eastAsia" w:ascii="宋体" w:hAnsi="宋体" w:eastAsia="宋体" w:cs="宋体"/>
                <w:color w:val="auto"/>
                <w:sz w:val="20"/>
                <w:szCs w:val="20"/>
                <w:highlight w:val="none"/>
              </w:rPr>
              <w:t>0.01</w:t>
            </w:r>
            <w:r>
              <w:rPr>
                <w:rFonts w:hint="eastAsia" w:ascii="宋体" w:hAnsi="宋体" w:eastAsia="宋体" w:cs="宋体"/>
                <w:color w:val="auto"/>
                <w:kern w:val="0"/>
                <w:sz w:val="20"/>
                <w:szCs w:val="20"/>
                <w:highlight w:val="none"/>
              </w:rPr>
              <w:t>mg/Nm</w:t>
            </w:r>
            <w:r>
              <w:rPr>
                <w:rFonts w:hint="eastAsia" w:ascii="宋体" w:hAnsi="宋体" w:eastAsia="宋体" w:cs="宋体"/>
                <w:color w:val="auto"/>
                <w:kern w:val="0"/>
                <w:sz w:val="20"/>
                <w:szCs w:val="20"/>
                <w:highlight w:val="none"/>
                <w:vertAlign w:val="superscript"/>
              </w:rPr>
              <w:t>3</w:t>
            </w:r>
          </w:p>
        </w:tc>
        <w:tc>
          <w:tcPr>
            <w:tcW w:w="1771" w:type="dxa"/>
            <w:tcBorders>
              <w:tl2br w:val="nil"/>
              <w:tr2bl w:val="nil"/>
            </w:tcBorders>
            <w:shd w:val="clear" w:color="auto" w:fill="auto"/>
            <w:vAlign w:val="center"/>
          </w:tcPr>
          <w:p w14:paraId="358D72F3">
            <w:pPr>
              <w:widowControl/>
              <w:jc w:val="left"/>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xml:space="preserve">非连续采样 </w:t>
            </w:r>
          </w:p>
          <w:p w14:paraId="1145B3E7">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至少</w:t>
            </w:r>
            <w:r>
              <w:rPr>
                <w:rFonts w:ascii="宋体" w:hAnsi="宋体" w:eastAsia="宋体" w:cs="宋体"/>
                <w:color w:val="auto"/>
                <w:kern w:val="0"/>
                <w:sz w:val="20"/>
                <w:szCs w:val="20"/>
                <w:highlight w:val="none"/>
              </w:rPr>
              <w:t>4</w:t>
            </w:r>
            <w:r>
              <w:rPr>
                <w:rFonts w:hint="eastAsia" w:ascii="宋体" w:hAnsi="宋体" w:eastAsia="宋体" w:cs="宋体"/>
                <w:color w:val="auto"/>
                <w:kern w:val="0"/>
                <w:sz w:val="20"/>
                <w:szCs w:val="20"/>
                <w:highlight w:val="none"/>
              </w:rPr>
              <w:t>个</w:t>
            </w:r>
          </w:p>
        </w:tc>
        <w:tc>
          <w:tcPr>
            <w:tcW w:w="1701" w:type="dxa"/>
            <w:tcBorders>
              <w:tl2br w:val="nil"/>
              <w:tr2bl w:val="nil"/>
            </w:tcBorders>
            <w:shd w:val="clear" w:color="auto" w:fill="auto"/>
            <w:vAlign w:val="center"/>
          </w:tcPr>
          <w:p w14:paraId="2E9CD3C1">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1次/半年</w:t>
            </w:r>
          </w:p>
        </w:tc>
        <w:tc>
          <w:tcPr>
            <w:tcW w:w="3827" w:type="dxa"/>
            <w:tcBorders>
              <w:tl2br w:val="nil"/>
              <w:tr2bl w:val="nil"/>
            </w:tcBorders>
            <w:shd w:val="clear" w:color="auto" w:fill="auto"/>
            <w:vAlign w:val="center"/>
          </w:tcPr>
          <w:p w14:paraId="16F99DD4">
            <w:pPr>
              <w:widowControl/>
              <w:jc w:val="left"/>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环境空气和废气 氨的测定 纳氏试剂分光光度法 HJ 533-2009</w:t>
            </w:r>
          </w:p>
        </w:tc>
        <w:tc>
          <w:tcPr>
            <w:tcW w:w="1666" w:type="dxa"/>
            <w:tcBorders>
              <w:tl2br w:val="nil"/>
              <w:tr2bl w:val="nil"/>
            </w:tcBorders>
            <w:shd w:val="clear" w:color="auto" w:fill="auto"/>
            <w:vAlign w:val="center"/>
          </w:tcPr>
          <w:p w14:paraId="52C41982">
            <w:pPr>
              <w:jc w:val="left"/>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紫外分光光度计</w:t>
            </w:r>
          </w:p>
        </w:tc>
        <w:tc>
          <w:tcPr>
            <w:tcW w:w="1410" w:type="dxa"/>
            <w:tcBorders>
              <w:tl2br w:val="nil"/>
              <w:tr2bl w:val="nil"/>
            </w:tcBorders>
            <w:shd w:val="clear" w:color="auto" w:fill="auto"/>
            <w:vAlign w:val="center"/>
          </w:tcPr>
          <w:p w14:paraId="4527CA94">
            <w:pPr>
              <w:jc w:val="left"/>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委托检测</w:t>
            </w:r>
          </w:p>
        </w:tc>
      </w:tr>
      <w:tr w14:paraId="0A0942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137" w:hRule="atLeast"/>
        </w:trPr>
        <w:tc>
          <w:tcPr>
            <w:tcW w:w="547" w:type="dxa"/>
            <w:tcBorders>
              <w:tl2br w:val="nil"/>
              <w:tr2bl w:val="nil"/>
            </w:tcBorders>
            <w:shd w:val="clear" w:color="auto" w:fill="auto"/>
            <w:vAlign w:val="center"/>
          </w:tcPr>
          <w:p w14:paraId="500CC948">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9</w:t>
            </w:r>
          </w:p>
        </w:tc>
        <w:tc>
          <w:tcPr>
            <w:tcW w:w="900" w:type="dxa"/>
            <w:tcBorders>
              <w:tl2br w:val="nil"/>
              <w:tr2bl w:val="nil"/>
            </w:tcBorders>
            <w:shd w:val="clear" w:color="auto" w:fill="auto"/>
            <w:vAlign w:val="center"/>
          </w:tcPr>
          <w:p w14:paraId="31D74775">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废气</w:t>
            </w:r>
          </w:p>
        </w:tc>
        <w:tc>
          <w:tcPr>
            <w:tcW w:w="886" w:type="dxa"/>
            <w:tcBorders>
              <w:tl2br w:val="nil"/>
              <w:tr2bl w:val="nil"/>
            </w:tcBorders>
            <w:shd w:val="clear" w:color="auto" w:fill="auto"/>
            <w:vAlign w:val="center"/>
          </w:tcPr>
          <w:p w14:paraId="4EED295F">
            <w:pPr>
              <w:widowControl/>
              <w:jc w:val="left"/>
              <w:textAlignment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kern w:val="0"/>
                <w:sz w:val="20"/>
                <w:szCs w:val="20"/>
                <w:highlight w:val="none"/>
                <w:lang w:val="en-US" w:eastAsia="zh-CN"/>
              </w:rPr>
              <w:t>CJ</w:t>
            </w:r>
            <w:r>
              <w:rPr>
                <w:rFonts w:hint="eastAsia" w:ascii="宋体" w:hAnsi="宋体" w:eastAsia="宋体" w:cs="宋体"/>
                <w:color w:val="auto"/>
                <w:kern w:val="0"/>
                <w:sz w:val="20"/>
                <w:szCs w:val="20"/>
                <w:highlight w:val="none"/>
              </w:rPr>
              <w:t>00</w:t>
            </w:r>
            <w:r>
              <w:rPr>
                <w:rFonts w:hint="eastAsia" w:ascii="宋体" w:hAnsi="宋体" w:eastAsia="宋体" w:cs="宋体"/>
                <w:color w:val="auto"/>
                <w:kern w:val="0"/>
                <w:sz w:val="20"/>
                <w:szCs w:val="20"/>
                <w:highlight w:val="none"/>
                <w:lang w:val="en-US" w:eastAsia="zh-CN"/>
              </w:rPr>
              <w:t>1</w:t>
            </w:r>
          </w:p>
        </w:tc>
        <w:tc>
          <w:tcPr>
            <w:tcW w:w="955" w:type="dxa"/>
            <w:tcBorders>
              <w:tl2br w:val="nil"/>
              <w:tr2bl w:val="nil"/>
            </w:tcBorders>
            <w:shd w:val="clear" w:color="auto" w:fill="auto"/>
            <w:vAlign w:val="center"/>
          </w:tcPr>
          <w:p w14:paraId="7EB43109">
            <w:pPr>
              <w:widowControl/>
              <w:jc w:val="left"/>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厂界上风向1</w:t>
            </w:r>
          </w:p>
        </w:tc>
        <w:tc>
          <w:tcPr>
            <w:tcW w:w="904" w:type="dxa"/>
            <w:tcBorders>
              <w:tl2br w:val="nil"/>
              <w:tr2bl w:val="nil"/>
            </w:tcBorders>
            <w:shd w:val="clear" w:color="auto" w:fill="auto"/>
            <w:vAlign w:val="center"/>
          </w:tcPr>
          <w:p w14:paraId="18C17270">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硫化氢</w:t>
            </w:r>
          </w:p>
        </w:tc>
        <w:tc>
          <w:tcPr>
            <w:tcW w:w="809" w:type="dxa"/>
            <w:tcBorders>
              <w:tl2br w:val="nil"/>
              <w:tr2bl w:val="nil"/>
            </w:tcBorders>
            <w:shd w:val="clear" w:color="auto" w:fill="auto"/>
            <w:vAlign w:val="center"/>
          </w:tcPr>
          <w:p w14:paraId="3C921E14">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手工</w:t>
            </w:r>
          </w:p>
        </w:tc>
        <w:tc>
          <w:tcPr>
            <w:tcW w:w="2983" w:type="dxa"/>
            <w:tcBorders>
              <w:tl2br w:val="nil"/>
              <w:tr2bl w:val="nil"/>
            </w:tcBorders>
            <w:shd w:val="clear" w:color="auto" w:fill="auto"/>
            <w:vAlign w:val="center"/>
          </w:tcPr>
          <w:p w14:paraId="33B08AD1">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《城镇污水处理厂污染物排放标准》（GB18918-2002）二级标准排放</w:t>
            </w:r>
          </w:p>
        </w:tc>
        <w:tc>
          <w:tcPr>
            <w:tcW w:w="1418" w:type="dxa"/>
            <w:tcBorders>
              <w:tl2br w:val="nil"/>
              <w:tr2bl w:val="nil"/>
            </w:tcBorders>
            <w:shd w:val="clear" w:color="auto" w:fill="auto"/>
            <w:vAlign w:val="center"/>
          </w:tcPr>
          <w:p w14:paraId="6E60369A">
            <w:pPr>
              <w:widowControl/>
              <w:jc w:val="left"/>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上限:0.06mg/Nm</w:t>
            </w:r>
            <w:r>
              <w:rPr>
                <w:rFonts w:hint="eastAsia" w:ascii="宋体" w:hAnsi="宋体" w:eastAsia="宋体" w:cs="宋体"/>
                <w:color w:val="auto"/>
                <w:kern w:val="0"/>
                <w:sz w:val="20"/>
                <w:szCs w:val="20"/>
                <w:highlight w:val="none"/>
                <w:vertAlign w:val="superscript"/>
              </w:rPr>
              <w:t>3</w:t>
            </w:r>
          </w:p>
        </w:tc>
        <w:tc>
          <w:tcPr>
            <w:tcW w:w="1631" w:type="dxa"/>
            <w:tcBorders>
              <w:tl2br w:val="nil"/>
              <w:tr2bl w:val="nil"/>
            </w:tcBorders>
            <w:shd w:val="clear" w:color="auto" w:fill="auto"/>
            <w:vAlign w:val="center"/>
          </w:tcPr>
          <w:p w14:paraId="14B6EA64">
            <w:pPr>
              <w:widowControl/>
              <w:jc w:val="left"/>
              <w:textAlignment w:val="center"/>
              <w:rPr>
                <w:rFonts w:hint="default"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rPr>
              <w:t>0.0025mg/Nm</w:t>
            </w:r>
            <w:r>
              <w:rPr>
                <w:rFonts w:hint="eastAsia" w:ascii="宋体" w:hAnsi="宋体" w:eastAsia="宋体" w:cs="宋体"/>
                <w:color w:val="auto"/>
                <w:kern w:val="0"/>
                <w:sz w:val="20"/>
                <w:szCs w:val="20"/>
                <w:highlight w:val="none"/>
                <w:vertAlign w:val="superscript"/>
              </w:rPr>
              <w:t>3</w:t>
            </w:r>
          </w:p>
        </w:tc>
        <w:tc>
          <w:tcPr>
            <w:tcW w:w="1771" w:type="dxa"/>
            <w:tcBorders>
              <w:tl2br w:val="nil"/>
              <w:tr2bl w:val="nil"/>
            </w:tcBorders>
            <w:shd w:val="clear" w:color="auto" w:fill="auto"/>
            <w:vAlign w:val="center"/>
          </w:tcPr>
          <w:p w14:paraId="4DFE7841">
            <w:pPr>
              <w:widowControl/>
              <w:jc w:val="left"/>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xml:space="preserve">非连续采样 </w:t>
            </w:r>
          </w:p>
          <w:p w14:paraId="772200B3">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至少</w:t>
            </w:r>
            <w:r>
              <w:rPr>
                <w:rFonts w:ascii="宋体" w:hAnsi="宋体" w:eastAsia="宋体" w:cs="宋体"/>
                <w:color w:val="auto"/>
                <w:kern w:val="0"/>
                <w:sz w:val="20"/>
                <w:szCs w:val="20"/>
                <w:highlight w:val="none"/>
              </w:rPr>
              <w:t>4</w:t>
            </w:r>
            <w:r>
              <w:rPr>
                <w:rFonts w:hint="eastAsia" w:ascii="宋体" w:hAnsi="宋体" w:eastAsia="宋体" w:cs="宋体"/>
                <w:color w:val="auto"/>
                <w:kern w:val="0"/>
                <w:sz w:val="20"/>
                <w:szCs w:val="20"/>
                <w:highlight w:val="none"/>
              </w:rPr>
              <w:t>个</w:t>
            </w:r>
          </w:p>
        </w:tc>
        <w:tc>
          <w:tcPr>
            <w:tcW w:w="1701" w:type="dxa"/>
            <w:tcBorders>
              <w:tl2br w:val="nil"/>
              <w:tr2bl w:val="nil"/>
            </w:tcBorders>
            <w:shd w:val="clear" w:color="auto" w:fill="auto"/>
            <w:vAlign w:val="center"/>
          </w:tcPr>
          <w:p w14:paraId="704753A7">
            <w:pPr>
              <w:widowControl/>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kern w:val="0"/>
                <w:sz w:val="20"/>
                <w:szCs w:val="20"/>
                <w:highlight w:val="none"/>
              </w:rPr>
              <w:t>1次/</w:t>
            </w:r>
            <w:r>
              <w:rPr>
                <w:rFonts w:hint="eastAsia" w:ascii="宋体" w:hAnsi="宋体" w:eastAsia="宋体" w:cs="宋体"/>
                <w:color w:val="auto"/>
                <w:kern w:val="0"/>
                <w:sz w:val="20"/>
                <w:szCs w:val="20"/>
                <w:highlight w:val="none"/>
                <w:lang w:val="en-US" w:eastAsia="zh-CN"/>
              </w:rPr>
              <w:t>半年</w:t>
            </w:r>
          </w:p>
        </w:tc>
        <w:tc>
          <w:tcPr>
            <w:tcW w:w="3827" w:type="dxa"/>
            <w:tcBorders>
              <w:tl2br w:val="nil"/>
              <w:tr2bl w:val="nil"/>
            </w:tcBorders>
            <w:shd w:val="clear" w:color="auto" w:fill="auto"/>
            <w:vAlign w:val="center"/>
          </w:tcPr>
          <w:p w14:paraId="18A6C2AF">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《空气和废气监测分析方法》（第四版）国家环境保护总局（2003年）5.4.10（3）中的硫化氢亚甲蓝分光光度法</w:t>
            </w:r>
          </w:p>
        </w:tc>
        <w:tc>
          <w:tcPr>
            <w:tcW w:w="1666" w:type="dxa"/>
            <w:tcBorders>
              <w:tl2br w:val="nil"/>
              <w:tr2bl w:val="nil"/>
            </w:tcBorders>
            <w:shd w:val="clear" w:color="auto" w:fill="auto"/>
            <w:vAlign w:val="center"/>
          </w:tcPr>
          <w:p w14:paraId="14FE581D">
            <w:pPr>
              <w:jc w:val="left"/>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紫外分光光度计</w:t>
            </w:r>
          </w:p>
        </w:tc>
        <w:tc>
          <w:tcPr>
            <w:tcW w:w="1410" w:type="dxa"/>
            <w:tcBorders>
              <w:tl2br w:val="nil"/>
              <w:tr2bl w:val="nil"/>
            </w:tcBorders>
            <w:shd w:val="clear" w:color="auto" w:fill="auto"/>
            <w:vAlign w:val="center"/>
          </w:tcPr>
          <w:p w14:paraId="3F5A75AE">
            <w:pPr>
              <w:jc w:val="left"/>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委托检测</w:t>
            </w:r>
          </w:p>
        </w:tc>
      </w:tr>
      <w:tr w14:paraId="7A34FA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4" w:hRule="atLeast"/>
        </w:trPr>
        <w:tc>
          <w:tcPr>
            <w:tcW w:w="547" w:type="dxa"/>
            <w:tcBorders>
              <w:tl2br w:val="nil"/>
              <w:tr2bl w:val="nil"/>
            </w:tcBorders>
            <w:shd w:val="clear" w:color="auto" w:fill="auto"/>
            <w:vAlign w:val="center"/>
          </w:tcPr>
          <w:p w14:paraId="1D7C4BAE">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w:t>
            </w:r>
          </w:p>
        </w:tc>
        <w:tc>
          <w:tcPr>
            <w:tcW w:w="900" w:type="dxa"/>
            <w:tcBorders>
              <w:tl2br w:val="nil"/>
              <w:tr2bl w:val="nil"/>
            </w:tcBorders>
            <w:shd w:val="clear" w:color="auto" w:fill="auto"/>
            <w:vAlign w:val="center"/>
          </w:tcPr>
          <w:p w14:paraId="56FA6D47">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废气</w:t>
            </w:r>
          </w:p>
        </w:tc>
        <w:tc>
          <w:tcPr>
            <w:tcW w:w="886" w:type="dxa"/>
            <w:tcBorders>
              <w:tl2br w:val="nil"/>
              <w:tr2bl w:val="nil"/>
            </w:tcBorders>
            <w:shd w:val="clear" w:color="auto" w:fill="auto"/>
            <w:vAlign w:val="center"/>
          </w:tcPr>
          <w:p w14:paraId="6F5E9591">
            <w:pPr>
              <w:widowControl/>
              <w:jc w:val="left"/>
              <w:textAlignment w:val="center"/>
              <w:rPr>
                <w:rFonts w:hint="default" w:ascii="宋体" w:hAnsi="宋体" w:eastAsia="宋体" w:cs="宋体"/>
                <w:color w:val="auto"/>
                <w:sz w:val="20"/>
                <w:szCs w:val="20"/>
                <w:highlight w:val="none"/>
                <w:lang w:val="en-US" w:eastAsia="zh-CN"/>
              </w:rPr>
            </w:pPr>
            <w:r>
              <w:rPr>
                <w:rFonts w:hint="eastAsia" w:ascii="宋体" w:hAnsi="宋体" w:eastAsia="宋体" w:cs="宋体"/>
                <w:color w:val="auto"/>
                <w:kern w:val="0"/>
                <w:sz w:val="20"/>
                <w:szCs w:val="20"/>
                <w:highlight w:val="none"/>
                <w:lang w:val="en-US" w:eastAsia="zh-CN"/>
              </w:rPr>
              <w:t>CJ</w:t>
            </w:r>
            <w:r>
              <w:rPr>
                <w:rFonts w:hint="eastAsia" w:ascii="宋体" w:hAnsi="宋体" w:eastAsia="宋体" w:cs="宋体"/>
                <w:color w:val="auto"/>
                <w:kern w:val="0"/>
                <w:sz w:val="20"/>
                <w:szCs w:val="20"/>
                <w:highlight w:val="none"/>
              </w:rPr>
              <w:t>0</w:t>
            </w:r>
            <w:r>
              <w:rPr>
                <w:rFonts w:hint="eastAsia" w:ascii="宋体" w:hAnsi="宋体" w:eastAsia="宋体" w:cs="宋体"/>
                <w:color w:val="auto"/>
                <w:kern w:val="0"/>
                <w:sz w:val="20"/>
                <w:szCs w:val="20"/>
                <w:highlight w:val="none"/>
                <w:lang w:val="en-US" w:eastAsia="zh-CN"/>
              </w:rPr>
              <w:t>02</w:t>
            </w:r>
          </w:p>
        </w:tc>
        <w:tc>
          <w:tcPr>
            <w:tcW w:w="955" w:type="dxa"/>
            <w:tcBorders>
              <w:tl2br w:val="nil"/>
              <w:tr2bl w:val="nil"/>
            </w:tcBorders>
            <w:shd w:val="clear" w:color="auto" w:fill="auto"/>
            <w:vAlign w:val="center"/>
          </w:tcPr>
          <w:p w14:paraId="7B6D8121">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厂界下风向1</w:t>
            </w:r>
          </w:p>
        </w:tc>
        <w:tc>
          <w:tcPr>
            <w:tcW w:w="904" w:type="dxa"/>
            <w:tcBorders>
              <w:tl2br w:val="nil"/>
              <w:tr2bl w:val="nil"/>
            </w:tcBorders>
            <w:shd w:val="clear" w:color="auto" w:fill="auto"/>
            <w:vAlign w:val="center"/>
          </w:tcPr>
          <w:p w14:paraId="49779FFF">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硫化氢</w:t>
            </w:r>
          </w:p>
        </w:tc>
        <w:tc>
          <w:tcPr>
            <w:tcW w:w="809" w:type="dxa"/>
            <w:tcBorders>
              <w:tl2br w:val="nil"/>
              <w:tr2bl w:val="nil"/>
            </w:tcBorders>
            <w:shd w:val="clear" w:color="auto" w:fill="auto"/>
            <w:vAlign w:val="center"/>
          </w:tcPr>
          <w:p w14:paraId="3FF526D7">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手工</w:t>
            </w:r>
          </w:p>
        </w:tc>
        <w:tc>
          <w:tcPr>
            <w:tcW w:w="2983" w:type="dxa"/>
            <w:tcBorders>
              <w:tl2br w:val="nil"/>
              <w:tr2bl w:val="nil"/>
            </w:tcBorders>
            <w:shd w:val="clear" w:color="auto" w:fill="auto"/>
            <w:vAlign w:val="center"/>
          </w:tcPr>
          <w:p w14:paraId="787FB797">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《城镇污水处理厂污染物排放标准》（GB18918-2002）二级标准排放</w:t>
            </w:r>
          </w:p>
        </w:tc>
        <w:tc>
          <w:tcPr>
            <w:tcW w:w="1418" w:type="dxa"/>
            <w:tcBorders>
              <w:tl2br w:val="nil"/>
              <w:tr2bl w:val="nil"/>
            </w:tcBorders>
            <w:shd w:val="clear" w:color="auto" w:fill="auto"/>
            <w:vAlign w:val="center"/>
          </w:tcPr>
          <w:p w14:paraId="6E008969">
            <w:pPr>
              <w:widowControl/>
              <w:jc w:val="left"/>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上限:0.06mg/Nm</w:t>
            </w:r>
            <w:r>
              <w:rPr>
                <w:rFonts w:hint="eastAsia" w:ascii="宋体" w:hAnsi="宋体" w:eastAsia="宋体" w:cs="宋体"/>
                <w:color w:val="auto"/>
                <w:kern w:val="0"/>
                <w:sz w:val="20"/>
                <w:szCs w:val="20"/>
                <w:highlight w:val="none"/>
                <w:vertAlign w:val="superscript"/>
              </w:rPr>
              <w:t>3</w:t>
            </w:r>
          </w:p>
        </w:tc>
        <w:tc>
          <w:tcPr>
            <w:tcW w:w="1631" w:type="dxa"/>
            <w:tcBorders>
              <w:tl2br w:val="nil"/>
              <w:tr2bl w:val="nil"/>
            </w:tcBorders>
            <w:shd w:val="clear" w:color="auto" w:fill="auto"/>
            <w:vAlign w:val="center"/>
          </w:tcPr>
          <w:p w14:paraId="39E16912">
            <w:pPr>
              <w:widowControl/>
              <w:jc w:val="left"/>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0.0025mg/Nm</w:t>
            </w:r>
            <w:r>
              <w:rPr>
                <w:rFonts w:hint="eastAsia" w:ascii="宋体" w:hAnsi="宋体" w:eastAsia="宋体" w:cs="宋体"/>
                <w:color w:val="auto"/>
                <w:kern w:val="0"/>
                <w:sz w:val="20"/>
                <w:szCs w:val="20"/>
                <w:highlight w:val="none"/>
                <w:vertAlign w:val="superscript"/>
              </w:rPr>
              <w:t>3</w:t>
            </w:r>
          </w:p>
        </w:tc>
        <w:tc>
          <w:tcPr>
            <w:tcW w:w="1771" w:type="dxa"/>
            <w:tcBorders>
              <w:tl2br w:val="nil"/>
              <w:tr2bl w:val="nil"/>
            </w:tcBorders>
            <w:shd w:val="clear" w:color="auto" w:fill="auto"/>
            <w:vAlign w:val="center"/>
          </w:tcPr>
          <w:p w14:paraId="0B6381CC">
            <w:pPr>
              <w:widowControl/>
              <w:jc w:val="left"/>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xml:space="preserve">非连续采样 </w:t>
            </w:r>
          </w:p>
          <w:p w14:paraId="5B34F9A2">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至少</w:t>
            </w:r>
            <w:r>
              <w:rPr>
                <w:rFonts w:ascii="宋体" w:hAnsi="宋体" w:eastAsia="宋体" w:cs="宋体"/>
                <w:color w:val="auto"/>
                <w:kern w:val="0"/>
                <w:sz w:val="20"/>
                <w:szCs w:val="20"/>
                <w:highlight w:val="none"/>
              </w:rPr>
              <w:t>4</w:t>
            </w:r>
            <w:r>
              <w:rPr>
                <w:rFonts w:hint="eastAsia" w:ascii="宋体" w:hAnsi="宋体" w:eastAsia="宋体" w:cs="宋体"/>
                <w:color w:val="auto"/>
                <w:kern w:val="0"/>
                <w:sz w:val="20"/>
                <w:szCs w:val="20"/>
                <w:highlight w:val="none"/>
              </w:rPr>
              <w:t>个</w:t>
            </w:r>
          </w:p>
        </w:tc>
        <w:tc>
          <w:tcPr>
            <w:tcW w:w="1701" w:type="dxa"/>
            <w:tcBorders>
              <w:tl2br w:val="nil"/>
              <w:tr2bl w:val="nil"/>
            </w:tcBorders>
            <w:shd w:val="clear" w:color="auto" w:fill="auto"/>
            <w:vAlign w:val="center"/>
          </w:tcPr>
          <w:p w14:paraId="0A3BE181">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1次/半年</w:t>
            </w:r>
          </w:p>
        </w:tc>
        <w:tc>
          <w:tcPr>
            <w:tcW w:w="3827" w:type="dxa"/>
            <w:tcBorders>
              <w:tl2br w:val="nil"/>
              <w:tr2bl w:val="nil"/>
            </w:tcBorders>
            <w:shd w:val="clear" w:color="auto" w:fill="auto"/>
            <w:vAlign w:val="center"/>
          </w:tcPr>
          <w:p w14:paraId="1CD6D751">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《空气和废气监测分析方法》（第四版）国家环境保护总局（2003年）5.4.10（3）中的硫化氢亚甲蓝分光光度法</w:t>
            </w:r>
          </w:p>
        </w:tc>
        <w:tc>
          <w:tcPr>
            <w:tcW w:w="1666" w:type="dxa"/>
            <w:tcBorders>
              <w:tl2br w:val="nil"/>
              <w:tr2bl w:val="nil"/>
            </w:tcBorders>
            <w:shd w:val="clear" w:color="auto" w:fill="auto"/>
            <w:vAlign w:val="center"/>
          </w:tcPr>
          <w:p w14:paraId="265B32FE">
            <w:pPr>
              <w:jc w:val="left"/>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紫外分光光度计</w:t>
            </w:r>
          </w:p>
        </w:tc>
        <w:tc>
          <w:tcPr>
            <w:tcW w:w="1410" w:type="dxa"/>
            <w:tcBorders>
              <w:tl2br w:val="nil"/>
              <w:tr2bl w:val="nil"/>
            </w:tcBorders>
            <w:shd w:val="clear" w:color="auto" w:fill="auto"/>
            <w:vAlign w:val="center"/>
          </w:tcPr>
          <w:p w14:paraId="01E4F9F5">
            <w:pPr>
              <w:jc w:val="left"/>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委托检测</w:t>
            </w:r>
          </w:p>
        </w:tc>
      </w:tr>
      <w:tr w14:paraId="7A8155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96" w:hRule="atLeast"/>
        </w:trPr>
        <w:tc>
          <w:tcPr>
            <w:tcW w:w="547" w:type="dxa"/>
            <w:tcBorders>
              <w:tl2br w:val="nil"/>
              <w:tr2bl w:val="nil"/>
            </w:tcBorders>
            <w:shd w:val="clear" w:color="auto" w:fill="auto"/>
            <w:vAlign w:val="center"/>
          </w:tcPr>
          <w:p w14:paraId="68A7088E">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11</w:t>
            </w:r>
          </w:p>
        </w:tc>
        <w:tc>
          <w:tcPr>
            <w:tcW w:w="900" w:type="dxa"/>
            <w:tcBorders>
              <w:tl2br w:val="nil"/>
              <w:tr2bl w:val="nil"/>
            </w:tcBorders>
            <w:shd w:val="clear" w:color="auto" w:fill="auto"/>
            <w:vAlign w:val="center"/>
          </w:tcPr>
          <w:p w14:paraId="6DCC3FCE">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废气</w:t>
            </w:r>
          </w:p>
        </w:tc>
        <w:tc>
          <w:tcPr>
            <w:tcW w:w="886" w:type="dxa"/>
            <w:tcBorders>
              <w:tl2br w:val="nil"/>
              <w:tr2bl w:val="nil"/>
            </w:tcBorders>
            <w:shd w:val="clear" w:color="auto" w:fill="auto"/>
            <w:vAlign w:val="center"/>
          </w:tcPr>
          <w:p w14:paraId="34B22EBB">
            <w:pPr>
              <w:widowControl/>
              <w:jc w:val="left"/>
              <w:textAlignment w:val="center"/>
              <w:rPr>
                <w:rFonts w:hint="default"/>
                <w:sz w:val="20"/>
                <w:szCs w:val="20"/>
                <w:lang w:val="en-US" w:eastAsia="zh-CN"/>
              </w:rPr>
            </w:pPr>
            <w:r>
              <w:rPr>
                <w:rFonts w:hint="eastAsia"/>
                <w:sz w:val="20"/>
                <w:szCs w:val="20"/>
                <w:lang w:val="en-US" w:eastAsia="zh-CN"/>
              </w:rPr>
              <w:t>CJ</w:t>
            </w:r>
            <w:r>
              <w:rPr>
                <w:rFonts w:hint="eastAsia"/>
                <w:sz w:val="20"/>
                <w:szCs w:val="20"/>
              </w:rPr>
              <w:t>0</w:t>
            </w:r>
            <w:r>
              <w:rPr>
                <w:rFonts w:hint="eastAsia"/>
                <w:sz w:val="20"/>
                <w:szCs w:val="20"/>
                <w:lang w:val="en-US" w:eastAsia="zh-CN"/>
              </w:rPr>
              <w:t>03</w:t>
            </w:r>
          </w:p>
        </w:tc>
        <w:tc>
          <w:tcPr>
            <w:tcW w:w="955" w:type="dxa"/>
            <w:tcBorders>
              <w:tl2br w:val="nil"/>
              <w:tr2bl w:val="nil"/>
            </w:tcBorders>
            <w:shd w:val="clear" w:color="auto" w:fill="auto"/>
            <w:vAlign w:val="center"/>
          </w:tcPr>
          <w:p w14:paraId="626C98C3">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厂界下风向2</w:t>
            </w:r>
          </w:p>
        </w:tc>
        <w:tc>
          <w:tcPr>
            <w:tcW w:w="904" w:type="dxa"/>
            <w:tcBorders>
              <w:tl2br w:val="nil"/>
              <w:tr2bl w:val="nil"/>
            </w:tcBorders>
            <w:shd w:val="clear" w:color="auto" w:fill="auto"/>
            <w:vAlign w:val="center"/>
          </w:tcPr>
          <w:p w14:paraId="025249EA">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硫化氢</w:t>
            </w:r>
          </w:p>
        </w:tc>
        <w:tc>
          <w:tcPr>
            <w:tcW w:w="809" w:type="dxa"/>
            <w:tcBorders>
              <w:tl2br w:val="nil"/>
              <w:tr2bl w:val="nil"/>
            </w:tcBorders>
            <w:shd w:val="clear" w:color="auto" w:fill="auto"/>
            <w:vAlign w:val="center"/>
          </w:tcPr>
          <w:p w14:paraId="33087EDC">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手工</w:t>
            </w:r>
          </w:p>
        </w:tc>
        <w:tc>
          <w:tcPr>
            <w:tcW w:w="2983" w:type="dxa"/>
            <w:tcBorders>
              <w:tl2br w:val="nil"/>
              <w:tr2bl w:val="nil"/>
            </w:tcBorders>
            <w:shd w:val="clear" w:color="auto" w:fill="auto"/>
            <w:vAlign w:val="center"/>
          </w:tcPr>
          <w:p w14:paraId="26166777">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《城镇污水处理厂污染物排放标准》（GB18918-2002）二级标准排放</w:t>
            </w:r>
          </w:p>
        </w:tc>
        <w:tc>
          <w:tcPr>
            <w:tcW w:w="1418" w:type="dxa"/>
            <w:tcBorders>
              <w:tl2br w:val="nil"/>
              <w:tr2bl w:val="nil"/>
            </w:tcBorders>
            <w:shd w:val="clear" w:color="auto" w:fill="auto"/>
            <w:vAlign w:val="center"/>
          </w:tcPr>
          <w:p w14:paraId="7E82BE1B">
            <w:pPr>
              <w:widowControl/>
              <w:jc w:val="left"/>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上限:0.06mg/Nm</w:t>
            </w:r>
            <w:r>
              <w:rPr>
                <w:rFonts w:hint="eastAsia" w:ascii="宋体" w:hAnsi="宋体" w:eastAsia="宋体" w:cs="宋体"/>
                <w:color w:val="auto"/>
                <w:kern w:val="0"/>
                <w:sz w:val="20"/>
                <w:szCs w:val="20"/>
                <w:highlight w:val="none"/>
                <w:vertAlign w:val="superscript"/>
              </w:rPr>
              <w:t>3</w:t>
            </w:r>
          </w:p>
        </w:tc>
        <w:tc>
          <w:tcPr>
            <w:tcW w:w="1631" w:type="dxa"/>
            <w:tcBorders>
              <w:tl2br w:val="nil"/>
              <w:tr2bl w:val="nil"/>
            </w:tcBorders>
            <w:shd w:val="clear" w:color="auto" w:fill="auto"/>
            <w:vAlign w:val="center"/>
          </w:tcPr>
          <w:p w14:paraId="34056209">
            <w:pPr>
              <w:widowControl/>
              <w:jc w:val="left"/>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0.0025mg/Nm</w:t>
            </w:r>
            <w:r>
              <w:rPr>
                <w:rFonts w:hint="eastAsia" w:ascii="宋体" w:hAnsi="宋体" w:eastAsia="宋体" w:cs="宋体"/>
                <w:color w:val="auto"/>
                <w:kern w:val="0"/>
                <w:sz w:val="20"/>
                <w:szCs w:val="20"/>
                <w:highlight w:val="none"/>
                <w:vertAlign w:val="superscript"/>
              </w:rPr>
              <w:t>3</w:t>
            </w:r>
          </w:p>
        </w:tc>
        <w:tc>
          <w:tcPr>
            <w:tcW w:w="1771" w:type="dxa"/>
            <w:tcBorders>
              <w:tl2br w:val="nil"/>
              <w:tr2bl w:val="nil"/>
            </w:tcBorders>
            <w:shd w:val="clear" w:color="auto" w:fill="auto"/>
            <w:vAlign w:val="center"/>
          </w:tcPr>
          <w:p w14:paraId="4C27A52C">
            <w:pPr>
              <w:widowControl/>
              <w:jc w:val="left"/>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xml:space="preserve">非连续采样 </w:t>
            </w:r>
          </w:p>
          <w:p w14:paraId="252D059A">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至少</w:t>
            </w:r>
            <w:r>
              <w:rPr>
                <w:rFonts w:ascii="宋体" w:hAnsi="宋体" w:eastAsia="宋体" w:cs="宋体"/>
                <w:color w:val="auto"/>
                <w:kern w:val="0"/>
                <w:sz w:val="20"/>
                <w:szCs w:val="20"/>
                <w:highlight w:val="none"/>
              </w:rPr>
              <w:t>4</w:t>
            </w:r>
            <w:r>
              <w:rPr>
                <w:rFonts w:hint="eastAsia" w:ascii="宋体" w:hAnsi="宋体" w:eastAsia="宋体" w:cs="宋体"/>
                <w:color w:val="auto"/>
                <w:kern w:val="0"/>
                <w:sz w:val="20"/>
                <w:szCs w:val="20"/>
                <w:highlight w:val="none"/>
              </w:rPr>
              <w:t>个</w:t>
            </w:r>
          </w:p>
        </w:tc>
        <w:tc>
          <w:tcPr>
            <w:tcW w:w="1701" w:type="dxa"/>
            <w:tcBorders>
              <w:tl2br w:val="nil"/>
              <w:tr2bl w:val="nil"/>
            </w:tcBorders>
            <w:shd w:val="clear" w:color="auto" w:fill="auto"/>
            <w:vAlign w:val="center"/>
          </w:tcPr>
          <w:p w14:paraId="2400E9BD">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1次/半年</w:t>
            </w:r>
          </w:p>
        </w:tc>
        <w:tc>
          <w:tcPr>
            <w:tcW w:w="3827" w:type="dxa"/>
            <w:tcBorders>
              <w:tl2br w:val="nil"/>
              <w:tr2bl w:val="nil"/>
            </w:tcBorders>
            <w:shd w:val="clear" w:color="auto" w:fill="auto"/>
            <w:vAlign w:val="center"/>
          </w:tcPr>
          <w:p w14:paraId="51C52878">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《空气和废气监测分析方法》（第四版）国家环境保护总局（2003年）5.4.10（3）中的硫化氢亚甲蓝分光光度法</w:t>
            </w:r>
          </w:p>
        </w:tc>
        <w:tc>
          <w:tcPr>
            <w:tcW w:w="1666" w:type="dxa"/>
            <w:tcBorders>
              <w:tl2br w:val="nil"/>
              <w:tr2bl w:val="nil"/>
            </w:tcBorders>
            <w:shd w:val="clear" w:color="auto" w:fill="auto"/>
            <w:vAlign w:val="center"/>
          </w:tcPr>
          <w:p w14:paraId="2A74C234">
            <w:pPr>
              <w:jc w:val="left"/>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紫外分光光度计</w:t>
            </w:r>
          </w:p>
        </w:tc>
        <w:tc>
          <w:tcPr>
            <w:tcW w:w="1410" w:type="dxa"/>
            <w:tcBorders>
              <w:tl2br w:val="nil"/>
              <w:tr2bl w:val="nil"/>
            </w:tcBorders>
            <w:shd w:val="clear" w:color="auto" w:fill="auto"/>
            <w:vAlign w:val="center"/>
          </w:tcPr>
          <w:p w14:paraId="32299B8A">
            <w:pPr>
              <w:jc w:val="left"/>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委托检测</w:t>
            </w:r>
          </w:p>
        </w:tc>
      </w:tr>
      <w:tr w14:paraId="055D08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4" w:hRule="atLeast"/>
        </w:trPr>
        <w:tc>
          <w:tcPr>
            <w:tcW w:w="547" w:type="dxa"/>
            <w:tcBorders>
              <w:tl2br w:val="nil"/>
              <w:tr2bl w:val="nil"/>
            </w:tcBorders>
            <w:shd w:val="clear" w:color="auto" w:fill="auto"/>
            <w:vAlign w:val="center"/>
          </w:tcPr>
          <w:p w14:paraId="0392B5D2">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12</w:t>
            </w:r>
          </w:p>
        </w:tc>
        <w:tc>
          <w:tcPr>
            <w:tcW w:w="900" w:type="dxa"/>
            <w:tcBorders>
              <w:tl2br w:val="nil"/>
              <w:tr2bl w:val="nil"/>
            </w:tcBorders>
            <w:shd w:val="clear" w:color="auto" w:fill="auto"/>
            <w:vAlign w:val="center"/>
          </w:tcPr>
          <w:p w14:paraId="760DB092">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废气</w:t>
            </w:r>
          </w:p>
        </w:tc>
        <w:tc>
          <w:tcPr>
            <w:tcW w:w="886" w:type="dxa"/>
            <w:tcBorders>
              <w:tl2br w:val="nil"/>
              <w:tr2bl w:val="nil"/>
            </w:tcBorders>
            <w:shd w:val="clear" w:color="auto" w:fill="auto"/>
            <w:vAlign w:val="center"/>
          </w:tcPr>
          <w:p w14:paraId="301E3054">
            <w:pPr>
              <w:widowControl/>
              <w:jc w:val="left"/>
              <w:textAlignment w:val="center"/>
              <w:rPr>
                <w:rFonts w:hint="default" w:ascii="宋体" w:hAnsi="宋体" w:eastAsia="宋体" w:cs="宋体"/>
                <w:color w:val="auto"/>
                <w:sz w:val="20"/>
                <w:szCs w:val="20"/>
                <w:highlight w:val="none"/>
                <w:lang w:val="en-US" w:eastAsia="zh-CN"/>
              </w:rPr>
            </w:pPr>
            <w:r>
              <w:rPr>
                <w:rFonts w:hint="eastAsia" w:ascii="宋体" w:hAnsi="宋体" w:eastAsia="宋体" w:cs="宋体"/>
                <w:color w:val="auto"/>
                <w:kern w:val="0"/>
                <w:sz w:val="20"/>
                <w:szCs w:val="20"/>
                <w:highlight w:val="none"/>
                <w:lang w:val="en-US" w:eastAsia="zh-CN"/>
              </w:rPr>
              <w:t>CJ</w:t>
            </w:r>
            <w:r>
              <w:rPr>
                <w:rFonts w:hint="eastAsia" w:ascii="宋体" w:hAnsi="宋体" w:eastAsia="宋体" w:cs="宋体"/>
                <w:color w:val="auto"/>
                <w:kern w:val="0"/>
                <w:sz w:val="20"/>
                <w:szCs w:val="20"/>
                <w:highlight w:val="none"/>
              </w:rPr>
              <w:t>0</w:t>
            </w:r>
            <w:r>
              <w:rPr>
                <w:rFonts w:hint="eastAsia" w:ascii="宋体" w:hAnsi="宋体" w:eastAsia="宋体" w:cs="宋体"/>
                <w:color w:val="auto"/>
                <w:kern w:val="0"/>
                <w:sz w:val="20"/>
                <w:szCs w:val="20"/>
                <w:highlight w:val="none"/>
                <w:lang w:val="en-US" w:eastAsia="zh-CN"/>
              </w:rPr>
              <w:t>04</w:t>
            </w:r>
          </w:p>
        </w:tc>
        <w:tc>
          <w:tcPr>
            <w:tcW w:w="955" w:type="dxa"/>
            <w:tcBorders>
              <w:tl2br w:val="nil"/>
              <w:tr2bl w:val="nil"/>
            </w:tcBorders>
            <w:shd w:val="clear" w:color="auto" w:fill="auto"/>
            <w:vAlign w:val="center"/>
          </w:tcPr>
          <w:p w14:paraId="26FC91E5">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厂界下风向3</w:t>
            </w:r>
          </w:p>
        </w:tc>
        <w:tc>
          <w:tcPr>
            <w:tcW w:w="904" w:type="dxa"/>
            <w:tcBorders>
              <w:tl2br w:val="nil"/>
              <w:tr2bl w:val="nil"/>
            </w:tcBorders>
            <w:shd w:val="clear" w:color="auto" w:fill="auto"/>
            <w:vAlign w:val="center"/>
          </w:tcPr>
          <w:p w14:paraId="346DCD97">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硫化氢</w:t>
            </w:r>
          </w:p>
        </w:tc>
        <w:tc>
          <w:tcPr>
            <w:tcW w:w="809" w:type="dxa"/>
            <w:tcBorders>
              <w:tl2br w:val="nil"/>
              <w:tr2bl w:val="nil"/>
            </w:tcBorders>
            <w:shd w:val="clear" w:color="auto" w:fill="auto"/>
            <w:vAlign w:val="center"/>
          </w:tcPr>
          <w:p w14:paraId="65003601">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手工</w:t>
            </w:r>
          </w:p>
        </w:tc>
        <w:tc>
          <w:tcPr>
            <w:tcW w:w="2983" w:type="dxa"/>
            <w:tcBorders>
              <w:tl2br w:val="nil"/>
              <w:tr2bl w:val="nil"/>
            </w:tcBorders>
            <w:shd w:val="clear" w:color="auto" w:fill="auto"/>
            <w:vAlign w:val="center"/>
          </w:tcPr>
          <w:p w14:paraId="06959923">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《城镇污水处理厂污染物排放标准》（GB18918-2002）二级标准排放</w:t>
            </w:r>
          </w:p>
        </w:tc>
        <w:tc>
          <w:tcPr>
            <w:tcW w:w="1418" w:type="dxa"/>
            <w:tcBorders>
              <w:tl2br w:val="nil"/>
              <w:tr2bl w:val="nil"/>
            </w:tcBorders>
            <w:shd w:val="clear" w:color="auto" w:fill="auto"/>
            <w:vAlign w:val="center"/>
          </w:tcPr>
          <w:p w14:paraId="0942135B">
            <w:pPr>
              <w:widowControl/>
              <w:jc w:val="left"/>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上限:0.06mg/Nm</w:t>
            </w:r>
            <w:r>
              <w:rPr>
                <w:rFonts w:hint="eastAsia" w:ascii="宋体" w:hAnsi="宋体" w:eastAsia="宋体" w:cs="宋体"/>
                <w:color w:val="auto"/>
                <w:kern w:val="0"/>
                <w:sz w:val="20"/>
                <w:szCs w:val="20"/>
                <w:highlight w:val="none"/>
                <w:vertAlign w:val="superscript"/>
              </w:rPr>
              <w:t>3</w:t>
            </w:r>
          </w:p>
        </w:tc>
        <w:tc>
          <w:tcPr>
            <w:tcW w:w="1631" w:type="dxa"/>
            <w:tcBorders>
              <w:tl2br w:val="nil"/>
              <w:tr2bl w:val="nil"/>
            </w:tcBorders>
            <w:shd w:val="clear" w:color="auto" w:fill="auto"/>
            <w:vAlign w:val="center"/>
          </w:tcPr>
          <w:p w14:paraId="2DD65B74">
            <w:pPr>
              <w:widowControl/>
              <w:jc w:val="left"/>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0.0025mg/Nm</w:t>
            </w:r>
            <w:r>
              <w:rPr>
                <w:rFonts w:hint="eastAsia" w:ascii="宋体" w:hAnsi="宋体" w:eastAsia="宋体" w:cs="宋体"/>
                <w:color w:val="auto"/>
                <w:kern w:val="0"/>
                <w:sz w:val="20"/>
                <w:szCs w:val="20"/>
                <w:highlight w:val="none"/>
                <w:vertAlign w:val="superscript"/>
              </w:rPr>
              <w:t>3</w:t>
            </w:r>
          </w:p>
        </w:tc>
        <w:tc>
          <w:tcPr>
            <w:tcW w:w="1771" w:type="dxa"/>
            <w:tcBorders>
              <w:tl2br w:val="nil"/>
              <w:tr2bl w:val="nil"/>
            </w:tcBorders>
            <w:shd w:val="clear" w:color="auto" w:fill="auto"/>
            <w:vAlign w:val="center"/>
          </w:tcPr>
          <w:p w14:paraId="251ED813">
            <w:pPr>
              <w:widowControl/>
              <w:jc w:val="left"/>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xml:space="preserve">非连续采样 </w:t>
            </w:r>
          </w:p>
          <w:p w14:paraId="3BD3E9D6">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至少</w:t>
            </w:r>
            <w:r>
              <w:rPr>
                <w:rFonts w:ascii="宋体" w:hAnsi="宋体" w:eastAsia="宋体" w:cs="宋体"/>
                <w:color w:val="auto"/>
                <w:kern w:val="0"/>
                <w:sz w:val="20"/>
                <w:szCs w:val="20"/>
                <w:highlight w:val="none"/>
              </w:rPr>
              <w:t>4</w:t>
            </w:r>
            <w:r>
              <w:rPr>
                <w:rFonts w:hint="eastAsia" w:ascii="宋体" w:hAnsi="宋体" w:eastAsia="宋体" w:cs="宋体"/>
                <w:color w:val="auto"/>
                <w:kern w:val="0"/>
                <w:sz w:val="20"/>
                <w:szCs w:val="20"/>
                <w:highlight w:val="none"/>
              </w:rPr>
              <w:t>个</w:t>
            </w:r>
          </w:p>
        </w:tc>
        <w:tc>
          <w:tcPr>
            <w:tcW w:w="1701" w:type="dxa"/>
            <w:tcBorders>
              <w:tl2br w:val="nil"/>
              <w:tr2bl w:val="nil"/>
            </w:tcBorders>
            <w:shd w:val="clear" w:color="auto" w:fill="auto"/>
            <w:vAlign w:val="center"/>
          </w:tcPr>
          <w:p w14:paraId="45CB1274">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1次/半年</w:t>
            </w:r>
          </w:p>
        </w:tc>
        <w:tc>
          <w:tcPr>
            <w:tcW w:w="3827" w:type="dxa"/>
            <w:tcBorders>
              <w:tl2br w:val="nil"/>
              <w:tr2bl w:val="nil"/>
            </w:tcBorders>
            <w:shd w:val="clear" w:color="auto" w:fill="auto"/>
            <w:vAlign w:val="center"/>
          </w:tcPr>
          <w:p w14:paraId="0BA27A1F">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《空气和废气监测分析方法》（第四版）国家环境保护总局（2003年）5.4.10（3）中的硫化氢亚甲蓝分光光度法</w:t>
            </w:r>
          </w:p>
        </w:tc>
        <w:tc>
          <w:tcPr>
            <w:tcW w:w="1666" w:type="dxa"/>
            <w:tcBorders>
              <w:tl2br w:val="nil"/>
              <w:tr2bl w:val="nil"/>
            </w:tcBorders>
            <w:shd w:val="clear" w:color="auto" w:fill="auto"/>
            <w:vAlign w:val="center"/>
          </w:tcPr>
          <w:p w14:paraId="6BF14435">
            <w:pPr>
              <w:jc w:val="left"/>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紫外分光光度计</w:t>
            </w:r>
          </w:p>
        </w:tc>
        <w:tc>
          <w:tcPr>
            <w:tcW w:w="1410" w:type="dxa"/>
            <w:tcBorders>
              <w:tl2br w:val="nil"/>
              <w:tr2bl w:val="nil"/>
            </w:tcBorders>
            <w:shd w:val="clear" w:color="auto" w:fill="auto"/>
            <w:vAlign w:val="center"/>
          </w:tcPr>
          <w:p w14:paraId="6110BA6D">
            <w:pPr>
              <w:jc w:val="left"/>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委托检测</w:t>
            </w:r>
          </w:p>
        </w:tc>
      </w:tr>
      <w:tr w14:paraId="45D009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096" w:hRule="atLeast"/>
        </w:trPr>
        <w:tc>
          <w:tcPr>
            <w:tcW w:w="547" w:type="dxa"/>
            <w:tcBorders>
              <w:tl2br w:val="nil"/>
              <w:tr2bl w:val="nil"/>
            </w:tcBorders>
            <w:shd w:val="clear" w:color="auto" w:fill="auto"/>
            <w:vAlign w:val="center"/>
          </w:tcPr>
          <w:p w14:paraId="75BA1532">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13</w:t>
            </w:r>
          </w:p>
        </w:tc>
        <w:tc>
          <w:tcPr>
            <w:tcW w:w="900" w:type="dxa"/>
            <w:tcBorders>
              <w:tl2br w:val="nil"/>
              <w:tr2bl w:val="nil"/>
            </w:tcBorders>
            <w:shd w:val="clear" w:color="auto" w:fill="auto"/>
            <w:vAlign w:val="center"/>
          </w:tcPr>
          <w:p w14:paraId="7D7A9A19">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废气</w:t>
            </w:r>
          </w:p>
        </w:tc>
        <w:tc>
          <w:tcPr>
            <w:tcW w:w="886" w:type="dxa"/>
            <w:tcBorders>
              <w:tl2br w:val="nil"/>
              <w:tr2bl w:val="nil"/>
            </w:tcBorders>
            <w:shd w:val="clear" w:color="auto" w:fill="auto"/>
            <w:vAlign w:val="center"/>
          </w:tcPr>
          <w:p w14:paraId="7B5E3A9C">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CN001</w:t>
            </w:r>
          </w:p>
        </w:tc>
        <w:tc>
          <w:tcPr>
            <w:tcW w:w="955" w:type="dxa"/>
            <w:tcBorders>
              <w:tl2br w:val="nil"/>
              <w:tr2bl w:val="nil"/>
            </w:tcBorders>
            <w:shd w:val="clear" w:color="auto" w:fill="auto"/>
            <w:vAlign w:val="center"/>
          </w:tcPr>
          <w:p w14:paraId="3731A605">
            <w:pPr>
              <w:jc w:val="left"/>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除臭设施</w:t>
            </w:r>
          </w:p>
        </w:tc>
        <w:tc>
          <w:tcPr>
            <w:tcW w:w="904" w:type="dxa"/>
            <w:tcBorders>
              <w:tl2br w:val="nil"/>
              <w:tr2bl w:val="nil"/>
            </w:tcBorders>
            <w:shd w:val="clear" w:color="auto" w:fill="auto"/>
            <w:vAlign w:val="center"/>
          </w:tcPr>
          <w:p w14:paraId="6B5396FE">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甲烷</w:t>
            </w:r>
          </w:p>
        </w:tc>
        <w:tc>
          <w:tcPr>
            <w:tcW w:w="809" w:type="dxa"/>
            <w:tcBorders>
              <w:tl2br w:val="nil"/>
              <w:tr2bl w:val="nil"/>
            </w:tcBorders>
            <w:shd w:val="clear" w:color="auto" w:fill="auto"/>
            <w:vAlign w:val="center"/>
          </w:tcPr>
          <w:p w14:paraId="69ED18C7">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手工</w:t>
            </w:r>
          </w:p>
        </w:tc>
        <w:tc>
          <w:tcPr>
            <w:tcW w:w="2983" w:type="dxa"/>
            <w:tcBorders>
              <w:tl2br w:val="nil"/>
              <w:tr2bl w:val="nil"/>
            </w:tcBorders>
            <w:shd w:val="clear" w:color="auto" w:fill="auto"/>
            <w:vAlign w:val="center"/>
          </w:tcPr>
          <w:p w14:paraId="0A3D5FA2">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《城镇污水处理厂污染物排放标准》（GB18918-2002）二级标准排放</w:t>
            </w:r>
          </w:p>
        </w:tc>
        <w:tc>
          <w:tcPr>
            <w:tcW w:w="1418" w:type="dxa"/>
            <w:tcBorders>
              <w:tl2br w:val="nil"/>
              <w:tr2bl w:val="nil"/>
            </w:tcBorders>
            <w:shd w:val="clear" w:color="auto" w:fill="auto"/>
            <w:vAlign w:val="center"/>
          </w:tcPr>
          <w:p w14:paraId="08595E2D">
            <w:pPr>
              <w:widowControl/>
              <w:jc w:val="left"/>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上限:1%</w:t>
            </w:r>
          </w:p>
        </w:tc>
        <w:tc>
          <w:tcPr>
            <w:tcW w:w="1631" w:type="dxa"/>
            <w:tcBorders>
              <w:tl2br w:val="nil"/>
              <w:tr2bl w:val="nil"/>
            </w:tcBorders>
            <w:shd w:val="clear" w:color="auto" w:fill="auto"/>
            <w:vAlign w:val="center"/>
          </w:tcPr>
          <w:p w14:paraId="19222F97">
            <w:pPr>
              <w:widowControl/>
              <w:jc w:val="left"/>
              <w:textAlignment w:val="center"/>
              <w:rPr>
                <w:rFonts w:ascii="宋体" w:hAnsi="宋体" w:eastAsia="宋体" w:cs="宋体"/>
                <w:color w:val="auto"/>
                <w:kern w:val="0"/>
                <w:sz w:val="20"/>
                <w:szCs w:val="20"/>
                <w:highlight w:val="none"/>
              </w:rPr>
            </w:pPr>
            <w:r>
              <w:rPr>
                <w:rFonts w:hint="eastAsia" w:ascii="宋体" w:hAnsi="宋体" w:eastAsia="宋体" w:cs="宋体"/>
                <w:color w:val="auto"/>
                <w:sz w:val="20"/>
                <w:szCs w:val="20"/>
                <w:highlight w:val="none"/>
              </w:rPr>
              <w:t>0.06</w:t>
            </w:r>
            <w:r>
              <w:rPr>
                <w:rFonts w:hint="eastAsia" w:ascii="宋体" w:hAnsi="宋体" w:eastAsia="宋体" w:cs="宋体"/>
                <w:color w:val="auto"/>
                <w:kern w:val="0"/>
                <w:sz w:val="20"/>
                <w:szCs w:val="20"/>
                <w:highlight w:val="none"/>
              </w:rPr>
              <w:t>mg/Nm</w:t>
            </w:r>
            <w:r>
              <w:rPr>
                <w:rFonts w:hint="eastAsia" w:ascii="宋体" w:hAnsi="宋体" w:eastAsia="宋体" w:cs="宋体"/>
                <w:color w:val="auto"/>
                <w:kern w:val="0"/>
                <w:sz w:val="20"/>
                <w:szCs w:val="20"/>
                <w:highlight w:val="none"/>
                <w:vertAlign w:val="superscript"/>
              </w:rPr>
              <w:t>3</w:t>
            </w:r>
          </w:p>
        </w:tc>
        <w:tc>
          <w:tcPr>
            <w:tcW w:w="1771" w:type="dxa"/>
            <w:tcBorders>
              <w:tl2br w:val="nil"/>
              <w:tr2bl w:val="nil"/>
            </w:tcBorders>
            <w:shd w:val="clear" w:color="auto" w:fill="auto"/>
            <w:vAlign w:val="center"/>
          </w:tcPr>
          <w:p w14:paraId="5532D875">
            <w:pPr>
              <w:widowControl/>
              <w:jc w:val="left"/>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xml:space="preserve">非连续采样 </w:t>
            </w:r>
          </w:p>
          <w:p w14:paraId="66D71766">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至少</w:t>
            </w:r>
            <w:r>
              <w:rPr>
                <w:rFonts w:ascii="宋体" w:hAnsi="宋体" w:eastAsia="宋体" w:cs="宋体"/>
                <w:color w:val="auto"/>
                <w:kern w:val="0"/>
                <w:sz w:val="20"/>
                <w:szCs w:val="20"/>
                <w:highlight w:val="none"/>
              </w:rPr>
              <w:t>4</w:t>
            </w:r>
            <w:r>
              <w:rPr>
                <w:rFonts w:hint="eastAsia" w:ascii="宋体" w:hAnsi="宋体" w:eastAsia="宋体" w:cs="宋体"/>
                <w:color w:val="auto"/>
                <w:kern w:val="0"/>
                <w:sz w:val="20"/>
                <w:szCs w:val="20"/>
                <w:highlight w:val="none"/>
              </w:rPr>
              <w:t>个</w:t>
            </w:r>
          </w:p>
        </w:tc>
        <w:tc>
          <w:tcPr>
            <w:tcW w:w="1701" w:type="dxa"/>
            <w:tcBorders>
              <w:tl2br w:val="nil"/>
              <w:tr2bl w:val="nil"/>
            </w:tcBorders>
            <w:shd w:val="clear" w:color="auto" w:fill="auto"/>
            <w:vAlign w:val="center"/>
          </w:tcPr>
          <w:p w14:paraId="6C603C96">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1次/年</w:t>
            </w:r>
          </w:p>
        </w:tc>
        <w:tc>
          <w:tcPr>
            <w:tcW w:w="3827" w:type="dxa"/>
            <w:tcBorders>
              <w:tl2br w:val="nil"/>
              <w:tr2bl w:val="nil"/>
            </w:tcBorders>
            <w:shd w:val="clear" w:color="auto" w:fill="auto"/>
            <w:vAlign w:val="center"/>
          </w:tcPr>
          <w:p w14:paraId="046E66C1">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 xml:space="preserve"> 环境空气 总烃、甲烷和非甲烷总烃的测定 直接进样-气相色谱法 HJ 604-2017</w:t>
            </w:r>
          </w:p>
        </w:tc>
        <w:tc>
          <w:tcPr>
            <w:tcW w:w="1666" w:type="dxa"/>
            <w:tcBorders>
              <w:tl2br w:val="nil"/>
              <w:tr2bl w:val="nil"/>
            </w:tcBorders>
            <w:shd w:val="clear" w:color="auto" w:fill="auto"/>
            <w:vAlign w:val="center"/>
          </w:tcPr>
          <w:p w14:paraId="4F7B5DB4">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气相色谱仪</w:t>
            </w:r>
          </w:p>
        </w:tc>
        <w:tc>
          <w:tcPr>
            <w:tcW w:w="1410" w:type="dxa"/>
            <w:tcBorders>
              <w:tl2br w:val="nil"/>
              <w:tr2bl w:val="nil"/>
            </w:tcBorders>
            <w:shd w:val="clear" w:color="auto" w:fill="auto"/>
            <w:vAlign w:val="center"/>
          </w:tcPr>
          <w:p w14:paraId="2767DCB8">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委托检测</w:t>
            </w:r>
          </w:p>
        </w:tc>
      </w:tr>
      <w:tr w14:paraId="2F0AF3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4" w:hRule="atLeast"/>
        </w:trPr>
        <w:tc>
          <w:tcPr>
            <w:tcW w:w="547" w:type="dxa"/>
            <w:tcBorders>
              <w:tl2br w:val="nil"/>
              <w:tr2bl w:val="nil"/>
            </w:tcBorders>
            <w:shd w:val="clear" w:color="auto" w:fill="auto"/>
            <w:vAlign w:val="center"/>
          </w:tcPr>
          <w:p w14:paraId="458C4C1A">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14</w:t>
            </w:r>
          </w:p>
        </w:tc>
        <w:tc>
          <w:tcPr>
            <w:tcW w:w="900" w:type="dxa"/>
            <w:tcBorders>
              <w:tl2br w:val="nil"/>
              <w:tr2bl w:val="nil"/>
            </w:tcBorders>
            <w:shd w:val="clear" w:color="auto" w:fill="auto"/>
            <w:vAlign w:val="center"/>
          </w:tcPr>
          <w:p w14:paraId="1B63A91D">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废气</w:t>
            </w:r>
          </w:p>
        </w:tc>
        <w:tc>
          <w:tcPr>
            <w:tcW w:w="886" w:type="dxa"/>
            <w:tcBorders>
              <w:tl2br w:val="nil"/>
              <w:tr2bl w:val="nil"/>
            </w:tcBorders>
            <w:shd w:val="clear" w:color="auto" w:fill="auto"/>
            <w:vAlign w:val="center"/>
          </w:tcPr>
          <w:p w14:paraId="3A87BEAB">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CN002</w:t>
            </w:r>
          </w:p>
        </w:tc>
        <w:tc>
          <w:tcPr>
            <w:tcW w:w="955" w:type="dxa"/>
            <w:tcBorders>
              <w:tl2br w:val="nil"/>
              <w:tr2bl w:val="nil"/>
            </w:tcBorders>
            <w:shd w:val="clear" w:color="auto" w:fill="auto"/>
            <w:vAlign w:val="center"/>
          </w:tcPr>
          <w:p w14:paraId="55F8432D">
            <w:pPr>
              <w:jc w:val="left"/>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生物除臭土壤滤池</w:t>
            </w:r>
          </w:p>
        </w:tc>
        <w:tc>
          <w:tcPr>
            <w:tcW w:w="904" w:type="dxa"/>
            <w:tcBorders>
              <w:tl2br w:val="nil"/>
              <w:tr2bl w:val="nil"/>
            </w:tcBorders>
            <w:shd w:val="clear" w:color="auto" w:fill="auto"/>
            <w:vAlign w:val="center"/>
          </w:tcPr>
          <w:p w14:paraId="1AF09A84">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甲烷</w:t>
            </w:r>
          </w:p>
        </w:tc>
        <w:tc>
          <w:tcPr>
            <w:tcW w:w="809" w:type="dxa"/>
            <w:tcBorders>
              <w:tl2br w:val="nil"/>
              <w:tr2bl w:val="nil"/>
            </w:tcBorders>
            <w:shd w:val="clear" w:color="auto" w:fill="auto"/>
            <w:vAlign w:val="center"/>
          </w:tcPr>
          <w:p w14:paraId="06C3FBE1">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手工</w:t>
            </w:r>
          </w:p>
        </w:tc>
        <w:tc>
          <w:tcPr>
            <w:tcW w:w="2983" w:type="dxa"/>
            <w:tcBorders>
              <w:tl2br w:val="nil"/>
              <w:tr2bl w:val="nil"/>
            </w:tcBorders>
            <w:shd w:val="clear" w:color="auto" w:fill="auto"/>
            <w:vAlign w:val="center"/>
          </w:tcPr>
          <w:p w14:paraId="2C5392A5">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《城镇污水处理厂污染物排放标准》（GB18918-2002）二级标准排放</w:t>
            </w:r>
          </w:p>
        </w:tc>
        <w:tc>
          <w:tcPr>
            <w:tcW w:w="1418" w:type="dxa"/>
            <w:tcBorders>
              <w:tl2br w:val="nil"/>
              <w:tr2bl w:val="nil"/>
            </w:tcBorders>
            <w:shd w:val="clear" w:color="auto" w:fill="auto"/>
            <w:vAlign w:val="center"/>
          </w:tcPr>
          <w:p w14:paraId="24DF3529">
            <w:pPr>
              <w:widowControl/>
              <w:jc w:val="left"/>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上限:1%</w:t>
            </w:r>
          </w:p>
        </w:tc>
        <w:tc>
          <w:tcPr>
            <w:tcW w:w="1631" w:type="dxa"/>
            <w:tcBorders>
              <w:tl2br w:val="nil"/>
              <w:tr2bl w:val="nil"/>
            </w:tcBorders>
            <w:shd w:val="clear" w:color="auto" w:fill="auto"/>
            <w:vAlign w:val="center"/>
          </w:tcPr>
          <w:p w14:paraId="07D35DB3">
            <w:pPr>
              <w:widowControl/>
              <w:jc w:val="left"/>
              <w:textAlignment w:val="center"/>
              <w:rPr>
                <w:rFonts w:ascii="宋体" w:hAnsi="宋体" w:eastAsia="宋体" w:cs="宋体"/>
                <w:color w:val="auto"/>
                <w:kern w:val="0"/>
                <w:sz w:val="20"/>
                <w:szCs w:val="20"/>
                <w:highlight w:val="none"/>
              </w:rPr>
            </w:pPr>
            <w:r>
              <w:rPr>
                <w:rFonts w:hint="eastAsia" w:ascii="宋体" w:hAnsi="宋体" w:eastAsia="宋体" w:cs="宋体"/>
                <w:color w:val="auto"/>
                <w:sz w:val="20"/>
                <w:szCs w:val="20"/>
                <w:highlight w:val="none"/>
              </w:rPr>
              <w:t>0.06</w:t>
            </w:r>
            <w:r>
              <w:rPr>
                <w:rFonts w:hint="eastAsia" w:ascii="宋体" w:hAnsi="宋体" w:eastAsia="宋体" w:cs="宋体"/>
                <w:color w:val="auto"/>
                <w:kern w:val="0"/>
                <w:sz w:val="20"/>
                <w:szCs w:val="20"/>
                <w:highlight w:val="none"/>
              </w:rPr>
              <w:t>mg/Nm</w:t>
            </w:r>
            <w:r>
              <w:rPr>
                <w:rFonts w:hint="eastAsia" w:ascii="宋体" w:hAnsi="宋体" w:eastAsia="宋体" w:cs="宋体"/>
                <w:color w:val="auto"/>
                <w:kern w:val="0"/>
                <w:sz w:val="20"/>
                <w:szCs w:val="20"/>
                <w:highlight w:val="none"/>
                <w:vertAlign w:val="superscript"/>
              </w:rPr>
              <w:t>3</w:t>
            </w:r>
          </w:p>
        </w:tc>
        <w:tc>
          <w:tcPr>
            <w:tcW w:w="1771" w:type="dxa"/>
            <w:tcBorders>
              <w:tl2br w:val="nil"/>
              <w:tr2bl w:val="nil"/>
            </w:tcBorders>
            <w:shd w:val="clear" w:color="auto" w:fill="auto"/>
            <w:vAlign w:val="center"/>
          </w:tcPr>
          <w:p w14:paraId="196305F5">
            <w:pPr>
              <w:widowControl/>
              <w:jc w:val="left"/>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xml:space="preserve">非连续采样 </w:t>
            </w:r>
          </w:p>
          <w:p w14:paraId="377316DA">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至少</w:t>
            </w:r>
            <w:r>
              <w:rPr>
                <w:rFonts w:ascii="宋体" w:hAnsi="宋体" w:eastAsia="宋体" w:cs="宋体"/>
                <w:color w:val="auto"/>
                <w:kern w:val="0"/>
                <w:sz w:val="20"/>
                <w:szCs w:val="20"/>
                <w:highlight w:val="none"/>
              </w:rPr>
              <w:t>4</w:t>
            </w:r>
            <w:r>
              <w:rPr>
                <w:rFonts w:hint="eastAsia" w:ascii="宋体" w:hAnsi="宋体" w:eastAsia="宋体" w:cs="宋体"/>
                <w:color w:val="auto"/>
                <w:kern w:val="0"/>
                <w:sz w:val="20"/>
                <w:szCs w:val="20"/>
                <w:highlight w:val="none"/>
              </w:rPr>
              <w:t>个</w:t>
            </w:r>
          </w:p>
        </w:tc>
        <w:tc>
          <w:tcPr>
            <w:tcW w:w="1701" w:type="dxa"/>
            <w:tcBorders>
              <w:tl2br w:val="nil"/>
              <w:tr2bl w:val="nil"/>
            </w:tcBorders>
            <w:shd w:val="clear" w:color="auto" w:fill="auto"/>
            <w:vAlign w:val="center"/>
          </w:tcPr>
          <w:p w14:paraId="69F12398">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1次/年</w:t>
            </w:r>
          </w:p>
        </w:tc>
        <w:tc>
          <w:tcPr>
            <w:tcW w:w="3827" w:type="dxa"/>
            <w:tcBorders>
              <w:tl2br w:val="nil"/>
              <w:tr2bl w:val="nil"/>
            </w:tcBorders>
            <w:shd w:val="clear" w:color="auto" w:fill="auto"/>
            <w:vAlign w:val="center"/>
          </w:tcPr>
          <w:p w14:paraId="5E0ED549">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 xml:space="preserve"> 环境空气 总烃、甲烷和非甲烷总烃的测定 直接进样-气相色谱法 HJ 604-2017</w:t>
            </w:r>
          </w:p>
        </w:tc>
        <w:tc>
          <w:tcPr>
            <w:tcW w:w="1666" w:type="dxa"/>
            <w:tcBorders>
              <w:tl2br w:val="nil"/>
              <w:tr2bl w:val="nil"/>
            </w:tcBorders>
            <w:shd w:val="clear" w:color="auto" w:fill="auto"/>
            <w:vAlign w:val="center"/>
          </w:tcPr>
          <w:p w14:paraId="6914CABB">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气相色谱仪</w:t>
            </w:r>
          </w:p>
        </w:tc>
        <w:tc>
          <w:tcPr>
            <w:tcW w:w="1410" w:type="dxa"/>
            <w:tcBorders>
              <w:tl2br w:val="nil"/>
              <w:tr2bl w:val="nil"/>
            </w:tcBorders>
            <w:shd w:val="clear" w:color="auto" w:fill="auto"/>
            <w:vAlign w:val="center"/>
          </w:tcPr>
          <w:p w14:paraId="6F1CD301">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委托检测</w:t>
            </w:r>
          </w:p>
        </w:tc>
      </w:tr>
    </w:tbl>
    <w:p w14:paraId="5BE262D4">
      <w:pPr>
        <w:adjustRightInd w:val="0"/>
        <w:snapToGrid w:val="0"/>
        <w:jc w:val="center"/>
        <w:rPr>
          <w:rFonts w:ascii="宋体" w:hAnsi="宋体" w:eastAsia="宋体" w:cs="宋体"/>
          <w:color w:val="000000"/>
          <w:sz w:val="28"/>
          <w:szCs w:val="28"/>
        </w:rPr>
      </w:pPr>
    </w:p>
    <w:p w14:paraId="78164E8F">
      <w:pPr>
        <w:widowControl/>
        <w:jc w:val="left"/>
        <w:rPr>
          <w:rFonts w:ascii="宋体" w:hAnsi="宋体" w:eastAsia="宋体" w:cs="宋体"/>
          <w:sz w:val="28"/>
          <w:szCs w:val="28"/>
          <w:highlight w:val="yellow"/>
        </w:rPr>
      </w:pPr>
    </w:p>
    <w:p w14:paraId="63A1A214">
      <w:pPr>
        <w:pStyle w:val="2"/>
      </w:pPr>
    </w:p>
    <w:p w14:paraId="33AFCEAC">
      <w:pPr>
        <w:widowControl/>
        <w:jc w:val="left"/>
        <w:rPr>
          <w:rFonts w:ascii="宋体" w:hAnsi="宋体" w:eastAsia="宋体" w:cs="宋体"/>
          <w:color w:val="000000"/>
          <w:sz w:val="28"/>
          <w:szCs w:val="28"/>
        </w:rPr>
      </w:pPr>
    </w:p>
    <w:p w14:paraId="04B4B1B0">
      <w:pPr>
        <w:widowControl/>
        <w:jc w:val="left"/>
        <w:rPr>
          <w:rFonts w:ascii="宋体" w:hAnsi="宋体" w:eastAsia="宋体" w:cs="宋体"/>
          <w:color w:val="000000"/>
          <w:sz w:val="28"/>
          <w:szCs w:val="28"/>
        </w:rPr>
      </w:pP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、废水自行监测及记录信息表</w:t>
      </w:r>
    </w:p>
    <w:tbl>
      <w:tblPr>
        <w:tblStyle w:val="14"/>
        <w:tblW w:w="20800" w:type="dxa"/>
        <w:tblInd w:w="101"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525"/>
        <w:gridCol w:w="844"/>
        <w:gridCol w:w="900"/>
        <w:gridCol w:w="1125"/>
        <w:gridCol w:w="993"/>
        <w:gridCol w:w="636"/>
        <w:gridCol w:w="1859"/>
        <w:gridCol w:w="1103"/>
        <w:gridCol w:w="1172"/>
        <w:gridCol w:w="559"/>
        <w:gridCol w:w="1108"/>
        <w:gridCol w:w="990"/>
        <w:gridCol w:w="1155"/>
        <w:gridCol w:w="1452"/>
        <w:gridCol w:w="738"/>
        <w:gridCol w:w="1666"/>
        <w:gridCol w:w="1080"/>
        <w:gridCol w:w="1275"/>
        <w:gridCol w:w="1620"/>
      </w:tblGrid>
      <w:tr w14:paraId="2401FEB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984" w:hRule="atLeast"/>
          <w:tblHeader/>
        </w:trPr>
        <w:tc>
          <w:tcPr>
            <w:tcW w:w="525" w:type="dxa"/>
            <w:tcBorders>
              <w:tl2br w:val="nil"/>
              <w:tr2bl w:val="nil"/>
            </w:tcBorders>
            <w:shd w:val="clear" w:color="auto" w:fill="auto"/>
            <w:vAlign w:val="center"/>
          </w:tcPr>
          <w:p w14:paraId="31F640A5">
            <w:pPr>
              <w:pStyle w:val="28"/>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序号</w:t>
            </w:r>
          </w:p>
        </w:tc>
        <w:tc>
          <w:tcPr>
            <w:tcW w:w="844" w:type="dxa"/>
            <w:tcBorders>
              <w:tl2br w:val="nil"/>
              <w:tr2bl w:val="nil"/>
            </w:tcBorders>
            <w:shd w:val="clear" w:color="auto" w:fill="auto"/>
            <w:vAlign w:val="center"/>
          </w:tcPr>
          <w:p w14:paraId="27D0067C">
            <w:pPr>
              <w:pStyle w:val="28"/>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污染源类别/监测类别</w:t>
            </w:r>
          </w:p>
        </w:tc>
        <w:tc>
          <w:tcPr>
            <w:tcW w:w="900" w:type="dxa"/>
            <w:tcBorders>
              <w:tl2br w:val="nil"/>
              <w:tr2bl w:val="nil"/>
            </w:tcBorders>
            <w:shd w:val="clear" w:color="auto" w:fill="auto"/>
            <w:vAlign w:val="center"/>
          </w:tcPr>
          <w:p w14:paraId="4D0913B9">
            <w:pPr>
              <w:pStyle w:val="28"/>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排放口编号/监测点位</w:t>
            </w:r>
          </w:p>
        </w:tc>
        <w:tc>
          <w:tcPr>
            <w:tcW w:w="1125" w:type="dxa"/>
            <w:tcBorders>
              <w:tl2br w:val="nil"/>
              <w:tr2bl w:val="nil"/>
            </w:tcBorders>
            <w:shd w:val="clear" w:color="auto" w:fill="auto"/>
            <w:vAlign w:val="center"/>
          </w:tcPr>
          <w:p w14:paraId="7F042B1F">
            <w:pPr>
              <w:pStyle w:val="28"/>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排放口名称/监测点位名称</w:t>
            </w:r>
          </w:p>
        </w:tc>
        <w:tc>
          <w:tcPr>
            <w:tcW w:w="993" w:type="dxa"/>
            <w:tcBorders>
              <w:tl2br w:val="nil"/>
              <w:tr2bl w:val="nil"/>
            </w:tcBorders>
            <w:shd w:val="clear" w:color="auto" w:fill="auto"/>
            <w:vAlign w:val="center"/>
          </w:tcPr>
          <w:p w14:paraId="13599E95">
            <w:pPr>
              <w:pStyle w:val="28"/>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监测指标</w:t>
            </w:r>
          </w:p>
        </w:tc>
        <w:tc>
          <w:tcPr>
            <w:tcW w:w="636" w:type="dxa"/>
            <w:tcBorders>
              <w:tl2br w:val="nil"/>
              <w:tr2bl w:val="nil"/>
            </w:tcBorders>
            <w:shd w:val="clear" w:color="auto" w:fill="auto"/>
            <w:vAlign w:val="center"/>
          </w:tcPr>
          <w:p w14:paraId="0E0284A1">
            <w:pPr>
              <w:pStyle w:val="28"/>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监测设施</w:t>
            </w:r>
          </w:p>
        </w:tc>
        <w:tc>
          <w:tcPr>
            <w:tcW w:w="1859" w:type="dxa"/>
            <w:tcBorders>
              <w:tl2br w:val="nil"/>
              <w:tr2bl w:val="nil"/>
            </w:tcBorders>
            <w:shd w:val="clear" w:color="auto" w:fill="auto"/>
            <w:vAlign w:val="center"/>
          </w:tcPr>
          <w:p w14:paraId="03AF29CB">
            <w:pPr>
              <w:pStyle w:val="28"/>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排放标准</w:t>
            </w:r>
          </w:p>
        </w:tc>
        <w:tc>
          <w:tcPr>
            <w:tcW w:w="1103" w:type="dxa"/>
            <w:tcBorders>
              <w:tl2br w:val="nil"/>
              <w:tr2bl w:val="nil"/>
            </w:tcBorders>
            <w:shd w:val="clear" w:color="auto" w:fill="auto"/>
            <w:vAlign w:val="center"/>
          </w:tcPr>
          <w:p w14:paraId="578AF0D0">
            <w:pPr>
              <w:pStyle w:val="28"/>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排放限值</w:t>
            </w:r>
          </w:p>
        </w:tc>
        <w:tc>
          <w:tcPr>
            <w:tcW w:w="1172" w:type="dxa"/>
            <w:tcBorders>
              <w:tl2br w:val="nil"/>
              <w:tr2bl w:val="nil"/>
            </w:tcBorders>
            <w:shd w:val="clear" w:color="auto" w:fill="auto"/>
            <w:vAlign w:val="center"/>
          </w:tcPr>
          <w:p w14:paraId="6D6B3B0B">
            <w:pPr>
              <w:pStyle w:val="28"/>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方法检出限</w:t>
            </w:r>
          </w:p>
        </w:tc>
        <w:tc>
          <w:tcPr>
            <w:tcW w:w="559" w:type="dxa"/>
            <w:tcBorders>
              <w:tl2br w:val="nil"/>
              <w:tr2bl w:val="nil"/>
            </w:tcBorders>
            <w:shd w:val="clear" w:color="auto" w:fill="auto"/>
            <w:vAlign w:val="center"/>
          </w:tcPr>
          <w:p w14:paraId="4AE947AE">
            <w:pPr>
              <w:pStyle w:val="28"/>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自动监测是否联网</w:t>
            </w:r>
          </w:p>
        </w:tc>
        <w:tc>
          <w:tcPr>
            <w:tcW w:w="1108" w:type="dxa"/>
            <w:tcBorders>
              <w:tl2br w:val="nil"/>
              <w:tr2bl w:val="nil"/>
            </w:tcBorders>
            <w:shd w:val="clear" w:color="auto" w:fill="auto"/>
            <w:vAlign w:val="center"/>
          </w:tcPr>
          <w:p w14:paraId="5042D617">
            <w:pPr>
              <w:pStyle w:val="28"/>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自动监测仪器名称</w:t>
            </w:r>
          </w:p>
        </w:tc>
        <w:tc>
          <w:tcPr>
            <w:tcW w:w="990" w:type="dxa"/>
            <w:tcBorders>
              <w:tl2br w:val="nil"/>
              <w:tr2bl w:val="nil"/>
            </w:tcBorders>
            <w:shd w:val="clear" w:color="auto" w:fill="auto"/>
            <w:vAlign w:val="center"/>
          </w:tcPr>
          <w:p w14:paraId="2DA24495">
            <w:pPr>
              <w:pStyle w:val="28"/>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自动监测设施安装位置</w:t>
            </w:r>
          </w:p>
        </w:tc>
        <w:tc>
          <w:tcPr>
            <w:tcW w:w="1155" w:type="dxa"/>
            <w:tcBorders>
              <w:tl2br w:val="nil"/>
              <w:tr2bl w:val="nil"/>
            </w:tcBorders>
            <w:shd w:val="clear" w:color="auto" w:fill="auto"/>
            <w:vAlign w:val="center"/>
          </w:tcPr>
          <w:p w14:paraId="07323B73">
            <w:pPr>
              <w:pStyle w:val="28"/>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自动监测设施是否符合安装、运行、维护等管理要求</w:t>
            </w:r>
          </w:p>
        </w:tc>
        <w:tc>
          <w:tcPr>
            <w:tcW w:w="1452" w:type="dxa"/>
            <w:tcBorders>
              <w:tl2br w:val="nil"/>
              <w:tr2bl w:val="nil"/>
            </w:tcBorders>
            <w:shd w:val="clear" w:color="auto" w:fill="auto"/>
            <w:vAlign w:val="center"/>
          </w:tcPr>
          <w:p w14:paraId="0852B44C">
            <w:pPr>
              <w:pStyle w:val="28"/>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手工监测采样方法及个数</w:t>
            </w:r>
          </w:p>
        </w:tc>
        <w:tc>
          <w:tcPr>
            <w:tcW w:w="738" w:type="dxa"/>
            <w:tcBorders>
              <w:tl2br w:val="nil"/>
              <w:tr2bl w:val="nil"/>
            </w:tcBorders>
            <w:shd w:val="clear" w:color="auto" w:fill="auto"/>
            <w:vAlign w:val="center"/>
          </w:tcPr>
          <w:p w14:paraId="5500CC98">
            <w:pPr>
              <w:pStyle w:val="28"/>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手工监测频次（处理量≥2万吨/日）</w:t>
            </w:r>
          </w:p>
        </w:tc>
        <w:tc>
          <w:tcPr>
            <w:tcW w:w="1666" w:type="dxa"/>
            <w:tcBorders>
              <w:tl2br w:val="nil"/>
              <w:tr2bl w:val="nil"/>
            </w:tcBorders>
            <w:shd w:val="clear" w:color="auto" w:fill="auto"/>
            <w:vAlign w:val="center"/>
          </w:tcPr>
          <w:p w14:paraId="554226FF">
            <w:pPr>
              <w:pStyle w:val="28"/>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手工测定方法</w:t>
            </w:r>
          </w:p>
        </w:tc>
        <w:tc>
          <w:tcPr>
            <w:tcW w:w="1080" w:type="dxa"/>
            <w:tcBorders>
              <w:tl2br w:val="nil"/>
              <w:tr2bl w:val="nil"/>
            </w:tcBorders>
            <w:shd w:val="clear" w:color="auto" w:fill="auto"/>
            <w:vAlign w:val="center"/>
          </w:tcPr>
          <w:p w14:paraId="4432E5F2">
            <w:pPr>
              <w:pStyle w:val="28"/>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手工检测设备</w:t>
            </w:r>
          </w:p>
        </w:tc>
        <w:tc>
          <w:tcPr>
            <w:tcW w:w="1275" w:type="dxa"/>
            <w:tcBorders>
              <w:tl2br w:val="nil"/>
              <w:tr2bl w:val="nil"/>
            </w:tcBorders>
            <w:shd w:val="clear" w:color="auto" w:fill="auto"/>
            <w:vAlign w:val="center"/>
          </w:tcPr>
          <w:p w14:paraId="612F1043">
            <w:pPr>
              <w:pStyle w:val="28"/>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样品保存</w:t>
            </w:r>
          </w:p>
        </w:tc>
        <w:tc>
          <w:tcPr>
            <w:tcW w:w="1620" w:type="dxa"/>
            <w:tcBorders>
              <w:tl2br w:val="nil"/>
              <w:tr2bl w:val="nil"/>
            </w:tcBorders>
            <w:shd w:val="clear" w:color="auto" w:fill="auto"/>
            <w:vAlign w:val="center"/>
          </w:tcPr>
          <w:p w14:paraId="321D0F71">
            <w:pPr>
              <w:pStyle w:val="28"/>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其他信息</w:t>
            </w:r>
          </w:p>
        </w:tc>
      </w:tr>
      <w:tr w14:paraId="55A48E0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208" w:hRule="atLeast"/>
        </w:trPr>
        <w:tc>
          <w:tcPr>
            <w:tcW w:w="525" w:type="dxa"/>
            <w:tcBorders>
              <w:tl2br w:val="nil"/>
              <w:tr2bl w:val="nil"/>
            </w:tcBorders>
            <w:shd w:val="clear" w:color="auto" w:fill="auto"/>
            <w:vAlign w:val="center"/>
          </w:tcPr>
          <w:p w14:paraId="41ED191D">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1</w:t>
            </w:r>
          </w:p>
        </w:tc>
        <w:tc>
          <w:tcPr>
            <w:tcW w:w="844" w:type="dxa"/>
            <w:tcBorders>
              <w:tl2br w:val="nil"/>
              <w:tr2bl w:val="nil"/>
            </w:tcBorders>
            <w:shd w:val="clear" w:color="auto" w:fill="auto"/>
            <w:vAlign w:val="center"/>
          </w:tcPr>
          <w:p w14:paraId="1A7A13F5">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废水</w:t>
            </w:r>
          </w:p>
        </w:tc>
        <w:tc>
          <w:tcPr>
            <w:tcW w:w="900" w:type="dxa"/>
            <w:tcBorders>
              <w:tl2br w:val="nil"/>
              <w:tr2bl w:val="nil"/>
            </w:tcBorders>
            <w:shd w:val="clear" w:color="auto" w:fill="auto"/>
            <w:vAlign w:val="center"/>
          </w:tcPr>
          <w:p w14:paraId="2DB52AE8">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DW001</w:t>
            </w:r>
          </w:p>
        </w:tc>
        <w:tc>
          <w:tcPr>
            <w:tcW w:w="1125" w:type="dxa"/>
            <w:tcBorders>
              <w:tl2br w:val="nil"/>
              <w:tr2bl w:val="nil"/>
            </w:tcBorders>
            <w:shd w:val="clear" w:color="auto" w:fill="auto"/>
            <w:vAlign w:val="center"/>
          </w:tcPr>
          <w:p w14:paraId="0D2E3A9B">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污水排放口</w:t>
            </w:r>
          </w:p>
        </w:tc>
        <w:tc>
          <w:tcPr>
            <w:tcW w:w="993" w:type="dxa"/>
            <w:tcBorders>
              <w:tl2br w:val="nil"/>
              <w:tr2bl w:val="nil"/>
            </w:tcBorders>
            <w:shd w:val="clear" w:color="auto" w:fill="auto"/>
            <w:vAlign w:val="center"/>
          </w:tcPr>
          <w:p w14:paraId="550908E4">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pH值</w:t>
            </w:r>
          </w:p>
        </w:tc>
        <w:tc>
          <w:tcPr>
            <w:tcW w:w="636" w:type="dxa"/>
            <w:tcBorders>
              <w:tl2br w:val="nil"/>
              <w:tr2bl w:val="nil"/>
            </w:tcBorders>
            <w:shd w:val="clear" w:color="auto" w:fill="auto"/>
            <w:vAlign w:val="center"/>
          </w:tcPr>
          <w:p w14:paraId="6F8BBAAD">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自动</w:t>
            </w:r>
          </w:p>
        </w:tc>
        <w:tc>
          <w:tcPr>
            <w:tcW w:w="1859" w:type="dxa"/>
            <w:tcBorders>
              <w:tl2br w:val="nil"/>
              <w:tr2bl w:val="nil"/>
            </w:tcBorders>
            <w:shd w:val="clear" w:color="auto" w:fill="auto"/>
            <w:vAlign w:val="center"/>
          </w:tcPr>
          <w:p w14:paraId="205F896E">
            <w:pP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《城镇污水处理厂污染物排放标准》（GB18918-2002）一级A标准排放</w:t>
            </w:r>
          </w:p>
        </w:tc>
        <w:tc>
          <w:tcPr>
            <w:tcW w:w="1103" w:type="dxa"/>
            <w:tcBorders>
              <w:tl2br w:val="nil"/>
              <w:tr2bl w:val="nil"/>
            </w:tcBorders>
            <w:shd w:val="clear" w:color="auto" w:fill="auto"/>
            <w:vAlign w:val="center"/>
          </w:tcPr>
          <w:p w14:paraId="03618F0D">
            <w:pP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6-9（无量纲）</w:t>
            </w:r>
          </w:p>
        </w:tc>
        <w:tc>
          <w:tcPr>
            <w:tcW w:w="1172" w:type="dxa"/>
            <w:tcBorders>
              <w:tl2br w:val="nil"/>
              <w:tr2bl w:val="nil"/>
            </w:tcBorders>
            <w:shd w:val="clear" w:color="auto" w:fill="auto"/>
            <w:vAlign w:val="center"/>
          </w:tcPr>
          <w:p w14:paraId="046D7308">
            <w:pPr>
              <w:jc w:val="center"/>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w:t>
            </w:r>
          </w:p>
        </w:tc>
        <w:tc>
          <w:tcPr>
            <w:tcW w:w="559" w:type="dxa"/>
            <w:tcBorders>
              <w:tl2br w:val="nil"/>
              <w:tr2bl w:val="nil"/>
            </w:tcBorders>
            <w:shd w:val="clear" w:color="auto" w:fill="auto"/>
            <w:vAlign w:val="center"/>
          </w:tcPr>
          <w:p w14:paraId="3255CA91">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是</w:t>
            </w:r>
          </w:p>
        </w:tc>
        <w:tc>
          <w:tcPr>
            <w:tcW w:w="1108" w:type="dxa"/>
            <w:tcBorders>
              <w:tl2br w:val="nil"/>
              <w:tr2bl w:val="nil"/>
            </w:tcBorders>
            <w:shd w:val="clear" w:color="auto" w:fill="auto"/>
            <w:vAlign w:val="center"/>
          </w:tcPr>
          <w:p w14:paraId="46450395">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val="en-US" w:eastAsia="zh-CN" w:bidi="ar"/>
              </w:rPr>
              <w:t>p</w:t>
            </w:r>
            <w:r>
              <w:rPr>
                <w:rFonts w:hint="eastAsia" w:ascii="宋体" w:hAnsi="宋体" w:eastAsia="宋体" w:cs="宋体"/>
                <w:color w:val="auto"/>
                <w:kern w:val="0"/>
                <w:sz w:val="20"/>
                <w:szCs w:val="20"/>
                <w:highlight w:val="none"/>
                <w:lang w:bidi="ar"/>
              </w:rPr>
              <w:t>H</w:t>
            </w:r>
            <w:r>
              <w:rPr>
                <w:rFonts w:hint="eastAsia" w:ascii="宋体" w:hAnsi="宋体" w:eastAsia="宋体" w:cs="宋体"/>
                <w:color w:val="auto"/>
                <w:kern w:val="0"/>
                <w:sz w:val="20"/>
                <w:szCs w:val="20"/>
                <w:highlight w:val="none"/>
                <w:lang w:val="en-US" w:eastAsia="zh-CN" w:bidi="ar"/>
              </w:rPr>
              <w:t>/T</w:t>
            </w:r>
            <w:r>
              <w:rPr>
                <w:rFonts w:hint="eastAsia" w:ascii="宋体" w:hAnsi="宋体" w:eastAsia="宋体" w:cs="宋体"/>
                <w:color w:val="auto"/>
                <w:kern w:val="0"/>
                <w:sz w:val="20"/>
                <w:szCs w:val="20"/>
                <w:highlight w:val="none"/>
                <w:lang w:bidi="ar"/>
              </w:rPr>
              <w:t>在线监测设备</w:t>
            </w:r>
          </w:p>
        </w:tc>
        <w:tc>
          <w:tcPr>
            <w:tcW w:w="990" w:type="dxa"/>
            <w:tcBorders>
              <w:tl2br w:val="nil"/>
              <w:tr2bl w:val="nil"/>
            </w:tcBorders>
            <w:shd w:val="clear" w:color="auto" w:fill="auto"/>
            <w:vAlign w:val="center"/>
          </w:tcPr>
          <w:p w14:paraId="7EDCEF42">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出水在线监测房</w:t>
            </w:r>
          </w:p>
        </w:tc>
        <w:tc>
          <w:tcPr>
            <w:tcW w:w="1155" w:type="dxa"/>
            <w:tcBorders>
              <w:tl2br w:val="nil"/>
              <w:tr2bl w:val="nil"/>
            </w:tcBorders>
            <w:shd w:val="clear" w:color="auto" w:fill="auto"/>
            <w:vAlign w:val="center"/>
          </w:tcPr>
          <w:p w14:paraId="67886127">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是</w:t>
            </w:r>
          </w:p>
        </w:tc>
        <w:tc>
          <w:tcPr>
            <w:tcW w:w="1452" w:type="dxa"/>
            <w:tcBorders>
              <w:tl2br w:val="nil"/>
              <w:tr2bl w:val="nil"/>
            </w:tcBorders>
            <w:shd w:val="clear" w:color="auto" w:fill="auto"/>
            <w:vAlign w:val="center"/>
          </w:tcPr>
          <w:p w14:paraId="6853E758">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w:t>
            </w:r>
          </w:p>
        </w:tc>
        <w:tc>
          <w:tcPr>
            <w:tcW w:w="738" w:type="dxa"/>
            <w:tcBorders>
              <w:tl2br w:val="nil"/>
              <w:tr2bl w:val="nil"/>
            </w:tcBorders>
            <w:shd w:val="clear" w:color="auto" w:fill="auto"/>
            <w:vAlign w:val="center"/>
          </w:tcPr>
          <w:p w14:paraId="23F525C0">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w:t>
            </w:r>
          </w:p>
        </w:tc>
        <w:tc>
          <w:tcPr>
            <w:tcW w:w="1666" w:type="dxa"/>
            <w:tcBorders>
              <w:tl2br w:val="nil"/>
              <w:tr2bl w:val="nil"/>
            </w:tcBorders>
            <w:shd w:val="clear" w:color="auto" w:fill="auto"/>
            <w:vAlign w:val="center"/>
          </w:tcPr>
          <w:p w14:paraId="0202BD9A">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w:t>
            </w:r>
          </w:p>
        </w:tc>
        <w:tc>
          <w:tcPr>
            <w:tcW w:w="1080" w:type="dxa"/>
            <w:tcBorders>
              <w:tl2br w:val="nil"/>
              <w:tr2bl w:val="nil"/>
            </w:tcBorders>
            <w:shd w:val="clear" w:color="auto" w:fill="auto"/>
            <w:vAlign w:val="center"/>
          </w:tcPr>
          <w:p w14:paraId="303EEF89">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w:t>
            </w:r>
          </w:p>
        </w:tc>
        <w:tc>
          <w:tcPr>
            <w:tcW w:w="1275" w:type="dxa"/>
            <w:tcBorders>
              <w:tl2br w:val="nil"/>
              <w:tr2bl w:val="nil"/>
            </w:tcBorders>
            <w:shd w:val="clear" w:color="auto" w:fill="auto"/>
            <w:vAlign w:val="center"/>
          </w:tcPr>
          <w:p w14:paraId="511B08F3">
            <w:pPr>
              <w:adjustRightInd w:val="0"/>
              <w:snapToGrid w:val="0"/>
              <w:spacing w:beforeLines="80"/>
              <w:jc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w:t>
            </w:r>
          </w:p>
        </w:tc>
        <w:tc>
          <w:tcPr>
            <w:tcW w:w="1620" w:type="dxa"/>
            <w:tcBorders>
              <w:tl2br w:val="nil"/>
              <w:tr2bl w:val="nil"/>
            </w:tcBorders>
            <w:shd w:val="clear" w:color="auto" w:fill="auto"/>
            <w:vAlign w:val="center"/>
          </w:tcPr>
          <w:p w14:paraId="2CC54F93">
            <w:pPr>
              <w:adjustRightInd w:val="0"/>
              <w:snapToGrid w:val="0"/>
              <w:spacing w:beforeLines="80"/>
              <w:jc w:val="left"/>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自动监测设备出现故障时开展手工监测，</w:t>
            </w:r>
            <w:r>
              <w:rPr>
                <w:rFonts w:hint="eastAsia" w:ascii="宋体" w:hAnsi="宋体" w:eastAsia="宋体" w:cs="宋体"/>
                <w:color w:val="auto"/>
                <w:kern w:val="0"/>
                <w:sz w:val="20"/>
                <w:szCs w:val="20"/>
                <w:highlight w:val="none"/>
                <w:lang w:eastAsia="zh-CN"/>
              </w:rPr>
              <w:t>每6小时</w:t>
            </w:r>
            <w:r>
              <w:rPr>
                <w:rFonts w:hint="eastAsia" w:ascii="宋体" w:hAnsi="宋体" w:eastAsia="宋体" w:cs="宋体"/>
                <w:color w:val="auto"/>
                <w:kern w:val="0"/>
                <w:sz w:val="20"/>
                <w:szCs w:val="20"/>
                <w:highlight w:val="none"/>
              </w:rPr>
              <w:t>监测一次</w:t>
            </w:r>
          </w:p>
        </w:tc>
      </w:tr>
      <w:tr w14:paraId="5841D4B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208" w:hRule="atLeast"/>
        </w:trPr>
        <w:tc>
          <w:tcPr>
            <w:tcW w:w="525" w:type="dxa"/>
            <w:tcBorders>
              <w:tl2br w:val="nil"/>
              <w:tr2bl w:val="nil"/>
            </w:tcBorders>
            <w:shd w:val="clear" w:color="auto" w:fill="auto"/>
            <w:vAlign w:val="center"/>
          </w:tcPr>
          <w:p w14:paraId="48F7D209">
            <w:pPr>
              <w:widowControl/>
              <w:jc w:val="center"/>
              <w:textAlignment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2</w:t>
            </w:r>
          </w:p>
        </w:tc>
        <w:tc>
          <w:tcPr>
            <w:tcW w:w="844" w:type="dxa"/>
            <w:tcBorders>
              <w:tl2br w:val="nil"/>
              <w:tr2bl w:val="nil"/>
            </w:tcBorders>
            <w:shd w:val="clear" w:color="auto" w:fill="auto"/>
            <w:vAlign w:val="center"/>
          </w:tcPr>
          <w:p w14:paraId="11253D78">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废水</w:t>
            </w:r>
          </w:p>
        </w:tc>
        <w:tc>
          <w:tcPr>
            <w:tcW w:w="900" w:type="dxa"/>
            <w:tcBorders>
              <w:tl2br w:val="nil"/>
              <w:tr2bl w:val="nil"/>
            </w:tcBorders>
            <w:shd w:val="clear" w:color="auto" w:fill="auto"/>
            <w:vAlign w:val="center"/>
          </w:tcPr>
          <w:p w14:paraId="745DD30B">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DW001</w:t>
            </w:r>
          </w:p>
        </w:tc>
        <w:tc>
          <w:tcPr>
            <w:tcW w:w="1125" w:type="dxa"/>
            <w:tcBorders>
              <w:tl2br w:val="nil"/>
              <w:tr2bl w:val="nil"/>
            </w:tcBorders>
            <w:shd w:val="clear" w:color="auto" w:fill="auto"/>
            <w:vAlign w:val="center"/>
          </w:tcPr>
          <w:p w14:paraId="638B3BAE">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污水排放口</w:t>
            </w:r>
          </w:p>
        </w:tc>
        <w:tc>
          <w:tcPr>
            <w:tcW w:w="993" w:type="dxa"/>
            <w:tcBorders>
              <w:tl2br w:val="nil"/>
              <w:tr2bl w:val="nil"/>
            </w:tcBorders>
            <w:shd w:val="clear" w:color="auto" w:fill="auto"/>
            <w:vAlign w:val="center"/>
          </w:tcPr>
          <w:p w14:paraId="35C430A3">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化学需氧量</w:t>
            </w:r>
          </w:p>
        </w:tc>
        <w:tc>
          <w:tcPr>
            <w:tcW w:w="636" w:type="dxa"/>
            <w:tcBorders>
              <w:tl2br w:val="nil"/>
              <w:tr2bl w:val="nil"/>
            </w:tcBorders>
            <w:shd w:val="clear" w:color="auto" w:fill="auto"/>
            <w:vAlign w:val="center"/>
          </w:tcPr>
          <w:p w14:paraId="60B50BAA">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自动</w:t>
            </w:r>
          </w:p>
        </w:tc>
        <w:tc>
          <w:tcPr>
            <w:tcW w:w="1859" w:type="dxa"/>
            <w:tcBorders>
              <w:tl2br w:val="nil"/>
              <w:tr2bl w:val="nil"/>
            </w:tcBorders>
            <w:shd w:val="clear" w:color="auto" w:fill="auto"/>
            <w:vAlign w:val="center"/>
          </w:tcPr>
          <w:p w14:paraId="5E8C83DC">
            <w:pP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《城镇污水处理厂污染物排放标准》（GB18918-2002）一级A标准排放</w:t>
            </w:r>
          </w:p>
        </w:tc>
        <w:tc>
          <w:tcPr>
            <w:tcW w:w="1103" w:type="dxa"/>
            <w:tcBorders>
              <w:tl2br w:val="nil"/>
              <w:tr2bl w:val="nil"/>
            </w:tcBorders>
            <w:shd w:val="clear" w:color="auto" w:fill="auto"/>
            <w:vAlign w:val="center"/>
          </w:tcPr>
          <w:p w14:paraId="3C269AB3">
            <w:pP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≤50mg/L</w:t>
            </w:r>
          </w:p>
        </w:tc>
        <w:tc>
          <w:tcPr>
            <w:tcW w:w="1172" w:type="dxa"/>
            <w:tcBorders>
              <w:tl2br w:val="nil"/>
              <w:tr2bl w:val="nil"/>
            </w:tcBorders>
            <w:shd w:val="clear" w:color="auto" w:fill="auto"/>
            <w:vAlign w:val="center"/>
          </w:tcPr>
          <w:p w14:paraId="19B8DF02">
            <w:pP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sz w:val="20"/>
                <w:szCs w:val="20"/>
                <w:highlight w:val="none"/>
              </w:rPr>
              <w:t>0mg/L</w:t>
            </w:r>
          </w:p>
        </w:tc>
        <w:tc>
          <w:tcPr>
            <w:tcW w:w="559" w:type="dxa"/>
            <w:tcBorders>
              <w:tl2br w:val="nil"/>
              <w:tr2bl w:val="nil"/>
            </w:tcBorders>
            <w:shd w:val="clear" w:color="auto" w:fill="auto"/>
            <w:vAlign w:val="center"/>
          </w:tcPr>
          <w:p w14:paraId="7657FA84">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是</w:t>
            </w:r>
          </w:p>
        </w:tc>
        <w:tc>
          <w:tcPr>
            <w:tcW w:w="1108" w:type="dxa"/>
            <w:tcBorders>
              <w:tl2br w:val="nil"/>
              <w:tr2bl w:val="nil"/>
            </w:tcBorders>
            <w:shd w:val="clear" w:color="auto" w:fill="auto"/>
            <w:vAlign w:val="center"/>
          </w:tcPr>
          <w:p w14:paraId="204AEB25">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COD在线监测设备</w:t>
            </w:r>
          </w:p>
        </w:tc>
        <w:tc>
          <w:tcPr>
            <w:tcW w:w="990" w:type="dxa"/>
            <w:tcBorders>
              <w:tl2br w:val="nil"/>
              <w:tr2bl w:val="nil"/>
            </w:tcBorders>
            <w:shd w:val="clear" w:color="auto" w:fill="auto"/>
            <w:vAlign w:val="center"/>
          </w:tcPr>
          <w:p w14:paraId="02A0704C">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出水在线监测房</w:t>
            </w:r>
          </w:p>
        </w:tc>
        <w:tc>
          <w:tcPr>
            <w:tcW w:w="1155" w:type="dxa"/>
            <w:tcBorders>
              <w:tl2br w:val="nil"/>
              <w:tr2bl w:val="nil"/>
            </w:tcBorders>
            <w:shd w:val="clear" w:color="auto" w:fill="auto"/>
            <w:vAlign w:val="center"/>
          </w:tcPr>
          <w:p w14:paraId="59842064">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是</w:t>
            </w:r>
          </w:p>
        </w:tc>
        <w:tc>
          <w:tcPr>
            <w:tcW w:w="1452" w:type="dxa"/>
            <w:tcBorders>
              <w:tl2br w:val="nil"/>
              <w:tr2bl w:val="nil"/>
            </w:tcBorders>
            <w:shd w:val="clear" w:color="auto" w:fill="auto"/>
            <w:vAlign w:val="center"/>
          </w:tcPr>
          <w:p w14:paraId="588CA246">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w:t>
            </w:r>
          </w:p>
        </w:tc>
        <w:tc>
          <w:tcPr>
            <w:tcW w:w="738" w:type="dxa"/>
            <w:tcBorders>
              <w:tl2br w:val="nil"/>
              <w:tr2bl w:val="nil"/>
            </w:tcBorders>
            <w:shd w:val="clear" w:color="auto" w:fill="auto"/>
            <w:vAlign w:val="center"/>
          </w:tcPr>
          <w:p w14:paraId="76F830D5">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w:t>
            </w:r>
          </w:p>
        </w:tc>
        <w:tc>
          <w:tcPr>
            <w:tcW w:w="1666" w:type="dxa"/>
            <w:tcBorders>
              <w:tl2br w:val="nil"/>
              <w:tr2bl w:val="nil"/>
            </w:tcBorders>
            <w:shd w:val="clear" w:color="auto" w:fill="auto"/>
            <w:vAlign w:val="center"/>
          </w:tcPr>
          <w:p w14:paraId="51B25D97">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w:t>
            </w:r>
          </w:p>
        </w:tc>
        <w:tc>
          <w:tcPr>
            <w:tcW w:w="1080" w:type="dxa"/>
            <w:tcBorders>
              <w:tl2br w:val="nil"/>
              <w:tr2bl w:val="nil"/>
            </w:tcBorders>
            <w:shd w:val="clear" w:color="auto" w:fill="auto"/>
            <w:vAlign w:val="center"/>
          </w:tcPr>
          <w:p w14:paraId="33B8E5C9">
            <w:pPr>
              <w:widowControl/>
              <w:jc w:val="center"/>
              <w:textAlignment w:val="center"/>
              <w:rPr>
                <w:rStyle w:val="33"/>
                <w:rFonts w:ascii="宋体" w:hAnsi="宋体" w:eastAsia="宋体" w:cs="宋体"/>
                <w:color w:val="auto"/>
                <w:sz w:val="20"/>
                <w:szCs w:val="20"/>
                <w:highlight w:val="none"/>
              </w:rPr>
            </w:pPr>
            <w:r>
              <w:rPr>
                <w:rStyle w:val="33"/>
                <w:rFonts w:hint="eastAsia" w:ascii="宋体" w:hAnsi="宋体" w:eastAsia="宋体" w:cs="宋体"/>
                <w:color w:val="auto"/>
                <w:sz w:val="20"/>
                <w:szCs w:val="20"/>
                <w:highlight w:val="none"/>
              </w:rPr>
              <w:t>/</w:t>
            </w:r>
          </w:p>
        </w:tc>
        <w:tc>
          <w:tcPr>
            <w:tcW w:w="1275" w:type="dxa"/>
            <w:tcBorders>
              <w:tl2br w:val="nil"/>
              <w:tr2bl w:val="nil"/>
            </w:tcBorders>
            <w:shd w:val="clear" w:color="auto" w:fill="auto"/>
            <w:vAlign w:val="center"/>
          </w:tcPr>
          <w:p w14:paraId="391A3675">
            <w:pPr>
              <w:adjustRightInd w:val="0"/>
              <w:snapToGrid w:val="0"/>
              <w:spacing w:beforeLines="80"/>
              <w:jc w:val="center"/>
              <w:rPr>
                <w:rFonts w:ascii="宋体" w:hAnsi="宋体" w:eastAsia="宋体" w:cs="宋体"/>
                <w:color w:val="auto"/>
                <w:kern w:val="0"/>
                <w:sz w:val="20"/>
                <w:szCs w:val="20"/>
                <w:highlight w:val="none"/>
              </w:rPr>
            </w:pPr>
            <w:r>
              <w:rPr>
                <w:rStyle w:val="33"/>
                <w:rFonts w:hint="eastAsia" w:ascii="宋体" w:hAnsi="宋体" w:eastAsia="宋体" w:cs="宋体"/>
                <w:color w:val="auto"/>
                <w:sz w:val="20"/>
                <w:szCs w:val="20"/>
                <w:highlight w:val="none"/>
              </w:rPr>
              <w:t>/</w:t>
            </w:r>
          </w:p>
        </w:tc>
        <w:tc>
          <w:tcPr>
            <w:tcW w:w="1620" w:type="dxa"/>
            <w:tcBorders>
              <w:tl2br w:val="nil"/>
              <w:tr2bl w:val="nil"/>
            </w:tcBorders>
            <w:shd w:val="clear" w:color="auto" w:fill="auto"/>
            <w:vAlign w:val="center"/>
          </w:tcPr>
          <w:p w14:paraId="763643B7">
            <w:pPr>
              <w:adjustRightInd w:val="0"/>
              <w:snapToGrid w:val="0"/>
              <w:spacing w:beforeLines="80"/>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自动监测设备出现故障时开展手工监测，</w:t>
            </w:r>
            <w:r>
              <w:rPr>
                <w:rFonts w:hint="eastAsia" w:ascii="宋体" w:hAnsi="宋体" w:eastAsia="宋体" w:cs="宋体"/>
                <w:color w:val="auto"/>
                <w:kern w:val="0"/>
                <w:sz w:val="20"/>
                <w:szCs w:val="20"/>
                <w:highlight w:val="none"/>
                <w:lang w:eastAsia="zh-CN"/>
              </w:rPr>
              <w:t>每6小时</w:t>
            </w:r>
            <w:r>
              <w:rPr>
                <w:rFonts w:hint="eastAsia" w:ascii="宋体" w:hAnsi="宋体" w:eastAsia="宋体" w:cs="宋体"/>
                <w:color w:val="auto"/>
                <w:kern w:val="0"/>
                <w:sz w:val="20"/>
                <w:szCs w:val="20"/>
                <w:highlight w:val="none"/>
              </w:rPr>
              <w:t>监测一次</w:t>
            </w:r>
          </w:p>
        </w:tc>
      </w:tr>
      <w:tr w14:paraId="3D94775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208" w:hRule="atLeast"/>
        </w:trPr>
        <w:tc>
          <w:tcPr>
            <w:tcW w:w="525" w:type="dxa"/>
            <w:tcBorders>
              <w:tl2br w:val="nil"/>
              <w:tr2bl w:val="nil"/>
            </w:tcBorders>
            <w:shd w:val="clear" w:color="auto" w:fill="auto"/>
            <w:vAlign w:val="center"/>
          </w:tcPr>
          <w:p w14:paraId="394517A5">
            <w:pPr>
              <w:widowControl/>
              <w:jc w:val="center"/>
              <w:textAlignment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3</w:t>
            </w:r>
          </w:p>
        </w:tc>
        <w:tc>
          <w:tcPr>
            <w:tcW w:w="844" w:type="dxa"/>
            <w:tcBorders>
              <w:tl2br w:val="nil"/>
              <w:tr2bl w:val="nil"/>
            </w:tcBorders>
            <w:shd w:val="clear" w:color="auto" w:fill="auto"/>
            <w:vAlign w:val="center"/>
          </w:tcPr>
          <w:p w14:paraId="4129553E">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废水</w:t>
            </w:r>
          </w:p>
        </w:tc>
        <w:tc>
          <w:tcPr>
            <w:tcW w:w="900" w:type="dxa"/>
            <w:tcBorders>
              <w:tl2br w:val="nil"/>
              <w:tr2bl w:val="nil"/>
            </w:tcBorders>
            <w:shd w:val="clear" w:color="auto" w:fill="auto"/>
            <w:vAlign w:val="center"/>
          </w:tcPr>
          <w:p w14:paraId="6E0D0B00">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DW001</w:t>
            </w:r>
          </w:p>
        </w:tc>
        <w:tc>
          <w:tcPr>
            <w:tcW w:w="1125" w:type="dxa"/>
            <w:tcBorders>
              <w:tl2br w:val="nil"/>
              <w:tr2bl w:val="nil"/>
            </w:tcBorders>
            <w:shd w:val="clear" w:color="auto" w:fill="auto"/>
            <w:vAlign w:val="center"/>
          </w:tcPr>
          <w:p w14:paraId="71D58D77">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污水排放口</w:t>
            </w:r>
          </w:p>
        </w:tc>
        <w:tc>
          <w:tcPr>
            <w:tcW w:w="993" w:type="dxa"/>
            <w:tcBorders>
              <w:tl2br w:val="nil"/>
              <w:tr2bl w:val="nil"/>
            </w:tcBorders>
            <w:shd w:val="clear" w:color="auto" w:fill="auto"/>
            <w:vAlign w:val="center"/>
          </w:tcPr>
          <w:p w14:paraId="77DF3B01">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总氮（以N计）</w:t>
            </w:r>
          </w:p>
        </w:tc>
        <w:tc>
          <w:tcPr>
            <w:tcW w:w="636" w:type="dxa"/>
            <w:tcBorders>
              <w:tl2br w:val="nil"/>
              <w:tr2bl w:val="nil"/>
            </w:tcBorders>
            <w:shd w:val="clear" w:color="auto" w:fill="auto"/>
            <w:vAlign w:val="center"/>
          </w:tcPr>
          <w:p w14:paraId="6E92F7E5">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自动</w:t>
            </w:r>
          </w:p>
        </w:tc>
        <w:tc>
          <w:tcPr>
            <w:tcW w:w="1859" w:type="dxa"/>
            <w:tcBorders>
              <w:tl2br w:val="nil"/>
              <w:tr2bl w:val="nil"/>
            </w:tcBorders>
            <w:shd w:val="clear" w:color="auto" w:fill="auto"/>
            <w:vAlign w:val="center"/>
          </w:tcPr>
          <w:p w14:paraId="06646399">
            <w:pP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《城镇污水处理厂污染物排放标准》（GB18918-2002）一级A标准排放</w:t>
            </w:r>
          </w:p>
        </w:tc>
        <w:tc>
          <w:tcPr>
            <w:tcW w:w="1103" w:type="dxa"/>
            <w:tcBorders>
              <w:tl2br w:val="nil"/>
              <w:tr2bl w:val="nil"/>
            </w:tcBorders>
            <w:shd w:val="clear" w:color="auto" w:fill="auto"/>
            <w:vAlign w:val="center"/>
          </w:tcPr>
          <w:p w14:paraId="06F7D447">
            <w:pP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≤15mg/L</w:t>
            </w:r>
          </w:p>
        </w:tc>
        <w:tc>
          <w:tcPr>
            <w:tcW w:w="1172" w:type="dxa"/>
            <w:tcBorders>
              <w:tl2br w:val="nil"/>
              <w:tr2bl w:val="nil"/>
            </w:tcBorders>
            <w:shd w:val="clear" w:color="auto" w:fill="auto"/>
            <w:vAlign w:val="center"/>
          </w:tcPr>
          <w:p w14:paraId="304F50D0">
            <w:pP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0</w:t>
            </w:r>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sz w:val="20"/>
                <w:szCs w:val="20"/>
                <w:highlight w:val="none"/>
              </w:rPr>
              <w:t>mg/L</w:t>
            </w:r>
          </w:p>
        </w:tc>
        <w:tc>
          <w:tcPr>
            <w:tcW w:w="559" w:type="dxa"/>
            <w:tcBorders>
              <w:tl2br w:val="nil"/>
              <w:tr2bl w:val="nil"/>
            </w:tcBorders>
            <w:shd w:val="clear" w:color="auto" w:fill="auto"/>
            <w:vAlign w:val="center"/>
          </w:tcPr>
          <w:p w14:paraId="39C79754">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是</w:t>
            </w:r>
          </w:p>
        </w:tc>
        <w:tc>
          <w:tcPr>
            <w:tcW w:w="1108" w:type="dxa"/>
            <w:tcBorders>
              <w:tl2br w:val="nil"/>
              <w:tr2bl w:val="nil"/>
            </w:tcBorders>
            <w:shd w:val="clear" w:color="auto" w:fill="auto"/>
            <w:vAlign w:val="center"/>
          </w:tcPr>
          <w:p w14:paraId="31932B9C">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总磷总氮在线监测设备</w:t>
            </w:r>
          </w:p>
        </w:tc>
        <w:tc>
          <w:tcPr>
            <w:tcW w:w="990" w:type="dxa"/>
            <w:tcBorders>
              <w:tl2br w:val="nil"/>
              <w:tr2bl w:val="nil"/>
            </w:tcBorders>
            <w:shd w:val="clear" w:color="auto" w:fill="auto"/>
            <w:vAlign w:val="center"/>
          </w:tcPr>
          <w:p w14:paraId="3BA14E51">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出水在线监测房</w:t>
            </w:r>
          </w:p>
        </w:tc>
        <w:tc>
          <w:tcPr>
            <w:tcW w:w="1155" w:type="dxa"/>
            <w:tcBorders>
              <w:tl2br w:val="nil"/>
              <w:tr2bl w:val="nil"/>
            </w:tcBorders>
            <w:shd w:val="clear" w:color="auto" w:fill="auto"/>
            <w:vAlign w:val="center"/>
          </w:tcPr>
          <w:p w14:paraId="5EDF7235">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是</w:t>
            </w:r>
          </w:p>
        </w:tc>
        <w:tc>
          <w:tcPr>
            <w:tcW w:w="1452" w:type="dxa"/>
            <w:tcBorders>
              <w:tl2br w:val="nil"/>
              <w:tr2bl w:val="nil"/>
            </w:tcBorders>
            <w:shd w:val="clear" w:color="auto" w:fill="auto"/>
            <w:vAlign w:val="center"/>
          </w:tcPr>
          <w:p w14:paraId="04136863">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w:t>
            </w:r>
          </w:p>
        </w:tc>
        <w:tc>
          <w:tcPr>
            <w:tcW w:w="738" w:type="dxa"/>
            <w:tcBorders>
              <w:tl2br w:val="nil"/>
              <w:tr2bl w:val="nil"/>
            </w:tcBorders>
            <w:shd w:val="clear" w:color="auto" w:fill="auto"/>
            <w:vAlign w:val="center"/>
          </w:tcPr>
          <w:p w14:paraId="5D002D36">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w:t>
            </w:r>
          </w:p>
        </w:tc>
        <w:tc>
          <w:tcPr>
            <w:tcW w:w="1666" w:type="dxa"/>
            <w:tcBorders>
              <w:tl2br w:val="nil"/>
              <w:tr2bl w:val="nil"/>
            </w:tcBorders>
            <w:shd w:val="clear" w:color="auto" w:fill="auto"/>
            <w:vAlign w:val="center"/>
          </w:tcPr>
          <w:p w14:paraId="78962EB8">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w:t>
            </w:r>
          </w:p>
        </w:tc>
        <w:tc>
          <w:tcPr>
            <w:tcW w:w="1080" w:type="dxa"/>
            <w:tcBorders>
              <w:tl2br w:val="nil"/>
              <w:tr2bl w:val="nil"/>
            </w:tcBorders>
            <w:shd w:val="clear" w:color="auto" w:fill="auto"/>
            <w:vAlign w:val="center"/>
          </w:tcPr>
          <w:p w14:paraId="5D3D3B78">
            <w:pPr>
              <w:widowControl/>
              <w:jc w:val="center"/>
              <w:textAlignment w:val="center"/>
              <w:rPr>
                <w:rStyle w:val="33"/>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w:t>
            </w:r>
          </w:p>
        </w:tc>
        <w:tc>
          <w:tcPr>
            <w:tcW w:w="1275" w:type="dxa"/>
            <w:tcBorders>
              <w:tl2br w:val="nil"/>
              <w:tr2bl w:val="nil"/>
            </w:tcBorders>
            <w:shd w:val="clear" w:color="auto" w:fill="auto"/>
            <w:vAlign w:val="center"/>
          </w:tcPr>
          <w:p w14:paraId="57BA2311">
            <w:pPr>
              <w:adjustRightInd w:val="0"/>
              <w:snapToGrid w:val="0"/>
              <w:spacing w:beforeLines="80"/>
              <w:jc w:val="center"/>
              <w:rPr>
                <w:rStyle w:val="33"/>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w:t>
            </w:r>
          </w:p>
        </w:tc>
        <w:tc>
          <w:tcPr>
            <w:tcW w:w="1620" w:type="dxa"/>
            <w:tcBorders>
              <w:tl2br w:val="nil"/>
              <w:tr2bl w:val="nil"/>
            </w:tcBorders>
            <w:shd w:val="clear" w:color="auto" w:fill="auto"/>
            <w:vAlign w:val="center"/>
          </w:tcPr>
          <w:p w14:paraId="1F08AF9F">
            <w:pPr>
              <w:adjustRightInd w:val="0"/>
              <w:snapToGrid w:val="0"/>
              <w:spacing w:beforeLines="80"/>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自动监测设备出现故障时开展手工监测，</w:t>
            </w:r>
            <w:r>
              <w:rPr>
                <w:rFonts w:hint="eastAsia" w:ascii="宋体" w:hAnsi="宋体" w:eastAsia="宋体" w:cs="宋体"/>
                <w:color w:val="auto"/>
                <w:kern w:val="0"/>
                <w:sz w:val="20"/>
                <w:szCs w:val="20"/>
                <w:highlight w:val="none"/>
                <w:lang w:eastAsia="zh-CN"/>
              </w:rPr>
              <w:t>每6小时</w:t>
            </w:r>
            <w:r>
              <w:rPr>
                <w:rFonts w:hint="eastAsia" w:ascii="宋体" w:hAnsi="宋体" w:eastAsia="宋体" w:cs="宋体"/>
                <w:color w:val="auto"/>
                <w:kern w:val="0"/>
                <w:sz w:val="20"/>
                <w:szCs w:val="20"/>
                <w:highlight w:val="none"/>
              </w:rPr>
              <w:t>监测一次</w:t>
            </w:r>
          </w:p>
        </w:tc>
      </w:tr>
      <w:tr w14:paraId="3F2BB46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208" w:hRule="atLeast"/>
        </w:trPr>
        <w:tc>
          <w:tcPr>
            <w:tcW w:w="525" w:type="dxa"/>
            <w:tcBorders>
              <w:tl2br w:val="nil"/>
              <w:tr2bl w:val="nil"/>
            </w:tcBorders>
            <w:shd w:val="clear" w:color="auto" w:fill="auto"/>
            <w:vAlign w:val="center"/>
          </w:tcPr>
          <w:p w14:paraId="66EB4A2E">
            <w:pPr>
              <w:widowControl/>
              <w:jc w:val="center"/>
              <w:textAlignment w:val="center"/>
              <w:rPr>
                <w:rFonts w:ascii="宋体" w:hAnsi="宋体" w:eastAsia="宋体" w:cs="宋体"/>
                <w:color w:val="auto"/>
                <w:kern w:val="0"/>
                <w:sz w:val="20"/>
                <w:szCs w:val="20"/>
                <w:highlight w:val="none"/>
              </w:rPr>
            </w:pPr>
            <w:r>
              <w:rPr>
                <w:rFonts w:ascii="宋体" w:hAnsi="宋体" w:eastAsia="宋体" w:cs="宋体"/>
                <w:color w:val="auto"/>
                <w:sz w:val="20"/>
                <w:szCs w:val="20"/>
                <w:highlight w:val="none"/>
              </w:rPr>
              <w:t>4</w:t>
            </w:r>
          </w:p>
        </w:tc>
        <w:tc>
          <w:tcPr>
            <w:tcW w:w="844" w:type="dxa"/>
            <w:tcBorders>
              <w:tl2br w:val="nil"/>
              <w:tr2bl w:val="nil"/>
            </w:tcBorders>
            <w:shd w:val="clear" w:color="auto" w:fill="auto"/>
            <w:vAlign w:val="center"/>
          </w:tcPr>
          <w:p w14:paraId="6E2F6B3B">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废水</w:t>
            </w:r>
          </w:p>
        </w:tc>
        <w:tc>
          <w:tcPr>
            <w:tcW w:w="900" w:type="dxa"/>
            <w:tcBorders>
              <w:tl2br w:val="nil"/>
              <w:tr2bl w:val="nil"/>
            </w:tcBorders>
            <w:shd w:val="clear" w:color="auto" w:fill="auto"/>
            <w:vAlign w:val="center"/>
          </w:tcPr>
          <w:p w14:paraId="429ADDB1">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DW001</w:t>
            </w:r>
          </w:p>
        </w:tc>
        <w:tc>
          <w:tcPr>
            <w:tcW w:w="1125" w:type="dxa"/>
            <w:tcBorders>
              <w:tl2br w:val="nil"/>
              <w:tr2bl w:val="nil"/>
            </w:tcBorders>
            <w:shd w:val="clear" w:color="auto" w:fill="auto"/>
            <w:vAlign w:val="center"/>
          </w:tcPr>
          <w:p w14:paraId="30E43F99">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污水排放口</w:t>
            </w:r>
          </w:p>
        </w:tc>
        <w:tc>
          <w:tcPr>
            <w:tcW w:w="993" w:type="dxa"/>
            <w:tcBorders>
              <w:tl2br w:val="nil"/>
              <w:tr2bl w:val="nil"/>
            </w:tcBorders>
            <w:shd w:val="clear" w:color="auto" w:fill="auto"/>
            <w:vAlign w:val="center"/>
          </w:tcPr>
          <w:p w14:paraId="34EF711C">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氨氮（NH</w:t>
            </w:r>
            <w:r>
              <w:rPr>
                <w:rFonts w:hint="eastAsia" w:ascii="宋体" w:hAnsi="宋体" w:eastAsia="宋体" w:cs="宋体"/>
                <w:color w:val="auto"/>
                <w:kern w:val="0"/>
                <w:sz w:val="20"/>
                <w:szCs w:val="20"/>
                <w:highlight w:val="none"/>
                <w:vertAlign w:val="subscript"/>
              </w:rPr>
              <w:t>3</w:t>
            </w:r>
            <w:r>
              <w:rPr>
                <w:rFonts w:hint="eastAsia" w:ascii="宋体" w:hAnsi="宋体" w:eastAsia="宋体" w:cs="宋体"/>
                <w:color w:val="auto"/>
                <w:kern w:val="0"/>
                <w:sz w:val="20"/>
                <w:szCs w:val="20"/>
                <w:highlight w:val="none"/>
              </w:rPr>
              <w:t>-N）</w:t>
            </w:r>
          </w:p>
        </w:tc>
        <w:tc>
          <w:tcPr>
            <w:tcW w:w="636" w:type="dxa"/>
            <w:tcBorders>
              <w:tl2br w:val="nil"/>
              <w:tr2bl w:val="nil"/>
            </w:tcBorders>
            <w:shd w:val="clear" w:color="auto" w:fill="auto"/>
            <w:vAlign w:val="center"/>
          </w:tcPr>
          <w:p w14:paraId="31896397">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自动</w:t>
            </w:r>
          </w:p>
        </w:tc>
        <w:tc>
          <w:tcPr>
            <w:tcW w:w="1859" w:type="dxa"/>
            <w:tcBorders>
              <w:tl2br w:val="nil"/>
              <w:tr2bl w:val="nil"/>
            </w:tcBorders>
            <w:shd w:val="clear" w:color="auto" w:fill="auto"/>
            <w:vAlign w:val="center"/>
          </w:tcPr>
          <w:p w14:paraId="1382F4D3">
            <w:pP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《城镇污水处理厂污染物排放标准》（GB18918-2002）一级A标准排放</w:t>
            </w:r>
          </w:p>
        </w:tc>
        <w:tc>
          <w:tcPr>
            <w:tcW w:w="1103" w:type="dxa"/>
            <w:tcBorders>
              <w:tl2br w:val="nil"/>
              <w:tr2bl w:val="nil"/>
            </w:tcBorders>
            <w:shd w:val="clear" w:color="auto" w:fill="auto"/>
            <w:vAlign w:val="center"/>
          </w:tcPr>
          <w:p w14:paraId="260D8BBE">
            <w:pP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≤5（8）mg/L</w:t>
            </w:r>
          </w:p>
        </w:tc>
        <w:tc>
          <w:tcPr>
            <w:tcW w:w="1172" w:type="dxa"/>
            <w:tcBorders>
              <w:tl2br w:val="nil"/>
              <w:tr2bl w:val="nil"/>
            </w:tcBorders>
            <w:shd w:val="clear" w:color="auto" w:fill="auto"/>
            <w:vAlign w:val="center"/>
          </w:tcPr>
          <w:p w14:paraId="66BAEC9A">
            <w:pPr>
              <w:jc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val="en-US" w:eastAsia="zh-CN"/>
              </w:rPr>
              <w:t>/</w:t>
            </w:r>
          </w:p>
        </w:tc>
        <w:tc>
          <w:tcPr>
            <w:tcW w:w="559" w:type="dxa"/>
            <w:tcBorders>
              <w:tl2br w:val="nil"/>
              <w:tr2bl w:val="nil"/>
            </w:tcBorders>
            <w:shd w:val="clear" w:color="auto" w:fill="auto"/>
            <w:vAlign w:val="center"/>
          </w:tcPr>
          <w:p w14:paraId="3E319886">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是</w:t>
            </w:r>
          </w:p>
        </w:tc>
        <w:tc>
          <w:tcPr>
            <w:tcW w:w="1108" w:type="dxa"/>
            <w:tcBorders>
              <w:tl2br w:val="nil"/>
              <w:tr2bl w:val="nil"/>
            </w:tcBorders>
            <w:shd w:val="clear" w:color="auto" w:fill="auto"/>
            <w:vAlign w:val="center"/>
          </w:tcPr>
          <w:p w14:paraId="6A9DD375">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氨氮在线监测设备</w:t>
            </w:r>
          </w:p>
        </w:tc>
        <w:tc>
          <w:tcPr>
            <w:tcW w:w="990" w:type="dxa"/>
            <w:tcBorders>
              <w:tl2br w:val="nil"/>
              <w:tr2bl w:val="nil"/>
            </w:tcBorders>
            <w:shd w:val="clear" w:color="auto" w:fill="auto"/>
            <w:vAlign w:val="center"/>
          </w:tcPr>
          <w:p w14:paraId="7B7735F5">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出水在线监测房</w:t>
            </w:r>
          </w:p>
        </w:tc>
        <w:tc>
          <w:tcPr>
            <w:tcW w:w="1155" w:type="dxa"/>
            <w:tcBorders>
              <w:tl2br w:val="nil"/>
              <w:tr2bl w:val="nil"/>
            </w:tcBorders>
            <w:shd w:val="clear" w:color="auto" w:fill="auto"/>
            <w:vAlign w:val="center"/>
          </w:tcPr>
          <w:p w14:paraId="537DAA6A">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是</w:t>
            </w:r>
          </w:p>
        </w:tc>
        <w:tc>
          <w:tcPr>
            <w:tcW w:w="1452" w:type="dxa"/>
            <w:tcBorders>
              <w:tl2br w:val="nil"/>
              <w:tr2bl w:val="nil"/>
            </w:tcBorders>
            <w:shd w:val="clear" w:color="auto" w:fill="auto"/>
            <w:vAlign w:val="center"/>
          </w:tcPr>
          <w:p w14:paraId="0678F26C">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w:t>
            </w:r>
          </w:p>
        </w:tc>
        <w:tc>
          <w:tcPr>
            <w:tcW w:w="738" w:type="dxa"/>
            <w:tcBorders>
              <w:tl2br w:val="nil"/>
              <w:tr2bl w:val="nil"/>
            </w:tcBorders>
            <w:shd w:val="clear" w:color="auto" w:fill="auto"/>
            <w:vAlign w:val="center"/>
          </w:tcPr>
          <w:p w14:paraId="1B54F185">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w:t>
            </w:r>
          </w:p>
        </w:tc>
        <w:tc>
          <w:tcPr>
            <w:tcW w:w="1666" w:type="dxa"/>
            <w:tcBorders>
              <w:tl2br w:val="nil"/>
              <w:tr2bl w:val="nil"/>
            </w:tcBorders>
            <w:shd w:val="clear" w:color="auto" w:fill="auto"/>
            <w:vAlign w:val="center"/>
          </w:tcPr>
          <w:p w14:paraId="7215947C">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w:t>
            </w:r>
          </w:p>
        </w:tc>
        <w:tc>
          <w:tcPr>
            <w:tcW w:w="1080" w:type="dxa"/>
            <w:tcBorders>
              <w:tl2br w:val="nil"/>
              <w:tr2bl w:val="nil"/>
            </w:tcBorders>
            <w:shd w:val="clear" w:color="auto" w:fill="auto"/>
            <w:vAlign w:val="center"/>
          </w:tcPr>
          <w:p w14:paraId="43159825">
            <w:pPr>
              <w:widowControl/>
              <w:jc w:val="center"/>
              <w:textAlignment w:val="center"/>
              <w:rPr>
                <w:rStyle w:val="33"/>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w:t>
            </w:r>
          </w:p>
        </w:tc>
        <w:tc>
          <w:tcPr>
            <w:tcW w:w="1275" w:type="dxa"/>
            <w:tcBorders>
              <w:tl2br w:val="nil"/>
              <w:tr2bl w:val="nil"/>
            </w:tcBorders>
            <w:shd w:val="clear" w:color="auto" w:fill="auto"/>
            <w:vAlign w:val="center"/>
          </w:tcPr>
          <w:p w14:paraId="5441E866">
            <w:pPr>
              <w:adjustRightInd w:val="0"/>
              <w:snapToGrid w:val="0"/>
              <w:spacing w:beforeLines="80"/>
              <w:jc w:val="center"/>
              <w:rPr>
                <w:rStyle w:val="33"/>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w:t>
            </w:r>
          </w:p>
        </w:tc>
        <w:tc>
          <w:tcPr>
            <w:tcW w:w="1620" w:type="dxa"/>
            <w:tcBorders>
              <w:tl2br w:val="nil"/>
              <w:tr2bl w:val="nil"/>
            </w:tcBorders>
            <w:shd w:val="clear" w:color="auto" w:fill="auto"/>
            <w:vAlign w:val="center"/>
          </w:tcPr>
          <w:p w14:paraId="121E4C34">
            <w:pPr>
              <w:adjustRightInd w:val="0"/>
              <w:snapToGrid w:val="0"/>
              <w:spacing w:beforeLines="80"/>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自动监测设备出现故障时开展手工监测，</w:t>
            </w:r>
            <w:r>
              <w:rPr>
                <w:rFonts w:hint="eastAsia" w:ascii="宋体" w:hAnsi="宋体" w:eastAsia="宋体" w:cs="宋体"/>
                <w:color w:val="auto"/>
                <w:kern w:val="0"/>
                <w:sz w:val="20"/>
                <w:szCs w:val="20"/>
                <w:highlight w:val="none"/>
                <w:lang w:eastAsia="zh-CN"/>
              </w:rPr>
              <w:t>每6小时</w:t>
            </w:r>
            <w:r>
              <w:rPr>
                <w:rFonts w:hint="eastAsia" w:ascii="宋体" w:hAnsi="宋体" w:eastAsia="宋体" w:cs="宋体"/>
                <w:color w:val="auto"/>
                <w:kern w:val="0"/>
                <w:sz w:val="20"/>
                <w:szCs w:val="20"/>
                <w:highlight w:val="none"/>
              </w:rPr>
              <w:t>监测一次</w:t>
            </w:r>
          </w:p>
        </w:tc>
      </w:tr>
      <w:tr w14:paraId="04884D8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208" w:hRule="atLeast"/>
        </w:trPr>
        <w:tc>
          <w:tcPr>
            <w:tcW w:w="525" w:type="dxa"/>
            <w:tcBorders>
              <w:tl2br w:val="nil"/>
              <w:tr2bl w:val="nil"/>
            </w:tcBorders>
            <w:shd w:val="clear" w:color="auto" w:fill="auto"/>
            <w:vAlign w:val="center"/>
          </w:tcPr>
          <w:p w14:paraId="59D0DCA2">
            <w:pPr>
              <w:widowControl/>
              <w:jc w:val="center"/>
              <w:textAlignment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5</w:t>
            </w:r>
          </w:p>
        </w:tc>
        <w:tc>
          <w:tcPr>
            <w:tcW w:w="844" w:type="dxa"/>
            <w:tcBorders>
              <w:tl2br w:val="nil"/>
              <w:tr2bl w:val="nil"/>
            </w:tcBorders>
            <w:shd w:val="clear" w:color="auto" w:fill="auto"/>
            <w:vAlign w:val="center"/>
          </w:tcPr>
          <w:p w14:paraId="39A12DDA">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废水</w:t>
            </w:r>
          </w:p>
        </w:tc>
        <w:tc>
          <w:tcPr>
            <w:tcW w:w="900" w:type="dxa"/>
            <w:tcBorders>
              <w:tl2br w:val="nil"/>
              <w:tr2bl w:val="nil"/>
            </w:tcBorders>
            <w:shd w:val="clear" w:color="auto" w:fill="auto"/>
            <w:vAlign w:val="center"/>
          </w:tcPr>
          <w:p w14:paraId="7A2F47F0">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DW001</w:t>
            </w:r>
          </w:p>
        </w:tc>
        <w:tc>
          <w:tcPr>
            <w:tcW w:w="1125" w:type="dxa"/>
            <w:tcBorders>
              <w:tl2br w:val="nil"/>
              <w:tr2bl w:val="nil"/>
            </w:tcBorders>
            <w:shd w:val="clear" w:color="auto" w:fill="auto"/>
            <w:vAlign w:val="center"/>
          </w:tcPr>
          <w:p w14:paraId="3DF974D0">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污水排放口</w:t>
            </w:r>
          </w:p>
        </w:tc>
        <w:tc>
          <w:tcPr>
            <w:tcW w:w="993" w:type="dxa"/>
            <w:tcBorders>
              <w:tl2br w:val="nil"/>
              <w:tr2bl w:val="nil"/>
            </w:tcBorders>
            <w:shd w:val="clear" w:color="auto" w:fill="auto"/>
            <w:vAlign w:val="center"/>
          </w:tcPr>
          <w:p w14:paraId="10D76962">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总磷（以P计）</w:t>
            </w:r>
          </w:p>
        </w:tc>
        <w:tc>
          <w:tcPr>
            <w:tcW w:w="636" w:type="dxa"/>
            <w:tcBorders>
              <w:tl2br w:val="nil"/>
              <w:tr2bl w:val="nil"/>
            </w:tcBorders>
            <w:shd w:val="clear" w:color="auto" w:fill="auto"/>
            <w:vAlign w:val="center"/>
          </w:tcPr>
          <w:p w14:paraId="1576BE68">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自动</w:t>
            </w:r>
          </w:p>
        </w:tc>
        <w:tc>
          <w:tcPr>
            <w:tcW w:w="1859" w:type="dxa"/>
            <w:tcBorders>
              <w:tl2br w:val="nil"/>
              <w:tr2bl w:val="nil"/>
            </w:tcBorders>
            <w:shd w:val="clear" w:color="auto" w:fill="auto"/>
            <w:vAlign w:val="center"/>
          </w:tcPr>
          <w:p w14:paraId="2E4AB60F">
            <w:pP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《城镇污水处理厂污染物排放标准》（GB18918-2002）一级A标准排放</w:t>
            </w:r>
          </w:p>
        </w:tc>
        <w:tc>
          <w:tcPr>
            <w:tcW w:w="1103" w:type="dxa"/>
            <w:tcBorders>
              <w:tl2br w:val="nil"/>
              <w:tr2bl w:val="nil"/>
            </w:tcBorders>
            <w:shd w:val="clear" w:color="auto" w:fill="auto"/>
            <w:vAlign w:val="center"/>
          </w:tcPr>
          <w:p w14:paraId="1669287B">
            <w:pP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≤0.5mg/L</w:t>
            </w:r>
          </w:p>
        </w:tc>
        <w:tc>
          <w:tcPr>
            <w:tcW w:w="1172" w:type="dxa"/>
            <w:tcBorders>
              <w:tl2br w:val="nil"/>
              <w:tr2bl w:val="nil"/>
            </w:tcBorders>
            <w:shd w:val="clear" w:color="auto" w:fill="auto"/>
            <w:vAlign w:val="center"/>
          </w:tcPr>
          <w:p w14:paraId="2E62AE2E">
            <w:pP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0</w:t>
            </w:r>
            <w:r>
              <w:rPr>
                <w:rFonts w:hint="eastAsia" w:ascii="宋体" w:hAnsi="宋体" w:eastAsia="宋体" w:cs="宋体"/>
                <w:color w:val="auto"/>
                <w:sz w:val="20"/>
                <w:szCs w:val="20"/>
                <w:highlight w:val="none"/>
                <w:lang w:val="en-US" w:eastAsia="zh-CN"/>
              </w:rPr>
              <w:t>.05</w:t>
            </w:r>
            <w:r>
              <w:rPr>
                <w:rFonts w:hint="eastAsia" w:ascii="宋体" w:hAnsi="宋体" w:eastAsia="宋体" w:cs="宋体"/>
                <w:color w:val="auto"/>
                <w:sz w:val="20"/>
                <w:szCs w:val="20"/>
                <w:highlight w:val="none"/>
              </w:rPr>
              <w:t>mg/L</w:t>
            </w:r>
          </w:p>
        </w:tc>
        <w:tc>
          <w:tcPr>
            <w:tcW w:w="559" w:type="dxa"/>
            <w:tcBorders>
              <w:tl2br w:val="nil"/>
              <w:tr2bl w:val="nil"/>
            </w:tcBorders>
            <w:shd w:val="clear" w:color="auto" w:fill="auto"/>
            <w:vAlign w:val="center"/>
          </w:tcPr>
          <w:p w14:paraId="0D636183">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是</w:t>
            </w:r>
          </w:p>
        </w:tc>
        <w:tc>
          <w:tcPr>
            <w:tcW w:w="1108" w:type="dxa"/>
            <w:tcBorders>
              <w:tl2br w:val="nil"/>
              <w:tr2bl w:val="nil"/>
            </w:tcBorders>
            <w:shd w:val="clear" w:color="auto" w:fill="auto"/>
            <w:vAlign w:val="center"/>
          </w:tcPr>
          <w:p w14:paraId="1B0352D2">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总磷总氮在线监测设备</w:t>
            </w:r>
          </w:p>
        </w:tc>
        <w:tc>
          <w:tcPr>
            <w:tcW w:w="990" w:type="dxa"/>
            <w:tcBorders>
              <w:tl2br w:val="nil"/>
              <w:tr2bl w:val="nil"/>
            </w:tcBorders>
            <w:shd w:val="clear" w:color="auto" w:fill="auto"/>
            <w:vAlign w:val="center"/>
          </w:tcPr>
          <w:p w14:paraId="418D594E">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出水在线监测房</w:t>
            </w:r>
          </w:p>
        </w:tc>
        <w:tc>
          <w:tcPr>
            <w:tcW w:w="1155" w:type="dxa"/>
            <w:tcBorders>
              <w:tl2br w:val="nil"/>
              <w:tr2bl w:val="nil"/>
            </w:tcBorders>
            <w:shd w:val="clear" w:color="auto" w:fill="auto"/>
            <w:vAlign w:val="center"/>
          </w:tcPr>
          <w:p w14:paraId="3E962D92">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是</w:t>
            </w:r>
          </w:p>
        </w:tc>
        <w:tc>
          <w:tcPr>
            <w:tcW w:w="1452" w:type="dxa"/>
            <w:tcBorders>
              <w:tl2br w:val="nil"/>
              <w:tr2bl w:val="nil"/>
            </w:tcBorders>
            <w:shd w:val="clear" w:color="auto" w:fill="auto"/>
            <w:vAlign w:val="center"/>
          </w:tcPr>
          <w:p w14:paraId="41CD0044">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w:t>
            </w:r>
          </w:p>
        </w:tc>
        <w:tc>
          <w:tcPr>
            <w:tcW w:w="738" w:type="dxa"/>
            <w:tcBorders>
              <w:tl2br w:val="nil"/>
              <w:tr2bl w:val="nil"/>
            </w:tcBorders>
            <w:shd w:val="clear" w:color="auto" w:fill="auto"/>
            <w:vAlign w:val="center"/>
          </w:tcPr>
          <w:p w14:paraId="74D15A88">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w:t>
            </w:r>
          </w:p>
        </w:tc>
        <w:tc>
          <w:tcPr>
            <w:tcW w:w="1666" w:type="dxa"/>
            <w:tcBorders>
              <w:tl2br w:val="nil"/>
              <w:tr2bl w:val="nil"/>
            </w:tcBorders>
            <w:shd w:val="clear" w:color="auto" w:fill="auto"/>
            <w:vAlign w:val="center"/>
          </w:tcPr>
          <w:p w14:paraId="4F920C4D">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w:t>
            </w:r>
          </w:p>
        </w:tc>
        <w:tc>
          <w:tcPr>
            <w:tcW w:w="1080" w:type="dxa"/>
            <w:tcBorders>
              <w:tl2br w:val="nil"/>
              <w:tr2bl w:val="nil"/>
            </w:tcBorders>
            <w:shd w:val="clear" w:color="auto" w:fill="auto"/>
            <w:vAlign w:val="center"/>
          </w:tcPr>
          <w:p w14:paraId="777584F0">
            <w:pPr>
              <w:widowControl/>
              <w:jc w:val="center"/>
              <w:textAlignment w:val="center"/>
              <w:rPr>
                <w:rStyle w:val="33"/>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w:t>
            </w:r>
          </w:p>
        </w:tc>
        <w:tc>
          <w:tcPr>
            <w:tcW w:w="1275" w:type="dxa"/>
            <w:tcBorders>
              <w:tl2br w:val="nil"/>
              <w:tr2bl w:val="nil"/>
            </w:tcBorders>
            <w:shd w:val="clear" w:color="auto" w:fill="auto"/>
            <w:vAlign w:val="center"/>
          </w:tcPr>
          <w:p w14:paraId="3CCA16B1">
            <w:pPr>
              <w:adjustRightInd w:val="0"/>
              <w:snapToGrid w:val="0"/>
              <w:spacing w:beforeLines="80"/>
              <w:jc w:val="center"/>
              <w:rPr>
                <w:rStyle w:val="33"/>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w:t>
            </w:r>
          </w:p>
        </w:tc>
        <w:tc>
          <w:tcPr>
            <w:tcW w:w="1620" w:type="dxa"/>
            <w:tcBorders>
              <w:tl2br w:val="nil"/>
              <w:tr2bl w:val="nil"/>
            </w:tcBorders>
            <w:shd w:val="clear" w:color="auto" w:fill="auto"/>
            <w:vAlign w:val="center"/>
          </w:tcPr>
          <w:p w14:paraId="4A410F4D">
            <w:pPr>
              <w:adjustRightInd w:val="0"/>
              <w:snapToGrid w:val="0"/>
              <w:spacing w:beforeLines="80"/>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自动监测设备出现故障时开展手工监测，</w:t>
            </w:r>
            <w:r>
              <w:rPr>
                <w:rFonts w:hint="eastAsia" w:ascii="宋体" w:hAnsi="宋体" w:eastAsia="宋体" w:cs="宋体"/>
                <w:color w:val="auto"/>
                <w:kern w:val="0"/>
                <w:sz w:val="20"/>
                <w:szCs w:val="20"/>
                <w:highlight w:val="none"/>
                <w:lang w:eastAsia="zh-CN"/>
              </w:rPr>
              <w:t>每6小时</w:t>
            </w:r>
            <w:r>
              <w:rPr>
                <w:rFonts w:hint="eastAsia" w:ascii="宋体" w:hAnsi="宋体" w:eastAsia="宋体" w:cs="宋体"/>
                <w:color w:val="auto"/>
                <w:kern w:val="0"/>
                <w:sz w:val="20"/>
                <w:szCs w:val="20"/>
                <w:highlight w:val="none"/>
              </w:rPr>
              <w:t>监测一次</w:t>
            </w:r>
          </w:p>
        </w:tc>
      </w:tr>
      <w:tr w14:paraId="159F2D8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90" w:hRule="atLeast"/>
        </w:trPr>
        <w:tc>
          <w:tcPr>
            <w:tcW w:w="525" w:type="dxa"/>
            <w:tcBorders>
              <w:tl2br w:val="nil"/>
              <w:tr2bl w:val="nil"/>
            </w:tcBorders>
            <w:shd w:val="clear" w:color="auto" w:fill="auto"/>
            <w:vAlign w:val="center"/>
          </w:tcPr>
          <w:p w14:paraId="6B621BB2">
            <w:pPr>
              <w:widowControl/>
              <w:jc w:val="center"/>
              <w:textAlignment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6</w:t>
            </w:r>
          </w:p>
        </w:tc>
        <w:tc>
          <w:tcPr>
            <w:tcW w:w="844" w:type="dxa"/>
            <w:tcBorders>
              <w:tl2br w:val="nil"/>
              <w:tr2bl w:val="nil"/>
            </w:tcBorders>
            <w:shd w:val="clear" w:color="auto" w:fill="auto"/>
            <w:vAlign w:val="center"/>
          </w:tcPr>
          <w:p w14:paraId="5B3577E3">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废水</w:t>
            </w:r>
          </w:p>
        </w:tc>
        <w:tc>
          <w:tcPr>
            <w:tcW w:w="900" w:type="dxa"/>
            <w:tcBorders>
              <w:tl2br w:val="nil"/>
              <w:tr2bl w:val="nil"/>
            </w:tcBorders>
            <w:shd w:val="clear" w:color="auto" w:fill="auto"/>
            <w:vAlign w:val="center"/>
          </w:tcPr>
          <w:p w14:paraId="17866132">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DW001</w:t>
            </w:r>
          </w:p>
        </w:tc>
        <w:tc>
          <w:tcPr>
            <w:tcW w:w="1125" w:type="dxa"/>
            <w:tcBorders>
              <w:tl2br w:val="nil"/>
              <w:tr2bl w:val="nil"/>
            </w:tcBorders>
            <w:shd w:val="clear" w:color="auto" w:fill="auto"/>
            <w:vAlign w:val="center"/>
          </w:tcPr>
          <w:p w14:paraId="1065C26F">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污水排放口</w:t>
            </w:r>
          </w:p>
        </w:tc>
        <w:tc>
          <w:tcPr>
            <w:tcW w:w="993" w:type="dxa"/>
            <w:tcBorders>
              <w:tl2br w:val="nil"/>
              <w:tr2bl w:val="nil"/>
            </w:tcBorders>
            <w:shd w:val="clear" w:color="auto" w:fill="auto"/>
            <w:vAlign w:val="center"/>
          </w:tcPr>
          <w:p w14:paraId="2AD38134">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流量</w:t>
            </w:r>
          </w:p>
        </w:tc>
        <w:tc>
          <w:tcPr>
            <w:tcW w:w="636" w:type="dxa"/>
            <w:tcBorders>
              <w:tl2br w:val="nil"/>
              <w:tr2bl w:val="nil"/>
            </w:tcBorders>
            <w:shd w:val="clear" w:color="auto" w:fill="auto"/>
            <w:vAlign w:val="center"/>
          </w:tcPr>
          <w:p w14:paraId="52D4B6E1">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自动</w:t>
            </w:r>
          </w:p>
        </w:tc>
        <w:tc>
          <w:tcPr>
            <w:tcW w:w="1859" w:type="dxa"/>
            <w:tcBorders>
              <w:tl2br w:val="nil"/>
              <w:tr2bl w:val="nil"/>
            </w:tcBorders>
            <w:shd w:val="clear" w:color="auto" w:fill="auto"/>
            <w:vAlign w:val="center"/>
          </w:tcPr>
          <w:p w14:paraId="540365CA">
            <w:pPr>
              <w:jc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w:t>
            </w:r>
          </w:p>
        </w:tc>
        <w:tc>
          <w:tcPr>
            <w:tcW w:w="1103" w:type="dxa"/>
            <w:tcBorders>
              <w:tl2br w:val="nil"/>
              <w:tr2bl w:val="nil"/>
            </w:tcBorders>
            <w:shd w:val="clear" w:color="auto" w:fill="auto"/>
            <w:vAlign w:val="center"/>
          </w:tcPr>
          <w:p w14:paraId="2BFA65F2">
            <w:pPr>
              <w:jc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w:t>
            </w:r>
          </w:p>
        </w:tc>
        <w:tc>
          <w:tcPr>
            <w:tcW w:w="1172" w:type="dxa"/>
            <w:tcBorders>
              <w:tl2br w:val="nil"/>
              <w:tr2bl w:val="nil"/>
            </w:tcBorders>
            <w:shd w:val="clear" w:color="auto" w:fill="auto"/>
            <w:vAlign w:val="center"/>
          </w:tcPr>
          <w:p w14:paraId="3B61E42F">
            <w:pPr>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w:t>
            </w:r>
          </w:p>
        </w:tc>
        <w:tc>
          <w:tcPr>
            <w:tcW w:w="559" w:type="dxa"/>
            <w:tcBorders>
              <w:tl2br w:val="nil"/>
              <w:tr2bl w:val="nil"/>
            </w:tcBorders>
            <w:shd w:val="clear" w:color="auto" w:fill="auto"/>
            <w:vAlign w:val="center"/>
          </w:tcPr>
          <w:p w14:paraId="68BB1A25">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是</w:t>
            </w:r>
          </w:p>
        </w:tc>
        <w:tc>
          <w:tcPr>
            <w:tcW w:w="1108" w:type="dxa"/>
            <w:tcBorders>
              <w:tl2br w:val="nil"/>
              <w:tr2bl w:val="nil"/>
            </w:tcBorders>
            <w:shd w:val="clear" w:color="auto" w:fill="auto"/>
            <w:vAlign w:val="center"/>
          </w:tcPr>
          <w:p w14:paraId="47721391">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流量计</w:t>
            </w:r>
          </w:p>
        </w:tc>
        <w:tc>
          <w:tcPr>
            <w:tcW w:w="990" w:type="dxa"/>
            <w:tcBorders>
              <w:tl2br w:val="nil"/>
              <w:tr2bl w:val="nil"/>
            </w:tcBorders>
            <w:shd w:val="clear" w:color="auto" w:fill="auto"/>
            <w:vAlign w:val="center"/>
          </w:tcPr>
          <w:p w14:paraId="14FBF928">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出</w:t>
            </w:r>
            <w:r>
              <w:rPr>
                <w:rStyle w:val="35"/>
                <w:rFonts w:hint="default"/>
                <w:color w:val="auto"/>
                <w:sz w:val="20"/>
                <w:szCs w:val="20"/>
                <w:highlight w:val="none"/>
              </w:rPr>
              <w:t>水仪表小屋</w:t>
            </w:r>
          </w:p>
        </w:tc>
        <w:tc>
          <w:tcPr>
            <w:tcW w:w="1155" w:type="dxa"/>
            <w:tcBorders>
              <w:tl2br w:val="nil"/>
              <w:tr2bl w:val="nil"/>
            </w:tcBorders>
            <w:shd w:val="clear" w:color="auto" w:fill="auto"/>
            <w:vAlign w:val="center"/>
          </w:tcPr>
          <w:p w14:paraId="47AC23B0">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是</w:t>
            </w:r>
          </w:p>
        </w:tc>
        <w:tc>
          <w:tcPr>
            <w:tcW w:w="1452" w:type="dxa"/>
            <w:tcBorders>
              <w:tl2br w:val="nil"/>
              <w:tr2bl w:val="nil"/>
            </w:tcBorders>
            <w:shd w:val="clear" w:color="auto" w:fill="auto"/>
            <w:vAlign w:val="center"/>
          </w:tcPr>
          <w:p w14:paraId="7AB524D1">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w:t>
            </w:r>
          </w:p>
        </w:tc>
        <w:tc>
          <w:tcPr>
            <w:tcW w:w="738" w:type="dxa"/>
            <w:tcBorders>
              <w:tl2br w:val="nil"/>
              <w:tr2bl w:val="nil"/>
            </w:tcBorders>
            <w:shd w:val="clear" w:color="auto" w:fill="auto"/>
            <w:vAlign w:val="center"/>
          </w:tcPr>
          <w:p w14:paraId="1FA6CB9B">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w:t>
            </w:r>
          </w:p>
        </w:tc>
        <w:tc>
          <w:tcPr>
            <w:tcW w:w="1666" w:type="dxa"/>
            <w:tcBorders>
              <w:tl2br w:val="nil"/>
              <w:tr2bl w:val="nil"/>
            </w:tcBorders>
            <w:shd w:val="clear" w:color="auto" w:fill="auto"/>
            <w:vAlign w:val="center"/>
          </w:tcPr>
          <w:p w14:paraId="3AAFC86E">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w:t>
            </w:r>
          </w:p>
        </w:tc>
        <w:tc>
          <w:tcPr>
            <w:tcW w:w="1080" w:type="dxa"/>
            <w:tcBorders>
              <w:tl2br w:val="nil"/>
              <w:tr2bl w:val="nil"/>
            </w:tcBorders>
            <w:shd w:val="clear" w:color="auto" w:fill="auto"/>
            <w:vAlign w:val="center"/>
          </w:tcPr>
          <w:p w14:paraId="364B3426">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w:t>
            </w:r>
          </w:p>
        </w:tc>
        <w:tc>
          <w:tcPr>
            <w:tcW w:w="1275" w:type="dxa"/>
            <w:tcBorders>
              <w:tl2br w:val="nil"/>
              <w:tr2bl w:val="nil"/>
            </w:tcBorders>
            <w:shd w:val="clear" w:color="auto" w:fill="auto"/>
            <w:vAlign w:val="center"/>
          </w:tcPr>
          <w:p w14:paraId="53DCB806">
            <w:pPr>
              <w:adjustRightInd w:val="0"/>
              <w:snapToGrid w:val="0"/>
              <w:spacing w:beforeLines="80"/>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w:t>
            </w:r>
          </w:p>
        </w:tc>
        <w:tc>
          <w:tcPr>
            <w:tcW w:w="1620" w:type="dxa"/>
            <w:tcBorders>
              <w:tl2br w:val="nil"/>
              <w:tr2bl w:val="nil"/>
            </w:tcBorders>
            <w:shd w:val="clear" w:color="auto" w:fill="auto"/>
            <w:vAlign w:val="center"/>
          </w:tcPr>
          <w:p w14:paraId="7B5833B9">
            <w:pPr>
              <w:adjustRightInd w:val="0"/>
              <w:snapToGrid w:val="0"/>
              <w:spacing w:beforeLines="80"/>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w:t>
            </w:r>
          </w:p>
        </w:tc>
      </w:tr>
      <w:tr w14:paraId="575DB02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3182" w:hRule="atLeast"/>
        </w:trPr>
        <w:tc>
          <w:tcPr>
            <w:tcW w:w="525" w:type="dxa"/>
            <w:tcBorders>
              <w:tl2br w:val="nil"/>
              <w:tr2bl w:val="nil"/>
            </w:tcBorders>
            <w:shd w:val="clear" w:color="auto" w:fill="auto"/>
            <w:vAlign w:val="center"/>
          </w:tcPr>
          <w:p w14:paraId="574B9EAA">
            <w:pPr>
              <w:widowControl/>
              <w:jc w:val="center"/>
              <w:textAlignment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7</w:t>
            </w:r>
          </w:p>
        </w:tc>
        <w:tc>
          <w:tcPr>
            <w:tcW w:w="844" w:type="dxa"/>
            <w:tcBorders>
              <w:tl2br w:val="nil"/>
              <w:tr2bl w:val="nil"/>
            </w:tcBorders>
            <w:shd w:val="clear" w:color="auto" w:fill="auto"/>
            <w:vAlign w:val="center"/>
          </w:tcPr>
          <w:p w14:paraId="15043472">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废水</w:t>
            </w:r>
          </w:p>
        </w:tc>
        <w:tc>
          <w:tcPr>
            <w:tcW w:w="900" w:type="dxa"/>
            <w:tcBorders>
              <w:tl2br w:val="nil"/>
              <w:tr2bl w:val="nil"/>
            </w:tcBorders>
            <w:shd w:val="clear" w:color="auto" w:fill="auto"/>
            <w:vAlign w:val="center"/>
          </w:tcPr>
          <w:p w14:paraId="326FEE54">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DW001</w:t>
            </w:r>
          </w:p>
        </w:tc>
        <w:tc>
          <w:tcPr>
            <w:tcW w:w="1125" w:type="dxa"/>
            <w:tcBorders>
              <w:tl2br w:val="nil"/>
              <w:tr2bl w:val="nil"/>
            </w:tcBorders>
            <w:shd w:val="clear" w:color="auto" w:fill="auto"/>
            <w:vAlign w:val="center"/>
          </w:tcPr>
          <w:p w14:paraId="1E8DB967">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污水排放口</w:t>
            </w:r>
          </w:p>
        </w:tc>
        <w:tc>
          <w:tcPr>
            <w:tcW w:w="993" w:type="dxa"/>
            <w:tcBorders>
              <w:tl2br w:val="nil"/>
              <w:tr2bl w:val="nil"/>
            </w:tcBorders>
            <w:shd w:val="clear" w:color="auto" w:fill="auto"/>
            <w:vAlign w:val="center"/>
          </w:tcPr>
          <w:p w14:paraId="31362172">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水温</w:t>
            </w:r>
          </w:p>
        </w:tc>
        <w:tc>
          <w:tcPr>
            <w:tcW w:w="636" w:type="dxa"/>
            <w:tcBorders>
              <w:tl2br w:val="nil"/>
              <w:tr2bl w:val="nil"/>
            </w:tcBorders>
            <w:shd w:val="clear" w:color="auto" w:fill="auto"/>
            <w:vAlign w:val="center"/>
          </w:tcPr>
          <w:p w14:paraId="05453F02">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自动</w:t>
            </w:r>
          </w:p>
        </w:tc>
        <w:tc>
          <w:tcPr>
            <w:tcW w:w="1859" w:type="dxa"/>
            <w:tcBorders>
              <w:tl2br w:val="nil"/>
              <w:tr2bl w:val="nil"/>
            </w:tcBorders>
            <w:shd w:val="clear" w:color="auto" w:fill="auto"/>
            <w:vAlign w:val="center"/>
          </w:tcPr>
          <w:p w14:paraId="60B24468">
            <w:pPr>
              <w:jc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w:t>
            </w:r>
          </w:p>
        </w:tc>
        <w:tc>
          <w:tcPr>
            <w:tcW w:w="1103" w:type="dxa"/>
            <w:tcBorders>
              <w:tl2br w:val="nil"/>
              <w:tr2bl w:val="nil"/>
            </w:tcBorders>
            <w:shd w:val="clear" w:color="auto" w:fill="auto"/>
            <w:vAlign w:val="center"/>
          </w:tcPr>
          <w:p w14:paraId="5C16F6D1">
            <w:pPr>
              <w:jc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w:t>
            </w:r>
          </w:p>
        </w:tc>
        <w:tc>
          <w:tcPr>
            <w:tcW w:w="1172" w:type="dxa"/>
            <w:tcBorders>
              <w:tl2br w:val="nil"/>
              <w:tr2bl w:val="nil"/>
            </w:tcBorders>
            <w:shd w:val="clear" w:color="auto" w:fill="auto"/>
            <w:vAlign w:val="center"/>
          </w:tcPr>
          <w:p w14:paraId="03F862B3">
            <w:pPr>
              <w:jc w:val="center"/>
              <w:rPr>
                <w:rFonts w:ascii="宋体" w:hAnsi="宋体" w:eastAsia="宋体" w:cs="宋体"/>
                <w:color w:val="auto"/>
                <w:kern w:val="0"/>
                <w:sz w:val="20"/>
                <w:szCs w:val="20"/>
                <w:highlight w:val="none"/>
              </w:rPr>
            </w:pPr>
            <w:r>
              <w:rPr>
                <w:rFonts w:hint="eastAsia" w:ascii="宋体" w:hAnsi="宋体" w:eastAsia="宋体" w:cs="宋体"/>
                <w:color w:val="auto"/>
                <w:sz w:val="20"/>
                <w:szCs w:val="20"/>
                <w:highlight w:val="none"/>
                <w:lang w:val="en-US" w:eastAsia="zh-CN"/>
              </w:rPr>
              <w:t>/</w:t>
            </w:r>
          </w:p>
        </w:tc>
        <w:tc>
          <w:tcPr>
            <w:tcW w:w="559" w:type="dxa"/>
            <w:tcBorders>
              <w:tl2br w:val="nil"/>
              <w:tr2bl w:val="nil"/>
            </w:tcBorders>
            <w:shd w:val="clear" w:color="auto" w:fill="auto"/>
            <w:vAlign w:val="center"/>
          </w:tcPr>
          <w:p w14:paraId="6B692374">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是</w:t>
            </w:r>
          </w:p>
        </w:tc>
        <w:tc>
          <w:tcPr>
            <w:tcW w:w="1108" w:type="dxa"/>
            <w:tcBorders>
              <w:tl2br w:val="nil"/>
              <w:tr2bl w:val="nil"/>
            </w:tcBorders>
            <w:shd w:val="clear" w:color="auto" w:fill="auto"/>
            <w:vAlign w:val="center"/>
          </w:tcPr>
          <w:p w14:paraId="7299604C">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
              </w:rPr>
              <w:t>pH</w:t>
            </w:r>
            <w:r>
              <w:rPr>
                <w:rFonts w:hint="eastAsia" w:ascii="宋体" w:hAnsi="宋体" w:eastAsia="宋体" w:cs="宋体"/>
                <w:color w:val="auto"/>
                <w:kern w:val="0"/>
                <w:sz w:val="20"/>
                <w:szCs w:val="20"/>
                <w:highlight w:val="none"/>
                <w:lang w:bidi="ar"/>
              </w:rPr>
              <w:t>/T在线监测设备</w:t>
            </w:r>
          </w:p>
        </w:tc>
        <w:tc>
          <w:tcPr>
            <w:tcW w:w="990" w:type="dxa"/>
            <w:tcBorders>
              <w:tl2br w:val="nil"/>
              <w:tr2bl w:val="nil"/>
            </w:tcBorders>
            <w:shd w:val="clear" w:color="auto" w:fill="auto"/>
            <w:vAlign w:val="center"/>
          </w:tcPr>
          <w:p w14:paraId="11EF61EF">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出</w:t>
            </w:r>
            <w:r>
              <w:rPr>
                <w:rStyle w:val="35"/>
                <w:rFonts w:hint="default"/>
                <w:color w:val="auto"/>
                <w:sz w:val="20"/>
                <w:szCs w:val="20"/>
                <w:highlight w:val="none"/>
              </w:rPr>
              <w:t>水仪表小屋</w:t>
            </w:r>
          </w:p>
        </w:tc>
        <w:tc>
          <w:tcPr>
            <w:tcW w:w="1155" w:type="dxa"/>
            <w:tcBorders>
              <w:tl2br w:val="nil"/>
              <w:tr2bl w:val="nil"/>
            </w:tcBorders>
            <w:shd w:val="clear" w:color="auto" w:fill="auto"/>
            <w:vAlign w:val="center"/>
          </w:tcPr>
          <w:p w14:paraId="4F2B84BC">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是</w:t>
            </w:r>
          </w:p>
        </w:tc>
        <w:tc>
          <w:tcPr>
            <w:tcW w:w="1452" w:type="dxa"/>
            <w:tcBorders>
              <w:tl2br w:val="nil"/>
              <w:tr2bl w:val="nil"/>
            </w:tcBorders>
            <w:shd w:val="clear" w:color="auto" w:fill="auto"/>
            <w:vAlign w:val="center"/>
          </w:tcPr>
          <w:p w14:paraId="02DD8287">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w:t>
            </w:r>
          </w:p>
        </w:tc>
        <w:tc>
          <w:tcPr>
            <w:tcW w:w="738" w:type="dxa"/>
            <w:tcBorders>
              <w:tl2br w:val="nil"/>
              <w:tr2bl w:val="nil"/>
            </w:tcBorders>
            <w:shd w:val="clear" w:color="auto" w:fill="auto"/>
            <w:vAlign w:val="center"/>
          </w:tcPr>
          <w:p w14:paraId="056622BB">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w:t>
            </w:r>
          </w:p>
        </w:tc>
        <w:tc>
          <w:tcPr>
            <w:tcW w:w="1666" w:type="dxa"/>
            <w:tcBorders>
              <w:tl2br w:val="nil"/>
              <w:tr2bl w:val="nil"/>
            </w:tcBorders>
            <w:shd w:val="clear" w:color="auto" w:fill="auto"/>
            <w:vAlign w:val="center"/>
          </w:tcPr>
          <w:p w14:paraId="67429F61">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w:t>
            </w:r>
          </w:p>
        </w:tc>
        <w:tc>
          <w:tcPr>
            <w:tcW w:w="1080" w:type="dxa"/>
            <w:tcBorders>
              <w:tl2br w:val="nil"/>
              <w:tr2bl w:val="nil"/>
            </w:tcBorders>
            <w:shd w:val="clear" w:color="auto" w:fill="auto"/>
            <w:vAlign w:val="center"/>
          </w:tcPr>
          <w:p w14:paraId="27859423">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w:t>
            </w:r>
          </w:p>
        </w:tc>
        <w:tc>
          <w:tcPr>
            <w:tcW w:w="1275" w:type="dxa"/>
            <w:tcBorders>
              <w:tl2br w:val="nil"/>
              <w:tr2bl w:val="nil"/>
            </w:tcBorders>
            <w:shd w:val="clear" w:color="auto" w:fill="auto"/>
            <w:vAlign w:val="center"/>
          </w:tcPr>
          <w:p w14:paraId="0125D74A">
            <w:pPr>
              <w:adjustRightInd w:val="0"/>
              <w:snapToGrid w:val="0"/>
              <w:spacing w:beforeLines="80"/>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w:t>
            </w:r>
          </w:p>
        </w:tc>
        <w:tc>
          <w:tcPr>
            <w:tcW w:w="1620" w:type="dxa"/>
            <w:tcBorders>
              <w:tl2br w:val="nil"/>
              <w:tr2bl w:val="nil"/>
            </w:tcBorders>
            <w:shd w:val="clear" w:color="auto" w:fill="auto"/>
            <w:vAlign w:val="center"/>
          </w:tcPr>
          <w:p w14:paraId="2BDB3DFD">
            <w:pPr>
              <w:adjustRightInd w:val="0"/>
              <w:snapToGrid w:val="0"/>
              <w:spacing w:beforeLines="80"/>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自动监测设备出现故障时开展手工监测，</w:t>
            </w:r>
            <w:r>
              <w:rPr>
                <w:rFonts w:hint="eastAsia" w:ascii="宋体" w:hAnsi="宋体" w:eastAsia="宋体" w:cs="宋体"/>
                <w:color w:val="auto"/>
                <w:kern w:val="0"/>
                <w:sz w:val="20"/>
                <w:szCs w:val="20"/>
                <w:highlight w:val="none"/>
                <w:lang w:eastAsia="zh-CN"/>
              </w:rPr>
              <w:t>每6小时</w:t>
            </w:r>
            <w:r>
              <w:rPr>
                <w:rFonts w:hint="eastAsia" w:ascii="宋体" w:hAnsi="宋体" w:eastAsia="宋体" w:cs="宋体"/>
                <w:color w:val="auto"/>
                <w:kern w:val="0"/>
                <w:sz w:val="20"/>
                <w:szCs w:val="20"/>
                <w:highlight w:val="none"/>
              </w:rPr>
              <w:t>监测一次</w:t>
            </w:r>
          </w:p>
        </w:tc>
      </w:tr>
      <w:tr w14:paraId="1AA2905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079" w:hRule="atLeast"/>
        </w:trPr>
        <w:tc>
          <w:tcPr>
            <w:tcW w:w="525" w:type="dxa"/>
            <w:tcBorders>
              <w:tl2br w:val="nil"/>
              <w:tr2bl w:val="nil"/>
            </w:tcBorders>
            <w:shd w:val="clear" w:color="auto" w:fill="auto"/>
            <w:vAlign w:val="center"/>
          </w:tcPr>
          <w:p w14:paraId="7DBCF6A4">
            <w:pPr>
              <w:widowControl/>
              <w:jc w:val="center"/>
              <w:textAlignment w:val="center"/>
              <w:rPr>
                <w:rFonts w:ascii="宋体" w:hAnsi="宋体" w:eastAsia="宋体" w:cs="宋体"/>
                <w:color w:val="auto"/>
                <w:sz w:val="20"/>
                <w:szCs w:val="20"/>
                <w:highlight w:val="none"/>
              </w:rPr>
            </w:pPr>
            <w:r>
              <w:rPr>
                <w:rFonts w:ascii="宋体" w:hAnsi="宋体" w:eastAsia="宋体" w:cs="宋体"/>
                <w:color w:val="auto"/>
                <w:kern w:val="0"/>
                <w:sz w:val="20"/>
                <w:szCs w:val="20"/>
                <w:highlight w:val="none"/>
              </w:rPr>
              <w:t>8</w:t>
            </w:r>
          </w:p>
        </w:tc>
        <w:tc>
          <w:tcPr>
            <w:tcW w:w="844" w:type="dxa"/>
            <w:tcBorders>
              <w:tl2br w:val="nil"/>
              <w:tr2bl w:val="nil"/>
            </w:tcBorders>
            <w:shd w:val="clear" w:color="auto" w:fill="auto"/>
            <w:vAlign w:val="center"/>
          </w:tcPr>
          <w:p w14:paraId="7BF010B9">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废水</w:t>
            </w:r>
          </w:p>
        </w:tc>
        <w:tc>
          <w:tcPr>
            <w:tcW w:w="900" w:type="dxa"/>
            <w:tcBorders>
              <w:tl2br w:val="nil"/>
              <w:tr2bl w:val="nil"/>
            </w:tcBorders>
            <w:shd w:val="clear" w:color="auto" w:fill="auto"/>
            <w:vAlign w:val="center"/>
          </w:tcPr>
          <w:p w14:paraId="2B35610C">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DW001</w:t>
            </w:r>
          </w:p>
        </w:tc>
        <w:tc>
          <w:tcPr>
            <w:tcW w:w="1125" w:type="dxa"/>
            <w:tcBorders>
              <w:tl2br w:val="nil"/>
              <w:tr2bl w:val="nil"/>
            </w:tcBorders>
            <w:shd w:val="clear" w:color="auto" w:fill="auto"/>
            <w:vAlign w:val="center"/>
          </w:tcPr>
          <w:p w14:paraId="60B4CA82">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污水排放口</w:t>
            </w:r>
          </w:p>
        </w:tc>
        <w:tc>
          <w:tcPr>
            <w:tcW w:w="993" w:type="dxa"/>
            <w:tcBorders>
              <w:tl2br w:val="nil"/>
              <w:tr2bl w:val="nil"/>
            </w:tcBorders>
            <w:shd w:val="clear" w:color="auto" w:fill="auto"/>
            <w:vAlign w:val="center"/>
          </w:tcPr>
          <w:p w14:paraId="4BA2F85D">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色度</w:t>
            </w:r>
            <w:r>
              <w:rPr>
                <w:rFonts w:hint="eastAsia" w:ascii="宋体" w:hAnsi="宋体" w:eastAsia="宋体" w:cs="宋体"/>
                <w:color w:val="auto"/>
                <w:sz w:val="20"/>
                <w:szCs w:val="20"/>
                <w:highlight w:val="none"/>
              </w:rPr>
              <w:t>（稀释倍数）</w:t>
            </w:r>
          </w:p>
        </w:tc>
        <w:tc>
          <w:tcPr>
            <w:tcW w:w="636" w:type="dxa"/>
            <w:tcBorders>
              <w:tl2br w:val="nil"/>
              <w:tr2bl w:val="nil"/>
            </w:tcBorders>
            <w:shd w:val="clear" w:color="auto" w:fill="auto"/>
            <w:vAlign w:val="center"/>
          </w:tcPr>
          <w:p w14:paraId="7F28C7C3">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手工</w:t>
            </w:r>
          </w:p>
        </w:tc>
        <w:tc>
          <w:tcPr>
            <w:tcW w:w="1859" w:type="dxa"/>
            <w:tcBorders>
              <w:tl2br w:val="nil"/>
              <w:tr2bl w:val="nil"/>
            </w:tcBorders>
            <w:shd w:val="clear" w:color="auto" w:fill="auto"/>
            <w:vAlign w:val="center"/>
          </w:tcPr>
          <w:p w14:paraId="5A94A762">
            <w:pP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《城镇污水处理厂污染物排放标准》（GB18918-2002）一级A标准排放</w:t>
            </w:r>
          </w:p>
        </w:tc>
        <w:tc>
          <w:tcPr>
            <w:tcW w:w="1103" w:type="dxa"/>
            <w:tcBorders>
              <w:tl2br w:val="nil"/>
              <w:tr2bl w:val="nil"/>
            </w:tcBorders>
            <w:shd w:val="clear" w:color="auto" w:fill="auto"/>
            <w:vAlign w:val="center"/>
          </w:tcPr>
          <w:p w14:paraId="6B7ED803">
            <w:pP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≤30倍</w:t>
            </w:r>
          </w:p>
        </w:tc>
        <w:tc>
          <w:tcPr>
            <w:tcW w:w="1172" w:type="dxa"/>
            <w:tcBorders>
              <w:tl2br w:val="nil"/>
              <w:tr2bl w:val="nil"/>
            </w:tcBorders>
            <w:shd w:val="clear" w:color="auto" w:fill="auto"/>
            <w:vAlign w:val="center"/>
          </w:tcPr>
          <w:p w14:paraId="15C2AD93">
            <w:pP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2倍</w:t>
            </w:r>
          </w:p>
        </w:tc>
        <w:tc>
          <w:tcPr>
            <w:tcW w:w="559" w:type="dxa"/>
            <w:tcBorders>
              <w:tl2br w:val="nil"/>
              <w:tr2bl w:val="nil"/>
            </w:tcBorders>
            <w:shd w:val="clear" w:color="auto" w:fill="auto"/>
            <w:vAlign w:val="center"/>
          </w:tcPr>
          <w:p w14:paraId="531501D9">
            <w:pPr>
              <w:jc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w:t>
            </w:r>
          </w:p>
        </w:tc>
        <w:tc>
          <w:tcPr>
            <w:tcW w:w="1108" w:type="dxa"/>
            <w:tcBorders>
              <w:tl2br w:val="nil"/>
              <w:tr2bl w:val="nil"/>
            </w:tcBorders>
            <w:shd w:val="clear" w:color="auto" w:fill="auto"/>
            <w:vAlign w:val="center"/>
          </w:tcPr>
          <w:p w14:paraId="602AE8C7">
            <w:pPr>
              <w:jc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w:t>
            </w:r>
          </w:p>
        </w:tc>
        <w:tc>
          <w:tcPr>
            <w:tcW w:w="990" w:type="dxa"/>
            <w:tcBorders>
              <w:tl2br w:val="nil"/>
              <w:tr2bl w:val="nil"/>
            </w:tcBorders>
            <w:shd w:val="clear" w:color="auto" w:fill="auto"/>
            <w:vAlign w:val="center"/>
          </w:tcPr>
          <w:p w14:paraId="4422A9BE">
            <w:pPr>
              <w:jc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w:t>
            </w:r>
          </w:p>
        </w:tc>
        <w:tc>
          <w:tcPr>
            <w:tcW w:w="1155" w:type="dxa"/>
            <w:tcBorders>
              <w:tl2br w:val="nil"/>
              <w:tr2bl w:val="nil"/>
            </w:tcBorders>
            <w:shd w:val="clear" w:color="auto" w:fill="auto"/>
            <w:vAlign w:val="center"/>
          </w:tcPr>
          <w:p w14:paraId="242E3663">
            <w:pPr>
              <w:jc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w:t>
            </w:r>
          </w:p>
        </w:tc>
        <w:tc>
          <w:tcPr>
            <w:tcW w:w="1452" w:type="dxa"/>
            <w:tcBorders>
              <w:tl2br w:val="nil"/>
              <w:tr2bl w:val="nil"/>
            </w:tcBorders>
            <w:shd w:val="clear" w:color="auto" w:fill="auto"/>
            <w:vAlign w:val="center"/>
          </w:tcPr>
          <w:p w14:paraId="155C43D3">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xml:space="preserve">瞬时采样 </w:t>
            </w:r>
          </w:p>
          <w:p w14:paraId="666C0FA6">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3个瞬时样</w:t>
            </w:r>
          </w:p>
        </w:tc>
        <w:tc>
          <w:tcPr>
            <w:tcW w:w="738" w:type="dxa"/>
            <w:tcBorders>
              <w:tl2br w:val="nil"/>
              <w:tr2bl w:val="nil"/>
            </w:tcBorders>
            <w:shd w:val="clear" w:color="auto" w:fill="auto"/>
            <w:vAlign w:val="center"/>
          </w:tcPr>
          <w:p w14:paraId="6589BB3C">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1次/月</w:t>
            </w:r>
          </w:p>
        </w:tc>
        <w:tc>
          <w:tcPr>
            <w:tcW w:w="1666" w:type="dxa"/>
            <w:tcBorders>
              <w:tl2br w:val="nil"/>
              <w:tr2bl w:val="nil"/>
            </w:tcBorders>
            <w:shd w:val="clear" w:color="auto" w:fill="auto"/>
            <w:vAlign w:val="center"/>
          </w:tcPr>
          <w:p w14:paraId="790D2ED2">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《水质 色度的测定》</w:t>
            </w:r>
          </w:p>
          <w:p w14:paraId="389E50D4">
            <w:pPr>
              <w:widowControl/>
              <w:jc w:val="center"/>
              <w:textAlignment w:val="center"/>
              <w:rPr>
                <w:rFonts w:ascii="宋体" w:hAnsi="宋体" w:eastAsia="宋体" w:cs="宋体"/>
                <w:color w:val="auto"/>
                <w:sz w:val="20"/>
                <w:szCs w:val="20"/>
                <w:highlight w:val="none"/>
              </w:rPr>
            </w:pPr>
            <w:r>
              <w:rPr>
                <w:rStyle w:val="32"/>
                <w:rFonts w:hint="eastAsia" w:ascii="宋体" w:hAnsi="宋体" w:eastAsia="宋体" w:cs="宋体"/>
                <w:color w:val="auto"/>
                <w:sz w:val="20"/>
                <w:szCs w:val="20"/>
                <w:highlight w:val="none"/>
              </w:rPr>
              <w:t xml:space="preserve"> HJ 1182-2021</w:t>
            </w:r>
          </w:p>
        </w:tc>
        <w:tc>
          <w:tcPr>
            <w:tcW w:w="1080" w:type="dxa"/>
            <w:tcBorders>
              <w:tl2br w:val="nil"/>
              <w:tr2bl w:val="nil"/>
            </w:tcBorders>
            <w:shd w:val="clear" w:color="auto" w:fill="auto"/>
            <w:vAlign w:val="center"/>
          </w:tcPr>
          <w:p w14:paraId="6E8B2AF5">
            <w:pPr>
              <w:widowControl/>
              <w:jc w:val="center"/>
              <w:textAlignment w:val="center"/>
              <w:rPr>
                <w:rStyle w:val="32"/>
                <w:rFonts w:ascii="宋体" w:hAnsi="宋体" w:eastAsia="宋体" w:cs="宋体"/>
                <w:color w:val="auto"/>
                <w:sz w:val="20"/>
                <w:szCs w:val="20"/>
                <w:highlight w:val="none"/>
              </w:rPr>
            </w:pPr>
            <w:r>
              <w:rPr>
                <w:rStyle w:val="32"/>
                <w:rFonts w:hint="eastAsia" w:ascii="宋体" w:hAnsi="宋体" w:eastAsia="宋体" w:cs="宋体"/>
                <w:color w:val="auto"/>
                <w:sz w:val="20"/>
                <w:szCs w:val="20"/>
                <w:highlight w:val="none"/>
              </w:rPr>
              <w:t>比色管</w:t>
            </w:r>
          </w:p>
        </w:tc>
        <w:tc>
          <w:tcPr>
            <w:tcW w:w="1275" w:type="dxa"/>
            <w:tcBorders>
              <w:tl2br w:val="nil"/>
              <w:tr2bl w:val="nil"/>
            </w:tcBorders>
            <w:shd w:val="clear" w:color="auto" w:fill="auto"/>
            <w:vAlign w:val="center"/>
          </w:tcPr>
          <w:p w14:paraId="5C6A6A67">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w:t>
            </w:r>
          </w:p>
        </w:tc>
        <w:tc>
          <w:tcPr>
            <w:tcW w:w="1620" w:type="dxa"/>
            <w:tcBorders>
              <w:tl2br w:val="nil"/>
              <w:tr2bl w:val="nil"/>
            </w:tcBorders>
            <w:shd w:val="clear" w:color="auto" w:fill="auto"/>
            <w:vAlign w:val="center"/>
          </w:tcPr>
          <w:p w14:paraId="78BDF449">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w:t>
            </w:r>
          </w:p>
        </w:tc>
      </w:tr>
      <w:tr w14:paraId="26D33C2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056" w:hRule="atLeast"/>
        </w:trPr>
        <w:tc>
          <w:tcPr>
            <w:tcW w:w="525" w:type="dxa"/>
            <w:tcBorders>
              <w:tl2br w:val="nil"/>
              <w:tr2bl w:val="nil"/>
            </w:tcBorders>
            <w:shd w:val="clear" w:color="auto" w:fill="auto"/>
            <w:vAlign w:val="center"/>
          </w:tcPr>
          <w:p w14:paraId="77AA3A0B">
            <w:pPr>
              <w:widowControl/>
              <w:jc w:val="center"/>
              <w:textAlignment w:val="center"/>
              <w:rPr>
                <w:rFonts w:ascii="宋体" w:hAnsi="宋体" w:eastAsia="宋体" w:cs="宋体"/>
                <w:color w:val="auto"/>
                <w:sz w:val="20"/>
                <w:szCs w:val="20"/>
                <w:highlight w:val="none"/>
              </w:rPr>
            </w:pPr>
            <w:r>
              <w:rPr>
                <w:rFonts w:ascii="宋体" w:hAnsi="宋体" w:eastAsia="宋体" w:cs="宋体"/>
                <w:color w:val="auto"/>
                <w:kern w:val="0"/>
                <w:sz w:val="20"/>
                <w:szCs w:val="20"/>
                <w:highlight w:val="none"/>
              </w:rPr>
              <w:t>9</w:t>
            </w:r>
          </w:p>
        </w:tc>
        <w:tc>
          <w:tcPr>
            <w:tcW w:w="844" w:type="dxa"/>
            <w:tcBorders>
              <w:tl2br w:val="nil"/>
              <w:tr2bl w:val="nil"/>
            </w:tcBorders>
            <w:shd w:val="clear" w:color="auto" w:fill="auto"/>
            <w:vAlign w:val="center"/>
          </w:tcPr>
          <w:p w14:paraId="3A33E2F1">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废水</w:t>
            </w:r>
          </w:p>
        </w:tc>
        <w:tc>
          <w:tcPr>
            <w:tcW w:w="900" w:type="dxa"/>
            <w:tcBorders>
              <w:tl2br w:val="nil"/>
              <w:tr2bl w:val="nil"/>
            </w:tcBorders>
            <w:shd w:val="clear" w:color="auto" w:fill="auto"/>
            <w:vAlign w:val="center"/>
          </w:tcPr>
          <w:p w14:paraId="1AA642C2">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DW001</w:t>
            </w:r>
          </w:p>
        </w:tc>
        <w:tc>
          <w:tcPr>
            <w:tcW w:w="1125" w:type="dxa"/>
            <w:tcBorders>
              <w:tl2br w:val="nil"/>
              <w:tr2bl w:val="nil"/>
            </w:tcBorders>
            <w:shd w:val="clear" w:color="auto" w:fill="auto"/>
            <w:vAlign w:val="center"/>
          </w:tcPr>
          <w:p w14:paraId="32A0751E">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污水排放口</w:t>
            </w:r>
          </w:p>
        </w:tc>
        <w:tc>
          <w:tcPr>
            <w:tcW w:w="993" w:type="dxa"/>
            <w:tcBorders>
              <w:tl2br w:val="nil"/>
              <w:tr2bl w:val="nil"/>
            </w:tcBorders>
            <w:shd w:val="clear" w:color="auto" w:fill="auto"/>
            <w:vAlign w:val="center"/>
          </w:tcPr>
          <w:p w14:paraId="39281874">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悬浮物</w:t>
            </w:r>
          </w:p>
        </w:tc>
        <w:tc>
          <w:tcPr>
            <w:tcW w:w="636" w:type="dxa"/>
            <w:tcBorders>
              <w:tl2br w:val="nil"/>
              <w:tr2bl w:val="nil"/>
            </w:tcBorders>
            <w:shd w:val="clear" w:color="auto" w:fill="auto"/>
            <w:vAlign w:val="center"/>
          </w:tcPr>
          <w:p w14:paraId="22EB319E">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手工</w:t>
            </w:r>
          </w:p>
        </w:tc>
        <w:tc>
          <w:tcPr>
            <w:tcW w:w="1859" w:type="dxa"/>
            <w:tcBorders>
              <w:tl2br w:val="nil"/>
              <w:tr2bl w:val="nil"/>
            </w:tcBorders>
            <w:shd w:val="clear" w:color="auto" w:fill="auto"/>
            <w:vAlign w:val="center"/>
          </w:tcPr>
          <w:p w14:paraId="659D841C">
            <w:pP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《城镇污水处理厂污染物排放标准》（GB18918-2002）一级A标准排放</w:t>
            </w:r>
          </w:p>
        </w:tc>
        <w:tc>
          <w:tcPr>
            <w:tcW w:w="1103" w:type="dxa"/>
            <w:tcBorders>
              <w:tl2br w:val="nil"/>
              <w:tr2bl w:val="nil"/>
            </w:tcBorders>
            <w:shd w:val="clear" w:color="auto" w:fill="auto"/>
            <w:vAlign w:val="center"/>
          </w:tcPr>
          <w:p w14:paraId="36C0AA12">
            <w:pP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≤10mg/L</w:t>
            </w:r>
          </w:p>
        </w:tc>
        <w:tc>
          <w:tcPr>
            <w:tcW w:w="1172" w:type="dxa"/>
            <w:tcBorders>
              <w:tl2br w:val="nil"/>
              <w:tr2bl w:val="nil"/>
            </w:tcBorders>
            <w:shd w:val="clear" w:color="auto" w:fill="auto"/>
            <w:vAlign w:val="center"/>
          </w:tcPr>
          <w:p w14:paraId="7155149A">
            <w:pP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5</w:t>
            </w:r>
            <w:r>
              <w:rPr>
                <w:rFonts w:ascii="宋体" w:hAnsi="宋体" w:eastAsia="宋体" w:cs="宋体"/>
                <w:color w:val="auto"/>
                <w:sz w:val="20"/>
                <w:szCs w:val="20"/>
                <w:highlight w:val="none"/>
              </w:rPr>
              <w:t>mg/L</w:t>
            </w:r>
          </w:p>
        </w:tc>
        <w:tc>
          <w:tcPr>
            <w:tcW w:w="559" w:type="dxa"/>
            <w:tcBorders>
              <w:tl2br w:val="nil"/>
              <w:tr2bl w:val="nil"/>
            </w:tcBorders>
            <w:shd w:val="clear" w:color="auto" w:fill="auto"/>
            <w:vAlign w:val="center"/>
          </w:tcPr>
          <w:p w14:paraId="133B868D">
            <w:pPr>
              <w:jc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w:t>
            </w:r>
          </w:p>
        </w:tc>
        <w:tc>
          <w:tcPr>
            <w:tcW w:w="1108" w:type="dxa"/>
            <w:tcBorders>
              <w:tl2br w:val="nil"/>
              <w:tr2bl w:val="nil"/>
            </w:tcBorders>
            <w:shd w:val="clear" w:color="auto" w:fill="auto"/>
            <w:vAlign w:val="center"/>
          </w:tcPr>
          <w:p w14:paraId="0EAE702D">
            <w:pPr>
              <w:jc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w:t>
            </w:r>
          </w:p>
        </w:tc>
        <w:tc>
          <w:tcPr>
            <w:tcW w:w="990" w:type="dxa"/>
            <w:tcBorders>
              <w:tl2br w:val="nil"/>
              <w:tr2bl w:val="nil"/>
            </w:tcBorders>
            <w:shd w:val="clear" w:color="auto" w:fill="auto"/>
            <w:vAlign w:val="center"/>
          </w:tcPr>
          <w:p w14:paraId="394A4FE6">
            <w:pPr>
              <w:jc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w:t>
            </w:r>
          </w:p>
        </w:tc>
        <w:tc>
          <w:tcPr>
            <w:tcW w:w="1155" w:type="dxa"/>
            <w:tcBorders>
              <w:tl2br w:val="nil"/>
              <w:tr2bl w:val="nil"/>
            </w:tcBorders>
            <w:shd w:val="clear" w:color="auto" w:fill="auto"/>
            <w:vAlign w:val="center"/>
          </w:tcPr>
          <w:p w14:paraId="46C59DF4">
            <w:pPr>
              <w:jc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w:t>
            </w:r>
          </w:p>
        </w:tc>
        <w:tc>
          <w:tcPr>
            <w:tcW w:w="1452" w:type="dxa"/>
            <w:tcBorders>
              <w:tl2br w:val="nil"/>
              <w:tr2bl w:val="nil"/>
            </w:tcBorders>
            <w:shd w:val="clear" w:color="auto" w:fill="auto"/>
            <w:vAlign w:val="center"/>
          </w:tcPr>
          <w:p w14:paraId="61AC382E">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xml:space="preserve">瞬时采样 </w:t>
            </w:r>
          </w:p>
          <w:p w14:paraId="563F936D">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3个瞬时样</w:t>
            </w:r>
          </w:p>
        </w:tc>
        <w:tc>
          <w:tcPr>
            <w:tcW w:w="738" w:type="dxa"/>
            <w:tcBorders>
              <w:tl2br w:val="nil"/>
              <w:tr2bl w:val="nil"/>
            </w:tcBorders>
            <w:shd w:val="clear" w:color="auto" w:fill="auto"/>
            <w:vAlign w:val="center"/>
          </w:tcPr>
          <w:p w14:paraId="0001F83F">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1次/月</w:t>
            </w:r>
          </w:p>
        </w:tc>
        <w:tc>
          <w:tcPr>
            <w:tcW w:w="1666" w:type="dxa"/>
            <w:tcBorders>
              <w:tl2br w:val="nil"/>
              <w:tr2bl w:val="nil"/>
            </w:tcBorders>
            <w:shd w:val="clear" w:color="auto" w:fill="auto"/>
            <w:vAlign w:val="center"/>
          </w:tcPr>
          <w:p w14:paraId="55A99B4B">
            <w:pPr>
              <w:widowControl/>
              <w:jc w:val="center"/>
              <w:textAlignment w:val="center"/>
              <w:rPr>
                <w:rStyle w:val="32"/>
                <w:rFonts w:ascii="宋体" w:hAnsi="宋体" w:eastAsia="宋体" w:cs="宋体"/>
                <w:color w:val="auto"/>
                <w:sz w:val="20"/>
                <w:szCs w:val="20"/>
                <w:highlight w:val="none"/>
              </w:rPr>
            </w:pPr>
            <w:r>
              <w:rPr>
                <w:rStyle w:val="32"/>
                <w:rFonts w:hint="eastAsia" w:ascii="宋体" w:hAnsi="宋体" w:eastAsia="宋体" w:cs="宋体"/>
                <w:color w:val="auto"/>
                <w:sz w:val="20"/>
                <w:szCs w:val="20"/>
                <w:highlight w:val="none"/>
              </w:rPr>
              <w:t>《</w:t>
            </w:r>
            <w:r>
              <w:rPr>
                <w:rStyle w:val="33"/>
                <w:rFonts w:hint="eastAsia" w:ascii="宋体" w:hAnsi="宋体" w:eastAsia="宋体" w:cs="宋体"/>
                <w:color w:val="auto"/>
                <w:sz w:val="20"/>
                <w:szCs w:val="20"/>
                <w:highlight w:val="none"/>
              </w:rPr>
              <w:t>水质 悬浮物的测定重量法</w:t>
            </w:r>
            <w:r>
              <w:rPr>
                <w:rStyle w:val="32"/>
                <w:rFonts w:hint="eastAsia" w:ascii="宋体" w:hAnsi="宋体" w:eastAsia="宋体" w:cs="宋体"/>
                <w:color w:val="auto"/>
                <w:sz w:val="20"/>
                <w:szCs w:val="20"/>
                <w:highlight w:val="none"/>
              </w:rPr>
              <w:t>》</w:t>
            </w:r>
          </w:p>
          <w:p w14:paraId="3F44C774">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GB</w:t>
            </w:r>
            <w:r>
              <w:rPr>
                <w:rStyle w:val="32"/>
                <w:rFonts w:hint="eastAsia" w:ascii="宋体" w:hAnsi="宋体" w:eastAsia="宋体" w:cs="宋体"/>
                <w:color w:val="auto"/>
                <w:sz w:val="20"/>
                <w:szCs w:val="20"/>
                <w:highlight w:val="none"/>
              </w:rPr>
              <w:t xml:space="preserve">/T 11901-1989 </w:t>
            </w:r>
          </w:p>
        </w:tc>
        <w:tc>
          <w:tcPr>
            <w:tcW w:w="1080" w:type="dxa"/>
            <w:tcBorders>
              <w:tl2br w:val="nil"/>
              <w:tr2bl w:val="nil"/>
            </w:tcBorders>
            <w:shd w:val="clear" w:color="auto" w:fill="auto"/>
            <w:vAlign w:val="center"/>
          </w:tcPr>
          <w:p w14:paraId="193B7C54">
            <w:pPr>
              <w:widowControl/>
              <w:jc w:val="center"/>
              <w:textAlignment w:val="center"/>
              <w:rPr>
                <w:rFonts w:hint="eastAsia" w:ascii="宋体" w:hAnsi="宋体" w:eastAsia="宋体" w:cs="宋体"/>
                <w:color w:val="auto"/>
                <w:kern w:val="0"/>
                <w:sz w:val="20"/>
                <w:szCs w:val="20"/>
                <w:highlight w:val="none"/>
                <w:lang w:eastAsia="zh-CN"/>
              </w:rPr>
            </w:pPr>
            <w:r>
              <w:rPr>
                <w:rStyle w:val="33"/>
                <w:rFonts w:hint="eastAsia" w:ascii="宋体" w:hAnsi="宋体" w:eastAsia="宋体" w:cs="宋体"/>
                <w:color w:val="auto"/>
                <w:sz w:val="20"/>
                <w:szCs w:val="20"/>
                <w:highlight w:val="none"/>
                <w:lang w:eastAsia="zh-CN"/>
              </w:rPr>
              <w:t>万分之一天平</w:t>
            </w:r>
          </w:p>
        </w:tc>
        <w:tc>
          <w:tcPr>
            <w:tcW w:w="1275" w:type="dxa"/>
            <w:tcBorders>
              <w:tl2br w:val="nil"/>
              <w:tr2bl w:val="nil"/>
            </w:tcBorders>
            <w:shd w:val="clear" w:color="auto" w:fill="auto"/>
            <w:vAlign w:val="center"/>
          </w:tcPr>
          <w:p w14:paraId="53AADEBA">
            <w:pPr>
              <w:widowControl/>
              <w:jc w:val="center"/>
              <w:textAlignment w:val="center"/>
              <w:rPr>
                <w:rFonts w:hint="eastAsia" w:ascii="宋体" w:hAnsi="宋体" w:eastAsia="宋体" w:cs="宋体"/>
                <w:color w:val="auto"/>
                <w:sz w:val="20"/>
                <w:szCs w:val="20"/>
                <w:highlight w:val="none"/>
                <w:lang w:eastAsia="zh-CN"/>
              </w:rPr>
            </w:pPr>
            <w:r>
              <w:rPr>
                <w:rStyle w:val="33"/>
                <w:rFonts w:hint="eastAsia" w:ascii="宋体" w:hAnsi="宋体" w:eastAsia="宋体" w:cs="宋体"/>
                <w:color w:val="auto"/>
                <w:sz w:val="20"/>
                <w:szCs w:val="20"/>
                <w:highlight w:val="none"/>
              </w:rPr>
              <w:t>冷藏，避光，</w:t>
            </w:r>
            <w:r>
              <w:rPr>
                <w:rStyle w:val="33"/>
                <w:rFonts w:hint="eastAsia" w:ascii="宋体" w:hAnsi="宋体" w:eastAsia="宋体" w:cs="宋体"/>
                <w:color w:val="auto"/>
                <w:sz w:val="20"/>
                <w:szCs w:val="20"/>
                <w:highlight w:val="none"/>
                <w:lang w:val="en-US" w:eastAsia="zh-CN"/>
              </w:rPr>
              <w:t xml:space="preserve"> </w:t>
            </w:r>
          </w:p>
        </w:tc>
        <w:tc>
          <w:tcPr>
            <w:tcW w:w="1620" w:type="dxa"/>
            <w:tcBorders>
              <w:tl2br w:val="nil"/>
              <w:tr2bl w:val="nil"/>
            </w:tcBorders>
            <w:shd w:val="clear" w:color="auto" w:fill="auto"/>
            <w:vAlign w:val="center"/>
          </w:tcPr>
          <w:p w14:paraId="5023BA51">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w:t>
            </w:r>
          </w:p>
        </w:tc>
      </w:tr>
      <w:tr w14:paraId="1D935B6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838" w:hRule="atLeast"/>
        </w:trPr>
        <w:tc>
          <w:tcPr>
            <w:tcW w:w="525" w:type="dxa"/>
            <w:tcBorders>
              <w:tl2br w:val="nil"/>
              <w:tr2bl w:val="nil"/>
            </w:tcBorders>
            <w:shd w:val="clear" w:color="auto" w:fill="auto"/>
            <w:vAlign w:val="center"/>
          </w:tcPr>
          <w:p w14:paraId="38EE7BC7">
            <w:pPr>
              <w:widowControl/>
              <w:jc w:val="center"/>
              <w:textAlignment w:val="center"/>
              <w:rPr>
                <w:rFonts w:ascii="宋体" w:hAnsi="宋体" w:eastAsia="宋体" w:cs="宋体"/>
                <w:color w:val="auto"/>
                <w:sz w:val="20"/>
                <w:szCs w:val="20"/>
                <w:highlight w:val="none"/>
              </w:rPr>
            </w:pPr>
            <w:r>
              <w:rPr>
                <w:rFonts w:ascii="宋体" w:hAnsi="宋体" w:eastAsia="宋体" w:cs="宋体"/>
                <w:color w:val="auto"/>
                <w:kern w:val="0"/>
                <w:sz w:val="20"/>
                <w:szCs w:val="20"/>
                <w:highlight w:val="none"/>
              </w:rPr>
              <w:t>10</w:t>
            </w:r>
          </w:p>
        </w:tc>
        <w:tc>
          <w:tcPr>
            <w:tcW w:w="844" w:type="dxa"/>
            <w:tcBorders>
              <w:tl2br w:val="nil"/>
              <w:tr2bl w:val="nil"/>
            </w:tcBorders>
            <w:shd w:val="clear" w:color="auto" w:fill="auto"/>
            <w:vAlign w:val="center"/>
          </w:tcPr>
          <w:p w14:paraId="1AE9949B">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废水</w:t>
            </w:r>
          </w:p>
        </w:tc>
        <w:tc>
          <w:tcPr>
            <w:tcW w:w="900" w:type="dxa"/>
            <w:tcBorders>
              <w:tl2br w:val="nil"/>
              <w:tr2bl w:val="nil"/>
            </w:tcBorders>
            <w:shd w:val="clear" w:color="auto" w:fill="auto"/>
            <w:vAlign w:val="center"/>
          </w:tcPr>
          <w:p w14:paraId="4F069561">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DW001</w:t>
            </w:r>
          </w:p>
        </w:tc>
        <w:tc>
          <w:tcPr>
            <w:tcW w:w="1125" w:type="dxa"/>
            <w:tcBorders>
              <w:tl2br w:val="nil"/>
              <w:tr2bl w:val="nil"/>
            </w:tcBorders>
            <w:shd w:val="clear" w:color="auto" w:fill="auto"/>
            <w:vAlign w:val="center"/>
          </w:tcPr>
          <w:p w14:paraId="29961280">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污水排放口</w:t>
            </w:r>
          </w:p>
        </w:tc>
        <w:tc>
          <w:tcPr>
            <w:tcW w:w="993" w:type="dxa"/>
            <w:tcBorders>
              <w:tl2br w:val="nil"/>
              <w:tr2bl w:val="nil"/>
            </w:tcBorders>
            <w:shd w:val="clear" w:color="auto" w:fill="auto"/>
            <w:vAlign w:val="center"/>
          </w:tcPr>
          <w:p w14:paraId="2A789DB2">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五日生化需氧量</w:t>
            </w:r>
          </w:p>
        </w:tc>
        <w:tc>
          <w:tcPr>
            <w:tcW w:w="636" w:type="dxa"/>
            <w:tcBorders>
              <w:tl2br w:val="nil"/>
              <w:tr2bl w:val="nil"/>
            </w:tcBorders>
            <w:shd w:val="clear" w:color="auto" w:fill="auto"/>
            <w:vAlign w:val="center"/>
          </w:tcPr>
          <w:p w14:paraId="57C1218E">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手工</w:t>
            </w:r>
          </w:p>
        </w:tc>
        <w:tc>
          <w:tcPr>
            <w:tcW w:w="1859" w:type="dxa"/>
            <w:tcBorders>
              <w:tl2br w:val="nil"/>
              <w:tr2bl w:val="nil"/>
            </w:tcBorders>
            <w:shd w:val="clear" w:color="auto" w:fill="auto"/>
            <w:vAlign w:val="center"/>
          </w:tcPr>
          <w:p w14:paraId="0D32F91E">
            <w:pP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《城镇污水处理厂污染物排放标准》（GB18918-2002）一级A标准排放</w:t>
            </w:r>
          </w:p>
        </w:tc>
        <w:tc>
          <w:tcPr>
            <w:tcW w:w="1103" w:type="dxa"/>
            <w:tcBorders>
              <w:tl2br w:val="nil"/>
              <w:tr2bl w:val="nil"/>
            </w:tcBorders>
            <w:shd w:val="clear" w:color="auto" w:fill="auto"/>
            <w:vAlign w:val="center"/>
          </w:tcPr>
          <w:p w14:paraId="61084E8D">
            <w:pP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≤10mg/L</w:t>
            </w:r>
          </w:p>
        </w:tc>
        <w:tc>
          <w:tcPr>
            <w:tcW w:w="1172" w:type="dxa"/>
            <w:tcBorders>
              <w:tl2br w:val="nil"/>
              <w:tr2bl w:val="nil"/>
            </w:tcBorders>
            <w:shd w:val="clear" w:color="auto" w:fill="auto"/>
            <w:vAlign w:val="center"/>
          </w:tcPr>
          <w:p w14:paraId="76725C52">
            <w:pP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0.5</w:t>
            </w:r>
            <w:r>
              <w:rPr>
                <w:rFonts w:ascii="宋体" w:hAnsi="宋体" w:eastAsia="宋体" w:cs="宋体"/>
                <w:color w:val="auto"/>
                <w:sz w:val="20"/>
                <w:szCs w:val="20"/>
                <w:highlight w:val="none"/>
              </w:rPr>
              <w:t>mg/L</w:t>
            </w:r>
          </w:p>
        </w:tc>
        <w:tc>
          <w:tcPr>
            <w:tcW w:w="559" w:type="dxa"/>
            <w:tcBorders>
              <w:tl2br w:val="nil"/>
              <w:tr2bl w:val="nil"/>
            </w:tcBorders>
            <w:shd w:val="clear" w:color="auto" w:fill="auto"/>
            <w:vAlign w:val="center"/>
          </w:tcPr>
          <w:p w14:paraId="7F401774">
            <w:pPr>
              <w:jc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w:t>
            </w:r>
          </w:p>
        </w:tc>
        <w:tc>
          <w:tcPr>
            <w:tcW w:w="1108" w:type="dxa"/>
            <w:tcBorders>
              <w:tl2br w:val="nil"/>
              <w:tr2bl w:val="nil"/>
            </w:tcBorders>
            <w:shd w:val="clear" w:color="auto" w:fill="auto"/>
            <w:vAlign w:val="center"/>
          </w:tcPr>
          <w:p w14:paraId="7DF31014">
            <w:pPr>
              <w:jc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w:t>
            </w:r>
          </w:p>
        </w:tc>
        <w:tc>
          <w:tcPr>
            <w:tcW w:w="990" w:type="dxa"/>
            <w:tcBorders>
              <w:tl2br w:val="nil"/>
              <w:tr2bl w:val="nil"/>
            </w:tcBorders>
            <w:shd w:val="clear" w:color="auto" w:fill="auto"/>
            <w:vAlign w:val="center"/>
          </w:tcPr>
          <w:p w14:paraId="405ED2EA">
            <w:pPr>
              <w:jc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w:t>
            </w:r>
          </w:p>
        </w:tc>
        <w:tc>
          <w:tcPr>
            <w:tcW w:w="1155" w:type="dxa"/>
            <w:tcBorders>
              <w:tl2br w:val="nil"/>
              <w:tr2bl w:val="nil"/>
            </w:tcBorders>
            <w:shd w:val="clear" w:color="auto" w:fill="auto"/>
            <w:vAlign w:val="center"/>
          </w:tcPr>
          <w:p w14:paraId="31E7FD3D">
            <w:pPr>
              <w:jc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w:t>
            </w:r>
          </w:p>
        </w:tc>
        <w:tc>
          <w:tcPr>
            <w:tcW w:w="1452" w:type="dxa"/>
            <w:tcBorders>
              <w:tl2br w:val="nil"/>
              <w:tr2bl w:val="nil"/>
            </w:tcBorders>
            <w:shd w:val="clear" w:color="auto" w:fill="auto"/>
            <w:vAlign w:val="center"/>
          </w:tcPr>
          <w:p w14:paraId="7B5A2DA1">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xml:space="preserve">瞬时采样 </w:t>
            </w:r>
          </w:p>
          <w:p w14:paraId="416A0C5D">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 xml:space="preserve">3个瞬时样 </w:t>
            </w:r>
          </w:p>
        </w:tc>
        <w:tc>
          <w:tcPr>
            <w:tcW w:w="738" w:type="dxa"/>
            <w:tcBorders>
              <w:tl2br w:val="nil"/>
              <w:tr2bl w:val="nil"/>
            </w:tcBorders>
            <w:shd w:val="clear" w:color="auto" w:fill="auto"/>
            <w:vAlign w:val="center"/>
          </w:tcPr>
          <w:p w14:paraId="70A8E222">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1次/月</w:t>
            </w:r>
          </w:p>
        </w:tc>
        <w:tc>
          <w:tcPr>
            <w:tcW w:w="1666" w:type="dxa"/>
            <w:tcBorders>
              <w:tl2br w:val="nil"/>
              <w:tr2bl w:val="nil"/>
            </w:tcBorders>
            <w:shd w:val="clear" w:color="auto" w:fill="auto"/>
            <w:vAlign w:val="center"/>
          </w:tcPr>
          <w:p w14:paraId="65247F27">
            <w:pPr>
              <w:widowControl/>
              <w:jc w:val="center"/>
              <w:textAlignment w:val="center"/>
              <w:rPr>
                <w:rStyle w:val="33"/>
                <w:rFonts w:ascii="宋体" w:hAnsi="宋体" w:eastAsia="宋体" w:cs="宋体"/>
                <w:color w:val="auto"/>
                <w:sz w:val="20"/>
                <w:szCs w:val="20"/>
                <w:highlight w:val="none"/>
              </w:rPr>
            </w:pPr>
            <w:r>
              <w:rPr>
                <w:rStyle w:val="33"/>
                <w:rFonts w:hint="eastAsia" w:ascii="宋体" w:hAnsi="宋体" w:eastAsia="宋体" w:cs="宋体"/>
                <w:color w:val="auto"/>
                <w:sz w:val="20"/>
                <w:szCs w:val="20"/>
                <w:highlight w:val="none"/>
              </w:rPr>
              <w:t>《</w:t>
            </w:r>
            <w:r>
              <w:rPr>
                <w:rStyle w:val="34"/>
                <w:rFonts w:hint="default"/>
                <w:color w:val="auto"/>
                <w:sz w:val="20"/>
                <w:szCs w:val="20"/>
                <w:highlight w:val="none"/>
              </w:rPr>
              <w:t>水质 五日生化需氧量</w:t>
            </w:r>
            <w:r>
              <w:rPr>
                <w:rStyle w:val="33"/>
                <w:rFonts w:hint="eastAsia" w:ascii="宋体" w:hAnsi="宋体" w:eastAsia="宋体" w:cs="宋体"/>
                <w:color w:val="auto"/>
                <w:sz w:val="20"/>
                <w:szCs w:val="20"/>
                <w:highlight w:val="none"/>
              </w:rPr>
              <w:t>(BOD5)</w:t>
            </w:r>
            <w:r>
              <w:rPr>
                <w:rStyle w:val="34"/>
                <w:rFonts w:hint="default"/>
                <w:color w:val="auto"/>
                <w:sz w:val="20"/>
                <w:szCs w:val="20"/>
                <w:highlight w:val="none"/>
              </w:rPr>
              <w:t>的测定稀释与接种法</w:t>
            </w:r>
            <w:r>
              <w:rPr>
                <w:rStyle w:val="33"/>
                <w:rFonts w:hint="eastAsia" w:ascii="宋体" w:hAnsi="宋体" w:eastAsia="宋体" w:cs="宋体"/>
                <w:color w:val="auto"/>
                <w:sz w:val="20"/>
                <w:szCs w:val="20"/>
                <w:highlight w:val="none"/>
              </w:rPr>
              <w:t>》</w:t>
            </w:r>
          </w:p>
          <w:p w14:paraId="36CA7C60">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HJ 505-2009</w:t>
            </w:r>
            <w:r>
              <w:rPr>
                <w:rStyle w:val="33"/>
                <w:rFonts w:hint="eastAsia" w:ascii="宋体" w:hAnsi="宋体" w:eastAsia="宋体" w:cs="宋体"/>
                <w:color w:val="auto"/>
                <w:sz w:val="20"/>
                <w:szCs w:val="20"/>
                <w:highlight w:val="none"/>
              </w:rPr>
              <w:t xml:space="preserve"> </w:t>
            </w:r>
          </w:p>
        </w:tc>
        <w:tc>
          <w:tcPr>
            <w:tcW w:w="1080" w:type="dxa"/>
            <w:tcBorders>
              <w:tl2br w:val="nil"/>
              <w:tr2bl w:val="nil"/>
            </w:tcBorders>
            <w:shd w:val="clear" w:color="auto" w:fill="auto"/>
            <w:vAlign w:val="center"/>
          </w:tcPr>
          <w:p w14:paraId="32D0518B">
            <w:pPr>
              <w:widowControl/>
              <w:jc w:val="center"/>
              <w:textAlignment w:val="center"/>
              <w:rPr>
                <w:rFonts w:ascii="宋体" w:hAnsi="宋体" w:eastAsia="宋体" w:cs="宋体"/>
                <w:color w:val="auto"/>
                <w:kern w:val="0"/>
                <w:sz w:val="20"/>
                <w:szCs w:val="20"/>
                <w:highlight w:val="none"/>
              </w:rPr>
            </w:pPr>
            <w:r>
              <w:rPr>
                <w:rStyle w:val="33"/>
                <w:rFonts w:hint="eastAsia" w:ascii="宋体" w:hAnsi="宋体" w:eastAsia="宋体" w:cs="宋体"/>
                <w:color w:val="auto"/>
                <w:sz w:val="20"/>
                <w:szCs w:val="20"/>
                <w:highlight w:val="none"/>
              </w:rPr>
              <w:t>生化培养箱</w:t>
            </w:r>
          </w:p>
        </w:tc>
        <w:tc>
          <w:tcPr>
            <w:tcW w:w="1275" w:type="dxa"/>
            <w:tcBorders>
              <w:tl2br w:val="nil"/>
              <w:tr2bl w:val="nil"/>
            </w:tcBorders>
            <w:shd w:val="clear" w:color="auto" w:fill="auto"/>
            <w:vAlign w:val="center"/>
          </w:tcPr>
          <w:p w14:paraId="6EA0D2AE">
            <w:pPr>
              <w:widowControl/>
              <w:jc w:val="center"/>
              <w:textAlignment w:val="center"/>
              <w:rPr>
                <w:rFonts w:ascii="宋体" w:hAnsi="宋体" w:eastAsia="宋体" w:cs="宋体"/>
                <w:color w:val="auto"/>
                <w:sz w:val="20"/>
                <w:szCs w:val="20"/>
                <w:highlight w:val="none"/>
              </w:rPr>
            </w:pPr>
            <w:r>
              <w:rPr>
                <w:rStyle w:val="33"/>
                <w:rFonts w:hint="eastAsia" w:ascii="宋体" w:hAnsi="宋体" w:eastAsia="宋体" w:cs="宋体"/>
                <w:color w:val="auto"/>
                <w:sz w:val="20"/>
                <w:szCs w:val="20"/>
                <w:highlight w:val="none"/>
              </w:rPr>
              <w:t>冷藏，避光</w:t>
            </w:r>
          </w:p>
        </w:tc>
        <w:tc>
          <w:tcPr>
            <w:tcW w:w="1620" w:type="dxa"/>
            <w:tcBorders>
              <w:tl2br w:val="nil"/>
              <w:tr2bl w:val="nil"/>
            </w:tcBorders>
            <w:shd w:val="clear" w:color="auto" w:fill="auto"/>
            <w:vAlign w:val="center"/>
          </w:tcPr>
          <w:p w14:paraId="30629D00">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w:t>
            </w:r>
          </w:p>
        </w:tc>
      </w:tr>
      <w:tr w14:paraId="647025B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90" w:hRule="atLeast"/>
        </w:trPr>
        <w:tc>
          <w:tcPr>
            <w:tcW w:w="525" w:type="dxa"/>
            <w:tcBorders>
              <w:tl2br w:val="nil"/>
              <w:tr2bl w:val="nil"/>
            </w:tcBorders>
            <w:shd w:val="clear" w:color="auto" w:fill="auto"/>
            <w:vAlign w:val="center"/>
          </w:tcPr>
          <w:p w14:paraId="23A22146">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r>
              <w:rPr>
                <w:rFonts w:ascii="宋体" w:hAnsi="宋体" w:eastAsia="宋体" w:cs="宋体"/>
                <w:color w:val="auto"/>
                <w:kern w:val="0"/>
                <w:sz w:val="20"/>
                <w:szCs w:val="20"/>
                <w:highlight w:val="none"/>
              </w:rPr>
              <w:t>1</w:t>
            </w:r>
          </w:p>
        </w:tc>
        <w:tc>
          <w:tcPr>
            <w:tcW w:w="844" w:type="dxa"/>
            <w:tcBorders>
              <w:tl2br w:val="nil"/>
              <w:tr2bl w:val="nil"/>
            </w:tcBorders>
            <w:shd w:val="clear" w:color="auto" w:fill="auto"/>
            <w:vAlign w:val="center"/>
          </w:tcPr>
          <w:p w14:paraId="52E455FD">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废水</w:t>
            </w:r>
          </w:p>
        </w:tc>
        <w:tc>
          <w:tcPr>
            <w:tcW w:w="900" w:type="dxa"/>
            <w:tcBorders>
              <w:tl2br w:val="nil"/>
              <w:tr2bl w:val="nil"/>
            </w:tcBorders>
            <w:shd w:val="clear" w:color="auto" w:fill="auto"/>
            <w:vAlign w:val="center"/>
          </w:tcPr>
          <w:p w14:paraId="08DC670E">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DW001</w:t>
            </w:r>
          </w:p>
        </w:tc>
        <w:tc>
          <w:tcPr>
            <w:tcW w:w="1125" w:type="dxa"/>
            <w:tcBorders>
              <w:tl2br w:val="nil"/>
              <w:tr2bl w:val="nil"/>
            </w:tcBorders>
            <w:shd w:val="clear" w:color="auto" w:fill="auto"/>
            <w:vAlign w:val="center"/>
          </w:tcPr>
          <w:p w14:paraId="20AF902E">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污水排放口</w:t>
            </w:r>
          </w:p>
        </w:tc>
        <w:tc>
          <w:tcPr>
            <w:tcW w:w="993" w:type="dxa"/>
            <w:tcBorders>
              <w:tl2br w:val="nil"/>
              <w:tr2bl w:val="nil"/>
            </w:tcBorders>
            <w:shd w:val="clear" w:color="auto" w:fill="auto"/>
            <w:vAlign w:val="center"/>
          </w:tcPr>
          <w:p w14:paraId="613C9192">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粪大肠菌群数/（个/L）</w:t>
            </w:r>
          </w:p>
        </w:tc>
        <w:tc>
          <w:tcPr>
            <w:tcW w:w="636" w:type="dxa"/>
            <w:tcBorders>
              <w:tl2br w:val="nil"/>
              <w:tr2bl w:val="nil"/>
            </w:tcBorders>
            <w:shd w:val="clear" w:color="auto" w:fill="auto"/>
            <w:vAlign w:val="center"/>
          </w:tcPr>
          <w:p w14:paraId="387FD839">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手工</w:t>
            </w:r>
          </w:p>
        </w:tc>
        <w:tc>
          <w:tcPr>
            <w:tcW w:w="1859" w:type="dxa"/>
            <w:tcBorders>
              <w:tl2br w:val="nil"/>
              <w:tr2bl w:val="nil"/>
            </w:tcBorders>
            <w:shd w:val="clear" w:color="auto" w:fill="auto"/>
            <w:vAlign w:val="center"/>
          </w:tcPr>
          <w:p w14:paraId="5988EAB7">
            <w:pP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《城镇污水处理厂污染物排放标准》（GB18918-2002）一级A标准排放</w:t>
            </w:r>
          </w:p>
        </w:tc>
        <w:tc>
          <w:tcPr>
            <w:tcW w:w="1103" w:type="dxa"/>
            <w:tcBorders>
              <w:tl2br w:val="nil"/>
              <w:tr2bl w:val="nil"/>
            </w:tcBorders>
            <w:shd w:val="clear" w:color="auto" w:fill="auto"/>
            <w:vAlign w:val="center"/>
          </w:tcPr>
          <w:p w14:paraId="09F1C444">
            <w:pP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≤1000个/L</w:t>
            </w:r>
          </w:p>
        </w:tc>
        <w:tc>
          <w:tcPr>
            <w:tcW w:w="1172" w:type="dxa"/>
            <w:tcBorders>
              <w:tl2br w:val="nil"/>
              <w:tr2bl w:val="nil"/>
            </w:tcBorders>
            <w:shd w:val="clear" w:color="auto" w:fill="auto"/>
            <w:vAlign w:val="center"/>
          </w:tcPr>
          <w:p w14:paraId="6D06382E">
            <w:pP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0</w:t>
            </w:r>
            <w:r>
              <w:rPr>
                <w:rFonts w:hint="eastAsia" w:ascii="宋体" w:hAnsi="宋体" w:eastAsia="宋体" w:cs="宋体"/>
                <w:color w:val="auto"/>
                <w:sz w:val="20"/>
                <w:szCs w:val="20"/>
                <w:highlight w:val="none"/>
                <w:lang w:val="en-US" w:eastAsia="zh-CN"/>
              </w:rPr>
              <w:t>MPN</w:t>
            </w:r>
            <w:r>
              <w:rPr>
                <w:rFonts w:hint="eastAsia" w:ascii="宋体" w:hAnsi="宋体" w:eastAsia="宋体" w:cs="宋体"/>
                <w:color w:val="auto"/>
                <w:sz w:val="20"/>
                <w:szCs w:val="20"/>
                <w:highlight w:val="none"/>
              </w:rPr>
              <w:t>/L</w:t>
            </w:r>
          </w:p>
        </w:tc>
        <w:tc>
          <w:tcPr>
            <w:tcW w:w="559" w:type="dxa"/>
            <w:tcBorders>
              <w:tl2br w:val="nil"/>
              <w:tr2bl w:val="nil"/>
            </w:tcBorders>
            <w:shd w:val="clear" w:color="auto" w:fill="auto"/>
            <w:vAlign w:val="center"/>
          </w:tcPr>
          <w:p w14:paraId="0468E355">
            <w:pPr>
              <w:jc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w:t>
            </w:r>
          </w:p>
        </w:tc>
        <w:tc>
          <w:tcPr>
            <w:tcW w:w="1108" w:type="dxa"/>
            <w:tcBorders>
              <w:tl2br w:val="nil"/>
              <w:tr2bl w:val="nil"/>
            </w:tcBorders>
            <w:shd w:val="clear" w:color="auto" w:fill="auto"/>
            <w:vAlign w:val="center"/>
          </w:tcPr>
          <w:p w14:paraId="574ABC83">
            <w:pPr>
              <w:jc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w:t>
            </w:r>
          </w:p>
        </w:tc>
        <w:tc>
          <w:tcPr>
            <w:tcW w:w="990" w:type="dxa"/>
            <w:tcBorders>
              <w:tl2br w:val="nil"/>
              <w:tr2bl w:val="nil"/>
            </w:tcBorders>
            <w:shd w:val="clear" w:color="auto" w:fill="auto"/>
            <w:vAlign w:val="center"/>
          </w:tcPr>
          <w:p w14:paraId="486EC365">
            <w:pPr>
              <w:jc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w:t>
            </w:r>
          </w:p>
        </w:tc>
        <w:tc>
          <w:tcPr>
            <w:tcW w:w="1155" w:type="dxa"/>
            <w:tcBorders>
              <w:tl2br w:val="nil"/>
              <w:tr2bl w:val="nil"/>
            </w:tcBorders>
            <w:shd w:val="clear" w:color="auto" w:fill="auto"/>
            <w:vAlign w:val="center"/>
          </w:tcPr>
          <w:p w14:paraId="7AC89978">
            <w:pPr>
              <w:jc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w:t>
            </w:r>
          </w:p>
        </w:tc>
        <w:tc>
          <w:tcPr>
            <w:tcW w:w="1452" w:type="dxa"/>
            <w:tcBorders>
              <w:tl2br w:val="nil"/>
              <w:tr2bl w:val="nil"/>
            </w:tcBorders>
            <w:shd w:val="clear" w:color="auto" w:fill="auto"/>
            <w:vAlign w:val="center"/>
          </w:tcPr>
          <w:p w14:paraId="40FB52BE">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xml:space="preserve">瞬时采样 </w:t>
            </w:r>
          </w:p>
          <w:p w14:paraId="77C440F9">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3个瞬时样</w:t>
            </w:r>
          </w:p>
        </w:tc>
        <w:tc>
          <w:tcPr>
            <w:tcW w:w="738" w:type="dxa"/>
            <w:tcBorders>
              <w:tl2br w:val="nil"/>
              <w:tr2bl w:val="nil"/>
            </w:tcBorders>
            <w:shd w:val="clear" w:color="auto" w:fill="auto"/>
            <w:vAlign w:val="center"/>
          </w:tcPr>
          <w:p w14:paraId="5E7E7658">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1次/月</w:t>
            </w:r>
          </w:p>
        </w:tc>
        <w:tc>
          <w:tcPr>
            <w:tcW w:w="1666" w:type="dxa"/>
            <w:tcBorders>
              <w:tl2br w:val="nil"/>
              <w:tr2bl w:val="nil"/>
            </w:tcBorders>
            <w:shd w:val="clear" w:color="auto" w:fill="auto"/>
            <w:vAlign w:val="center"/>
          </w:tcPr>
          <w:p w14:paraId="4C2DB32A">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《水质 粪大肠菌群的测定 多管发酵法》</w:t>
            </w:r>
          </w:p>
          <w:p w14:paraId="68FFCCED">
            <w:pPr>
              <w:widowControl/>
              <w:jc w:val="center"/>
              <w:textAlignment w:val="center"/>
              <w:rPr>
                <w:rStyle w:val="36"/>
                <w:rFonts w:ascii="宋体" w:hAnsi="宋体" w:eastAsia="宋体" w:cs="宋体"/>
                <w:color w:val="auto"/>
                <w:sz w:val="20"/>
                <w:szCs w:val="20"/>
                <w:highlight w:val="none"/>
                <w:lang w:bidi="ar"/>
              </w:rPr>
            </w:pPr>
            <w:r>
              <w:rPr>
                <w:rStyle w:val="36"/>
                <w:rFonts w:hint="eastAsia" w:ascii="宋体" w:hAnsi="宋体" w:eastAsia="宋体" w:cs="宋体"/>
                <w:color w:val="auto"/>
                <w:sz w:val="20"/>
                <w:szCs w:val="20"/>
                <w:highlight w:val="none"/>
                <w:lang w:bidi="ar"/>
              </w:rPr>
              <w:t>HJ 347.2-2018</w:t>
            </w:r>
          </w:p>
          <w:p w14:paraId="680FE067">
            <w:pPr>
              <w:widowControl/>
              <w:jc w:val="center"/>
              <w:textAlignment w:val="center"/>
              <w:rPr>
                <w:rStyle w:val="33"/>
                <w:rFonts w:ascii="宋体" w:hAnsi="宋体" w:eastAsia="宋体" w:cs="宋体"/>
                <w:color w:val="auto"/>
                <w:sz w:val="20"/>
                <w:szCs w:val="20"/>
                <w:highlight w:val="none"/>
              </w:rPr>
            </w:pPr>
          </w:p>
        </w:tc>
        <w:tc>
          <w:tcPr>
            <w:tcW w:w="1080" w:type="dxa"/>
            <w:tcBorders>
              <w:tl2br w:val="nil"/>
              <w:tr2bl w:val="nil"/>
            </w:tcBorders>
            <w:shd w:val="clear" w:color="auto" w:fill="auto"/>
            <w:vAlign w:val="center"/>
          </w:tcPr>
          <w:p w14:paraId="4BDC903C">
            <w:pPr>
              <w:widowControl/>
              <w:jc w:val="center"/>
              <w:textAlignment w:val="center"/>
              <w:rPr>
                <w:rStyle w:val="33"/>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隔水式恒温培养箱</w:t>
            </w:r>
          </w:p>
        </w:tc>
        <w:tc>
          <w:tcPr>
            <w:tcW w:w="1275" w:type="dxa"/>
            <w:tcBorders>
              <w:tl2br w:val="nil"/>
              <w:tr2bl w:val="nil"/>
            </w:tcBorders>
            <w:shd w:val="clear" w:color="auto" w:fill="auto"/>
            <w:vAlign w:val="center"/>
          </w:tcPr>
          <w:p w14:paraId="7B852AC1">
            <w:pPr>
              <w:widowControl/>
              <w:jc w:val="left"/>
              <w:rPr>
                <w:rStyle w:val="33"/>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bidi="ar"/>
              </w:rPr>
              <w:t>单独采集微生物样品，不预洗采样瓶，样品采集至采样瓶体积的8</w:t>
            </w:r>
            <w:r>
              <w:rPr>
                <w:rFonts w:ascii="宋体" w:hAnsi="宋体" w:eastAsia="宋体" w:cs="宋体"/>
                <w:color w:val="auto"/>
                <w:kern w:val="0"/>
                <w:sz w:val="20"/>
                <w:szCs w:val="20"/>
                <w:highlight w:val="none"/>
                <w:lang w:bidi="ar"/>
              </w:rPr>
              <w:t>0</w:t>
            </w:r>
            <w:r>
              <w:rPr>
                <w:rFonts w:hint="eastAsia" w:ascii="宋体" w:hAnsi="宋体" w:eastAsia="宋体" w:cs="宋体"/>
                <w:color w:val="auto"/>
                <w:kern w:val="0"/>
                <w:sz w:val="20"/>
                <w:szCs w:val="20"/>
                <w:highlight w:val="none"/>
                <w:lang w:bidi="ar"/>
              </w:rPr>
              <w:t>%左右，冷藏，避光  及时检测</w:t>
            </w:r>
          </w:p>
        </w:tc>
        <w:tc>
          <w:tcPr>
            <w:tcW w:w="1620" w:type="dxa"/>
            <w:tcBorders>
              <w:tl2br w:val="nil"/>
              <w:tr2bl w:val="nil"/>
            </w:tcBorders>
            <w:shd w:val="clear" w:color="auto" w:fill="auto"/>
            <w:vAlign w:val="center"/>
          </w:tcPr>
          <w:p w14:paraId="7D0A1EC8">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w:t>
            </w:r>
          </w:p>
        </w:tc>
      </w:tr>
      <w:tr w14:paraId="74EE3FD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264" w:hRule="atLeast"/>
        </w:trPr>
        <w:tc>
          <w:tcPr>
            <w:tcW w:w="525" w:type="dxa"/>
            <w:tcBorders>
              <w:tl2br w:val="nil"/>
              <w:tr2bl w:val="nil"/>
            </w:tcBorders>
            <w:shd w:val="clear" w:color="auto" w:fill="auto"/>
            <w:vAlign w:val="center"/>
          </w:tcPr>
          <w:p w14:paraId="65D558F8">
            <w:pPr>
              <w:widowControl/>
              <w:jc w:val="center"/>
              <w:textAlignment w:val="center"/>
              <w:rPr>
                <w:rFonts w:ascii="宋体" w:hAnsi="宋体" w:eastAsia="宋体" w:cs="宋体"/>
                <w:color w:val="auto"/>
                <w:sz w:val="20"/>
                <w:szCs w:val="20"/>
                <w:highlight w:val="none"/>
              </w:rPr>
            </w:pPr>
            <w:r>
              <w:rPr>
                <w:rFonts w:ascii="宋体" w:hAnsi="宋体" w:eastAsia="宋体" w:cs="宋体"/>
                <w:color w:val="auto"/>
                <w:kern w:val="0"/>
                <w:sz w:val="20"/>
                <w:szCs w:val="20"/>
                <w:highlight w:val="none"/>
              </w:rPr>
              <w:t>12</w:t>
            </w:r>
          </w:p>
        </w:tc>
        <w:tc>
          <w:tcPr>
            <w:tcW w:w="844" w:type="dxa"/>
            <w:tcBorders>
              <w:tl2br w:val="nil"/>
              <w:tr2bl w:val="nil"/>
            </w:tcBorders>
            <w:shd w:val="clear" w:color="auto" w:fill="auto"/>
            <w:vAlign w:val="center"/>
          </w:tcPr>
          <w:p w14:paraId="329A054B">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废水</w:t>
            </w:r>
          </w:p>
        </w:tc>
        <w:tc>
          <w:tcPr>
            <w:tcW w:w="900" w:type="dxa"/>
            <w:tcBorders>
              <w:tl2br w:val="nil"/>
              <w:tr2bl w:val="nil"/>
            </w:tcBorders>
            <w:shd w:val="clear" w:color="auto" w:fill="auto"/>
            <w:vAlign w:val="center"/>
          </w:tcPr>
          <w:p w14:paraId="64467254">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DW001</w:t>
            </w:r>
          </w:p>
        </w:tc>
        <w:tc>
          <w:tcPr>
            <w:tcW w:w="1125" w:type="dxa"/>
            <w:tcBorders>
              <w:tl2br w:val="nil"/>
              <w:tr2bl w:val="nil"/>
            </w:tcBorders>
            <w:shd w:val="clear" w:color="auto" w:fill="auto"/>
            <w:vAlign w:val="center"/>
          </w:tcPr>
          <w:p w14:paraId="4C3EA445">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污水排放口</w:t>
            </w:r>
          </w:p>
        </w:tc>
        <w:tc>
          <w:tcPr>
            <w:tcW w:w="993" w:type="dxa"/>
            <w:tcBorders>
              <w:tl2br w:val="nil"/>
              <w:tr2bl w:val="nil"/>
            </w:tcBorders>
            <w:shd w:val="clear" w:color="auto" w:fill="auto"/>
            <w:vAlign w:val="center"/>
          </w:tcPr>
          <w:p w14:paraId="6AB2CE46">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阴离子表面活性剂</w:t>
            </w:r>
          </w:p>
        </w:tc>
        <w:tc>
          <w:tcPr>
            <w:tcW w:w="636" w:type="dxa"/>
            <w:tcBorders>
              <w:tl2br w:val="nil"/>
              <w:tr2bl w:val="nil"/>
            </w:tcBorders>
            <w:shd w:val="clear" w:color="auto" w:fill="auto"/>
            <w:vAlign w:val="center"/>
          </w:tcPr>
          <w:p w14:paraId="389415DD">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手工</w:t>
            </w:r>
          </w:p>
        </w:tc>
        <w:tc>
          <w:tcPr>
            <w:tcW w:w="1859" w:type="dxa"/>
            <w:tcBorders>
              <w:tl2br w:val="nil"/>
              <w:tr2bl w:val="nil"/>
            </w:tcBorders>
            <w:shd w:val="clear" w:color="auto" w:fill="auto"/>
            <w:vAlign w:val="center"/>
          </w:tcPr>
          <w:p w14:paraId="34E2711B">
            <w:pP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《城镇污水处理厂污染物排放标准》（GB18918-2002）一级A标准排放</w:t>
            </w:r>
          </w:p>
        </w:tc>
        <w:tc>
          <w:tcPr>
            <w:tcW w:w="1103" w:type="dxa"/>
            <w:tcBorders>
              <w:tl2br w:val="nil"/>
              <w:tr2bl w:val="nil"/>
            </w:tcBorders>
            <w:shd w:val="clear" w:color="auto" w:fill="auto"/>
            <w:vAlign w:val="center"/>
          </w:tcPr>
          <w:p w14:paraId="7DBF0DCC">
            <w:pP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≤0.5</w:t>
            </w:r>
            <w:r>
              <w:rPr>
                <w:rFonts w:ascii="宋体" w:hAnsi="宋体" w:eastAsia="宋体" w:cs="宋体"/>
                <w:color w:val="auto"/>
                <w:sz w:val="20"/>
                <w:szCs w:val="20"/>
                <w:highlight w:val="none"/>
              </w:rPr>
              <w:t>mg/ L</w:t>
            </w:r>
          </w:p>
        </w:tc>
        <w:tc>
          <w:tcPr>
            <w:tcW w:w="1172" w:type="dxa"/>
            <w:tcBorders>
              <w:tl2br w:val="nil"/>
              <w:tr2bl w:val="nil"/>
            </w:tcBorders>
            <w:shd w:val="clear" w:color="auto" w:fill="auto"/>
            <w:vAlign w:val="center"/>
          </w:tcPr>
          <w:p w14:paraId="0DD4BB6A">
            <w:pP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0.05</w:t>
            </w:r>
            <w:r>
              <w:rPr>
                <w:rFonts w:ascii="宋体" w:hAnsi="宋体" w:eastAsia="宋体" w:cs="宋体"/>
                <w:color w:val="auto"/>
                <w:sz w:val="20"/>
                <w:szCs w:val="20"/>
                <w:highlight w:val="none"/>
              </w:rPr>
              <w:t>mg/ L</w:t>
            </w:r>
          </w:p>
        </w:tc>
        <w:tc>
          <w:tcPr>
            <w:tcW w:w="559" w:type="dxa"/>
            <w:tcBorders>
              <w:tl2br w:val="nil"/>
              <w:tr2bl w:val="nil"/>
            </w:tcBorders>
            <w:shd w:val="clear" w:color="auto" w:fill="auto"/>
            <w:vAlign w:val="center"/>
          </w:tcPr>
          <w:p w14:paraId="32662D81">
            <w:pPr>
              <w:jc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w:t>
            </w:r>
          </w:p>
        </w:tc>
        <w:tc>
          <w:tcPr>
            <w:tcW w:w="1108" w:type="dxa"/>
            <w:tcBorders>
              <w:tl2br w:val="nil"/>
              <w:tr2bl w:val="nil"/>
            </w:tcBorders>
            <w:shd w:val="clear" w:color="auto" w:fill="auto"/>
            <w:vAlign w:val="center"/>
          </w:tcPr>
          <w:p w14:paraId="39BCFE4A">
            <w:pPr>
              <w:jc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w:t>
            </w:r>
          </w:p>
        </w:tc>
        <w:tc>
          <w:tcPr>
            <w:tcW w:w="990" w:type="dxa"/>
            <w:tcBorders>
              <w:tl2br w:val="nil"/>
              <w:tr2bl w:val="nil"/>
            </w:tcBorders>
            <w:shd w:val="clear" w:color="auto" w:fill="auto"/>
            <w:vAlign w:val="center"/>
          </w:tcPr>
          <w:p w14:paraId="6F586C6F">
            <w:pPr>
              <w:jc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w:t>
            </w:r>
          </w:p>
        </w:tc>
        <w:tc>
          <w:tcPr>
            <w:tcW w:w="1155" w:type="dxa"/>
            <w:tcBorders>
              <w:tl2br w:val="nil"/>
              <w:tr2bl w:val="nil"/>
            </w:tcBorders>
            <w:shd w:val="clear" w:color="auto" w:fill="auto"/>
            <w:vAlign w:val="center"/>
          </w:tcPr>
          <w:p w14:paraId="669AA0FF">
            <w:pPr>
              <w:jc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w:t>
            </w:r>
          </w:p>
        </w:tc>
        <w:tc>
          <w:tcPr>
            <w:tcW w:w="1452" w:type="dxa"/>
            <w:tcBorders>
              <w:tl2br w:val="nil"/>
              <w:tr2bl w:val="nil"/>
            </w:tcBorders>
            <w:shd w:val="clear" w:color="auto" w:fill="auto"/>
            <w:vAlign w:val="center"/>
          </w:tcPr>
          <w:p w14:paraId="5D2B76D2">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xml:space="preserve">瞬时采样 </w:t>
            </w:r>
          </w:p>
          <w:p w14:paraId="0A240263">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3个瞬时样</w:t>
            </w:r>
          </w:p>
        </w:tc>
        <w:tc>
          <w:tcPr>
            <w:tcW w:w="738" w:type="dxa"/>
            <w:tcBorders>
              <w:tl2br w:val="nil"/>
              <w:tr2bl w:val="nil"/>
            </w:tcBorders>
            <w:shd w:val="clear" w:color="auto" w:fill="auto"/>
            <w:vAlign w:val="center"/>
          </w:tcPr>
          <w:p w14:paraId="2FB000B1">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1次/月</w:t>
            </w:r>
          </w:p>
        </w:tc>
        <w:tc>
          <w:tcPr>
            <w:tcW w:w="1666" w:type="dxa"/>
            <w:tcBorders>
              <w:tl2br w:val="nil"/>
              <w:tr2bl w:val="nil"/>
            </w:tcBorders>
            <w:shd w:val="clear" w:color="auto" w:fill="auto"/>
            <w:vAlign w:val="center"/>
          </w:tcPr>
          <w:p w14:paraId="07B844EA">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val="en-US" w:eastAsia="zh-CN" w:bidi="ar"/>
              </w:rPr>
              <w:t>水质阴离子表面活性剂的测定</w:t>
            </w:r>
            <w:r>
              <w:rPr>
                <w:rFonts w:hint="eastAsia" w:ascii="宋体" w:hAnsi="宋体" w:eastAsia="宋体" w:cs="宋体"/>
                <w:color w:val="auto"/>
                <w:kern w:val="0"/>
                <w:sz w:val="20"/>
                <w:szCs w:val="20"/>
                <w:highlight w:val="none"/>
                <w:lang w:bidi="ar"/>
              </w:rPr>
              <w:t>《亚甲蓝分光光度法》</w:t>
            </w:r>
          </w:p>
          <w:p w14:paraId="70D30B0F">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GB 7494-87</w:t>
            </w:r>
          </w:p>
          <w:p w14:paraId="7E4AA191">
            <w:pPr>
              <w:widowControl/>
              <w:jc w:val="center"/>
              <w:textAlignment w:val="center"/>
              <w:rPr>
                <w:rFonts w:ascii="宋体" w:hAnsi="宋体" w:eastAsia="宋体" w:cs="宋体"/>
                <w:color w:val="auto"/>
                <w:sz w:val="20"/>
                <w:szCs w:val="20"/>
                <w:highlight w:val="none"/>
              </w:rPr>
            </w:pPr>
          </w:p>
        </w:tc>
        <w:tc>
          <w:tcPr>
            <w:tcW w:w="1080" w:type="dxa"/>
            <w:tcBorders>
              <w:tl2br w:val="nil"/>
              <w:tr2bl w:val="nil"/>
            </w:tcBorders>
            <w:shd w:val="clear" w:color="auto" w:fill="auto"/>
            <w:vAlign w:val="center"/>
          </w:tcPr>
          <w:p w14:paraId="3B0A5182">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紫外分光光度计</w:t>
            </w:r>
          </w:p>
          <w:p w14:paraId="7036B00C">
            <w:pPr>
              <w:widowControl/>
              <w:jc w:val="center"/>
              <w:textAlignment w:val="center"/>
              <w:rPr>
                <w:rFonts w:ascii="宋体" w:hAnsi="宋体" w:eastAsia="宋体" w:cs="宋体"/>
                <w:color w:val="auto"/>
                <w:kern w:val="0"/>
                <w:sz w:val="20"/>
                <w:szCs w:val="20"/>
                <w:highlight w:val="none"/>
              </w:rPr>
            </w:pPr>
          </w:p>
        </w:tc>
        <w:tc>
          <w:tcPr>
            <w:tcW w:w="1275" w:type="dxa"/>
            <w:tcBorders>
              <w:tl2br w:val="nil"/>
              <w:tr2bl w:val="nil"/>
            </w:tcBorders>
            <w:shd w:val="clear" w:color="auto" w:fill="auto"/>
            <w:vAlign w:val="center"/>
          </w:tcPr>
          <w:p w14:paraId="0D029B5A">
            <w:pPr>
              <w:widowControl/>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避光，0-4℃冷藏</w:t>
            </w:r>
          </w:p>
          <w:p w14:paraId="3846F03D">
            <w:pPr>
              <w:widowControl/>
              <w:jc w:val="center"/>
              <w:textAlignment w:val="center"/>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注：如果只是冷藏不加保护剂，就要在采样后的24小时内检测，加了保护剂的话就可以在4天内检测。</w:t>
            </w:r>
          </w:p>
        </w:tc>
        <w:tc>
          <w:tcPr>
            <w:tcW w:w="1620" w:type="dxa"/>
            <w:tcBorders>
              <w:tl2br w:val="nil"/>
              <w:tr2bl w:val="nil"/>
            </w:tcBorders>
            <w:shd w:val="clear" w:color="auto" w:fill="auto"/>
            <w:vAlign w:val="center"/>
          </w:tcPr>
          <w:p w14:paraId="4ABB8EE6">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委托检测</w:t>
            </w:r>
          </w:p>
        </w:tc>
      </w:tr>
      <w:tr w14:paraId="6ABDDE6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625" w:hRule="atLeast"/>
        </w:trPr>
        <w:tc>
          <w:tcPr>
            <w:tcW w:w="525" w:type="dxa"/>
            <w:tcBorders>
              <w:tl2br w:val="nil"/>
              <w:tr2bl w:val="nil"/>
            </w:tcBorders>
            <w:shd w:val="clear" w:color="auto" w:fill="auto"/>
            <w:vAlign w:val="center"/>
          </w:tcPr>
          <w:p w14:paraId="1218791F">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r>
              <w:rPr>
                <w:rFonts w:ascii="宋体" w:hAnsi="宋体" w:eastAsia="宋体" w:cs="宋体"/>
                <w:color w:val="auto"/>
                <w:kern w:val="0"/>
                <w:sz w:val="20"/>
                <w:szCs w:val="20"/>
                <w:highlight w:val="none"/>
              </w:rPr>
              <w:t>3</w:t>
            </w:r>
          </w:p>
        </w:tc>
        <w:tc>
          <w:tcPr>
            <w:tcW w:w="844" w:type="dxa"/>
            <w:tcBorders>
              <w:tl2br w:val="nil"/>
              <w:tr2bl w:val="nil"/>
            </w:tcBorders>
            <w:shd w:val="clear" w:color="auto" w:fill="auto"/>
            <w:vAlign w:val="center"/>
          </w:tcPr>
          <w:p w14:paraId="51B91C9C">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废水</w:t>
            </w:r>
          </w:p>
        </w:tc>
        <w:tc>
          <w:tcPr>
            <w:tcW w:w="900" w:type="dxa"/>
            <w:tcBorders>
              <w:tl2br w:val="nil"/>
              <w:tr2bl w:val="nil"/>
            </w:tcBorders>
            <w:shd w:val="clear" w:color="auto" w:fill="auto"/>
            <w:vAlign w:val="center"/>
          </w:tcPr>
          <w:p w14:paraId="76673FAD">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DW001</w:t>
            </w:r>
          </w:p>
        </w:tc>
        <w:tc>
          <w:tcPr>
            <w:tcW w:w="1125" w:type="dxa"/>
            <w:tcBorders>
              <w:tl2br w:val="nil"/>
              <w:tr2bl w:val="nil"/>
            </w:tcBorders>
            <w:shd w:val="clear" w:color="auto" w:fill="auto"/>
            <w:vAlign w:val="center"/>
          </w:tcPr>
          <w:p w14:paraId="726BFCF4">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污水排放口</w:t>
            </w:r>
          </w:p>
        </w:tc>
        <w:tc>
          <w:tcPr>
            <w:tcW w:w="993" w:type="dxa"/>
            <w:tcBorders>
              <w:tl2br w:val="nil"/>
              <w:tr2bl w:val="nil"/>
            </w:tcBorders>
            <w:shd w:val="clear" w:color="auto" w:fill="auto"/>
            <w:vAlign w:val="center"/>
          </w:tcPr>
          <w:p w14:paraId="499D5A85">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石油类</w:t>
            </w:r>
          </w:p>
        </w:tc>
        <w:tc>
          <w:tcPr>
            <w:tcW w:w="636" w:type="dxa"/>
            <w:tcBorders>
              <w:tl2br w:val="nil"/>
              <w:tr2bl w:val="nil"/>
            </w:tcBorders>
            <w:shd w:val="clear" w:color="auto" w:fill="auto"/>
            <w:vAlign w:val="center"/>
          </w:tcPr>
          <w:p w14:paraId="2502AD70">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手工</w:t>
            </w:r>
          </w:p>
        </w:tc>
        <w:tc>
          <w:tcPr>
            <w:tcW w:w="1859" w:type="dxa"/>
            <w:tcBorders>
              <w:tl2br w:val="nil"/>
              <w:tr2bl w:val="nil"/>
            </w:tcBorders>
            <w:shd w:val="clear" w:color="auto" w:fill="auto"/>
            <w:vAlign w:val="center"/>
          </w:tcPr>
          <w:p w14:paraId="680E88E6">
            <w:pP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《城镇污水处理厂污染物排放标准》（GB18918-2002）一级A标准排放</w:t>
            </w:r>
          </w:p>
        </w:tc>
        <w:tc>
          <w:tcPr>
            <w:tcW w:w="1103" w:type="dxa"/>
            <w:tcBorders>
              <w:tl2br w:val="nil"/>
              <w:tr2bl w:val="nil"/>
            </w:tcBorders>
            <w:shd w:val="clear" w:color="auto" w:fill="auto"/>
            <w:vAlign w:val="center"/>
          </w:tcPr>
          <w:p w14:paraId="76EAABAB">
            <w:pP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≤1mg/L</w:t>
            </w:r>
          </w:p>
        </w:tc>
        <w:tc>
          <w:tcPr>
            <w:tcW w:w="1172" w:type="dxa"/>
            <w:tcBorders>
              <w:tl2br w:val="nil"/>
              <w:tr2bl w:val="nil"/>
            </w:tcBorders>
            <w:shd w:val="clear" w:color="auto" w:fill="auto"/>
            <w:vAlign w:val="center"/>
          </w:tcPr>
          <w:p w14:paraId="1674D391">
            <w:pP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0.06mg/L</w:t>
            </w:r>
          </w:p>
        </w:tc>
        <w:tc>
          <w:tcPr>
            <w:tcW w:w="559" w:type="dxa"/>
            <w:tcBorders>
              <w:tl2br w:val="nil"/>
              <w:tr2bl w:val="nil"/>
            </w:tcBorders>
            <w:shd w:val="clear" w:color="auto" w:fill="auto"/>
            <w:vAlign w:val="center"/>
          </w:tcPr>
          <w:p w14:paraId="0D70E764">
            <w:pPr>
              <w:jc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w:t>
            </w:r>
          </w:p>
        </w:tc>
        <w:tc>
          <w:tcPr>
            <w:tcW w:w="1108" w:type="dxa"/>
            <w:tcBorders>
              <w:tl2br w:val="nil"/>
              <w:tr2bl w:val="nil"/>
            </w:tcBorders>
            <w:shd w:val="clear" w:color="auto" w:fill="auto"/>
            <w:vAlign w:val="center"/>
          </w:tcPr>
          <w:p w14:paraId="35DE899A">
            <w:pPr>
              <w:jc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w:t>
            </w:r>
          </w:p>
        </w:tc>
        <w:tc>
          <w:tcPr>
            <w:tcW w:w="990" w:type="dxa"/>
            <w:tcBorders>
              <w:tl2br w:val="nil"/>
              <w:tr2bl w:val="nil"/>
            </w:tcBorders>
            <w:shd w:val="clear" w:color="auto" w:fill="auto"/>
            <w:vAlign w:val="center"/>
          </w:tcPr>
          <w:p w14:paraId="14B35B1B">
            <w:pPr>
              <w:jc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w:t>
            </w:r>
          </w:p>
        </w:tc>
        <w:tc>
          <w:tcPr>
            <w:tcW w:w="1155" w:type="dxa"/>
            <w:tcBorders>
              <w:tl2br w:val="nil"/>
              <w:tr2bl w:val="nil"/>
            </w:tcBorders>
            <w:shd w:val="clear" w:color="auto" w:fill="auto"/>
            <w:vAlign w:val="center"/>
          </w:tcPr>
          <w:p w14:paraId="22EC4E5C">
            <w:pPr>
              <w:jc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w:t>
            </w:r>
          </w:p>
        </w:tc>
        <w:tc>
          <w:tcPr>
            <w:tcW w:w="1452" w:type="dxa"/>
            <w:tcBorders>
              <w:tl2br w:val="nil"/>
              <w:tr2bl w:val="nil"/>
            </w:tcBorders>
            <w:shd w:val="clear" w:color="auto" w:fill="auto"/>
            <w:vAlign w:val="center"/>
          </w:tcPr>
          <w:p w14:paraId="09DCF36B">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xml:space="preserve">瞬时采样 </w:t>
            </w:r>
          </w:p>
          <w:p w14:paraId="6189FAAD">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3个瞬时样</w:t>
            </w:r>
          </w:p>
        </w:tc>
        <w:tc>
          <w:tcPr>
            <w:tcW w:w="738" w:type="dxa"/>
            <w:tcBorders>
              <w:tl2br w:val="nil"/>
              <w:tr2bl w:val="nil"/>
            </w:tcBorders>
            <w:shd w:val="clear" w:color="auto" w:fill="auto"/>
            <w:vAlign w:val="center"/>
          </w:tcPr>
          <w:p w14:paraId="46377E95">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1次/月</w:t>
            </w:r>
          </w:p>
        </w:tc>
        <w:tc>
          <w:tcPr>
            <w:tcW w:w="1666" w:type="dxa"/>
            <w:tcBorders>
              <w:tl2br w:val="nil"/>
              <w:tr2bl w:val="nil"/>
            </w:tcBorders>
            <w:shd w:val="clear" w:color="auto" w:fill="auto"/>
            <w:vAlign w:val="center"/>
          </w:tcPr>
          <w:p w14:paraId="3095F4A5">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《水质 石油类和动植物油类的测定 红外分光光度法》</w:t>
            </w:r>
          </w:p>
          <w:p w14:paraId="3B0BFCD2">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HJ 637-2018</w:t>
            </w:r>
          </w:p>
        </w:tc>
        <w:tc>
          <w:tcPr>
            <w:tcW w:w="1080" w:type="dxa"/>
            <w:tcBorders>
              <w:tl2br w:val="nil"/>
              <w:tr2bl w:val="nil"/>
            </w:tcBorders>
            <w:shd w:val="clear" w:color="auto" w:fill="auto"/>
            <w:vAlign w:val="center"/>
          </w:tcPr>
          <w:p w14:paraId="6AED3660">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全自动红外测油仪</w:t>
            </w:r>
          </w:p>
        </w:tc>
        <w:tc>
          <w:tcPr>
            <w:tcW w:w="1275" w:type="dxa"/>
            <w:tcBorders>
              <w:tl2br w:val="nil"/>
              <w:tr2bl w:val="nil"/>
            </w:tcBorders>
            <w:shd w:val="clear" w:color="auto" w:fill="auto"/>
            <w:vAlign w:val="center"/>
          </w:tcPr>
          <w:p w14:paraId="586B2221">
            <w:pPr>
              <w:widowControl/>
              <w:jc w:val="left"/>
              <w:rPr>
                <w:rStyle w:val="33"/>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HCl，pH≤2</w:t>
            </w:r>
          </w:p>
        </w:tc>
        <w:tc>
          <w:tcPr>
            <w:tcW w:w="1620" w:type="dxa"/>
            <w:tcBorders>
              <w:tl2br w:val="nil"/>
              <w:tr2bl w:val="nil"/>
            </w:tcBorders>
            <w:shd w:val="clear" w:color="auto" w:fill="auto"/>
            <w:vAlign w:val="center"/>
          </w:tcPr>
          <w:p w14:paraId="0B9763CE">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委托检测</w:t>
            </w:r>
          </w:p>
        </w:tc>
      </w:tr>
      <w:tr w14:paraId="637A966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625" w:hRule="atLeast"/>
        </w:trPr>
        <w:tc>
          <w:tcPr>
            <w:tcW w:w="525" w:type="dxa"/>
            <w:tcBorders>
              <w:tl2br w:val="nil"/>
              <w:tr2bl w:val="nil"/>
            </w:tcBorders>
            <w:shd w:val="clear" w:color="auto" w:fill="auto"/>
            <w:vAlign w:val="center"/>
          </w:tcPr>
          <w:p w14:paraId="0F5A3DC9">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r>
              <w:rPr>
                <w:rFonts w:ascii="宋体" w:hAnsi="宋体" w:eastAsia="宋体" w:cs="宋体"/>
                <w:color w:val="auto"/>
                <w:kern w:val="0"/>
                <w:sz w:val="20"/>
                <w:szCs w:val="20"/>
                <w:highlight w:val="none"/>
              </w:rPr>
              <w:t>4</w:t>
            </w:r>
          </w:p>
        </w:tc>
        <w:tc>
          <w:tcPr>
            <w:tcW w:w="844" w:type="dxa"/>
            <w:tcBorders>
              <w:tl2br w:val="nil"/>
              <w:tr2bl w:val="nil"/>
            </w:tcBorders>
            <w:shd w:val="clear" w:color="auto" w:fill="auto"/>
            <w:vAlign w:val="center"/>
          </w:tcPr>
          <w:p w14:paraId="7528D6F9">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废水</w:t>
            </w:r>
          </w:p>
        </w:tc>
        <w:tc>
          <w:tcPr>
            <w:tcW w:w="900" w:type="dxa"/>
            <w:tcBorders>
              <w:tl2br w:val="nil"/>
              <w:tr2bl w:val="nil"/>
            </w:tcBorders>
            <w:shd w:val="clear" w:color="auto" w:fill="auto"/>
            <w:vAlign w:val="center"/>
          </w:tcPr>
          <w:p w14:paraId="4FCB9238">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DW001</w:t>
            </w:r>
          </w:p>
        </w:tc>
        <w:tc>
          <w:tcPr>
            <w:tcW w:w="1125" w:type="dxa"/>
            <w:tcBorders>
              <w:tl2br w:val="nil"/>
              <w:tr2bl w:val="nil"/>
            </w:tcBorders>
            <w:shd w:val="clear" w:color="auto" w:fill="auto"/>
            <w:vAlign w:val="center"/>
          </w:tcPr>
          <w:p w14:paraId="2793A045">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污水排放口</w:t>
            </w:r>
          </w:p>
        </w:tc>
        <w:tc>
          <w:tcPr>
            <w:tcW w:w="993" w:type="dxa"/>
            <w:tcBorders>
              <w:tl2br w:val="nil"/>
              <w:tr2bl w:val="nil"/>
            </w:tcBorders>
            <w:shd w:val="clear" w:color="auto" w:fill="auto"/>
            <w:vAlign w:val="center"/>
          </w:tcPr>
          <w:p w14:paraId="5348E0DC">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动植物油</w:t>
            </w:r>
          </w:p>
        </w:tc>
        <w:tc>
          <w:tcPr>
            <w:tcW w:w="636" w:type="dxa"/>
            <w:tcBorders>
              <w:tl2br w:val="nil"/>
              <w:tr2bl w:val="nil"/>
            </w:tcBorders>
            <w:shd w:val="clear" w:color="auto" w:fill="auto"/>
            <w:vAlign w:val="center"/>
          </w:tcPr>
          <w:p w14:paraId="152913C4">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手工</w:t>
            </w:r>
          </w:p>
        </w:tc>
        <w:tc>
          <w:tcPr>
            <w:tcW w:w="1859" w:type="dxa"/>
            <w:tcBorders>
              <w:tl2br w:val="nil"/>
              <w:tr2bl w:val="nil"/>
            </w:tcBorders>
            <w:shd w:val="clear" w:color="auto" w:fill="auto"/>
            <w:vAlign w:val="center"/>
          </w:tcPr>
          <w:p w14:paraId="239C4714">
            <w:pP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《城镇污水处理厂污染物排放标准》（GB18918-2002）一级A标准排放</w:t>
            </w:r>
          </w:p>
        </w:tc>
        <w:tc>
          <w:tcPr>
            <w:tcW w:w="1103" w:type="dxa"/>
            <w:tcBorders>
              <w:tl2br w:val="nil"/>
              <w:tr2bl w:val="nil"/>
            </w:tcBorders>
            <w:shd w:val="clear" w:color="auto" w:fill="auto"/>
            <w:vAlign w:val="center"/>
          </w:tcPr>
          <w:p w14:paraId="4227135F">
            <w:pP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≤1mg/L</w:t>
            </w:r>
          </w:p>
        </w:tc>
        <w:tc>
          <w:tcPr>
            <w:tcW w:w="1172" w:type="dxa"/>
            <w:tcBorders>
              <w:tl2br w:val="nil"/>
              <w:tr2bl w:val="nil"/>
            </w:tcBorders>
            <w:shd w:val="clear" w:color="auto" w:fill="auto"/>
            <w:vAlign w:val="center"/>
          </w:tcPr>
          <w:p w14:paraId="0F2691F9">
            <w:pP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0.06mg/L</w:t>
            </w:r>
          </w:p>
        </w:tc>
        <w:tc>
          <w:tcPr>
            <w:tcW w:w="559" w:type="dxa"/>
            <w:tcBorders>
              <w:tl2br w:val="nil"/>
              <w:tr2bl w:val="nil"/>
            </w:tcBorders>
            <w:shd w:val="clear" w:color="auto" w:fill="auto"/>
            <w:vAlign w:val="center"/>
          </w:tcPr>
          <w:p w14:paraId="7700D0F4">
            <w:pPr>
              <w:jc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w:t>
            </w:r>
          </w:p>
        </w:tc>
        <w:tc>
          <w:tcPr>
            <w:tcW w:w="1108" w:type="dxa"/>
            <w:tcBorders>
              <w:tl2br w:val="nil"/>
              <w:tr2bl w:val="nil"/>
            </w:tcBorders>
            <w:shd w:val="clear" w:color="auto" w:fill="auto"/>
            <w:vAlign w:val="center"/>
          </w:tcPr>
          <w:p w14:paraId="63AA38CF">
            <w:pPr>
              <w:jc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w:t>
            </w:r>
          </w:p>
        </w:tc>
        <w:tc>
          <w:tcPr>
            <w:tcW w:w="990" w:type="dxa"/>
            <w:tcBorders>
              <w:tl2br w:val="nil"/>
              <w:tr2bl w:val="nil"/>
            </w:tcBorders>
            <w:shd w:val="clear" w:color="auto" w:fill="auto"/>
            <w:vAlign w:val="center"/>
          </w:tcPr>
          <w:p w14:paraId="44B63772">
            <w:pPr>
              <w:jc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w:t>
            </w:r>
          </w:p>
        </w:tc>
        <w:tc>
          <w:tcPr>
            <w:tcW w:w="1155" w:type="dxa"/>
            <w:tcBorders>
              <w:tl2br w:val="nil"/>
              <w:tr2bl w:val="nil"/>
            </w:tcBorders>
            <w:shd w:val="clear" w:color="auto" w:fill="auto"/>
            <w:vAlign w:val="center"/>
          </w:tcPr>
          <w:p w14:paraId="44918B33">
            <w:pPr>
              <w:jc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w:t>
            </w:r>
          </w:p>
        </w:tc>
        <w:tc>
          <w:tcPr>
            <w:tcW w:w="1452" w:type="dxa"/>
            <w:tcBorders>
              <w:tl2br w:val="nil"/>
              <w:tr2bl w:val="nil"/>
            </w:tcBorders>
            <w:shd w:val="clear" w:color="auto" w:fill="auto"/>
            <w:vAlign w:val="center"/>
          </w:tcPr>
          <w:p w14:paraId="0C44BDFA">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xml:space="preserve">瞬时采样 </w:t>
            </w:r>
          </w:p>
          <w:p w14:paraId="744A863E">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3个瞬时样</w:t>
            </w:r>
          </w:p>
        </w:tc>
        <w:tc>
          <w:tcPr>
            <w:tcW w:w="738" w:type="dxa"/>
            <w:tcBorders>
              <w:tl2br w:val="nil"/>
              <w:tr2bl w:val="nil"/>
            </w:tcBorders>
            <w:shd w:val="clear" w:color="auto" w:fill="auto"/>
            <w:vAlign w:val="center"/>
          </w:tcPr>
          <w:p w14:paraId="22ADE670">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1次/月</w:t>
            </w:r>
          </w:p>
        </w:tc>
        <w:tc>
          <w:tcPr>
            <w:tcW w:w="1666" w:type="dxa"/>
            <w:tcBorders>
              <w:tl2br w:val="nil"/>
              <w:tr2bl w:val="nil"/>
            </w:tcBorders>
            <w:shd w:val="clear" w:color="auto" w:fill="auto"/>
            <w:vAlign w:val="center"/>
          </w:tcPr>
          <w:p w14:paraId="6FDD3C2B">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《水质 石油类和动植物油类的测定 红外分光光度法》</w:t>
            </w:r>
          </w:p>
          <w:p w14:paraId="169CF519">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HJ 637-2018</w:t>
            </w:r>
          </w:p>
        </w:tc>
        <w:tc>
          <w:tcPr>
            <w:tcW w:w="1080" w:type="dxa"/>
            <w:tcBorders>
              <w:tl2br w:val="nil"/>
              <w:tr2bl w:val="nil"/>
            </w:tcBorders>
            <w:shd w:val="clear" w:color="auto" w:fill="auto"/>
            <w:vAlign w:val="center"/>
          </w:tcPr>
          <w:p w14:paraId="6F7368D8">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全自动红外测油仪</w:t>
            </w:r>
          </w:p>
        </w:tc>
        <w:tc>
          <w:tcPr>
            <w:tcW w:w="1275" w:type="dxa"/>
            <w:tcBorders>
              <w:tl2br w:val="nil"/>
              <w:tr2bl w:val="nil"/>
            </w:tcBorders>
            <w:shd w:val="clear" w:color="auto" w:fill="auto"/>
            <w:vAlign w:val="center"/>
          </w:tcPr>
          <w:p w14:paraId="785D1ADB">
            <w:pPr>
              <w:widowControl/>
              <w:jc w:val="left"/>
              <w:rPr>
                <w:rStyle w:val="33"/>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HCl，pH≤2</w:t>
            </w:r>
          </w:p>
        </w:tc>
        <w:tc>
          <w:tcPr>
            <w:tcW w:w="1620" w:type="dxa"/>
            <w:tcBorders>
              <w:tl2br w:val="nil"/>
              <w:tr2bl w:val="nil"/>
            </w:tcBorders>
            <w:shd w:val="clear" w:color="auto" w:fill="auto"/>
            <w:vAlign w:val="center"/>
          </w:tcPr>
          <w:p w14:paraId="3B3A3338">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委托检测</w:t>
            </w:r>
          </w:p>
        </w:tc>
      </w:tr>
      <w:tr w14:paraId="6F9FAE3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625" w:hRule="atLeast"/>
        </w:trPr>
        <w:tc>
          <w:tcPr>
            <w:tcW w:w="525" w:type="dxa"/>
            <w:tcBorders>
              <w:tl2br w:val="nil"/>
              <w:tr2bl w:val="nil"/>
            </w:tcBorders>
            <w:shd w:val="clear" w:color="auto" w:fill="auto"/>
            <w:vAlign w:val="center"/>
          </w:tcPr>
          <w:p w14:paraId="12A81DC1">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r>
              <w:rPr>
                <w:rFonts w:ascii="宋体" w:hAnsi="宋体" w:eastAsia="宋体" w:cs="宋体"/>
                <w:color w:val="auto"/>
                <w:kern w:val="0"/>
                <w:sz w:val="20"/>
                <w:szCs w:val="20"/>
                <w:highlight w:val="none"/>
              </w:rPr>
              <w:t>5</w:t>
            </w:r>
          </w:p>
        </w:tc>
        <w:tc>
          <w:tcPr>
            <w:tcW w:w="844" w:type="dxa"/>
            <w:tcBorders>
              <w:tl2br w:val="nil"/>
              <w:tr2bl w:val="nil"/>
            </w:tcBorders>
            <w:shd w:val="clear" w:color="auto" w:fill="auto"/>
            <w:vAlign w:val="center"/>
          </w:tcPr>
          <w:p w14:paraId="618346EF">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废水</w:t>
            </w:r>
          </w:p>
        </w:tc>
        <w:tc>
          <w:tcPr>
            <w:tcW w:w="900" w:type="dxa"/>
            <w:tcBorders>
              <w:tl2br w:val="nil"/>
              <w:tr2bl w:val="nil"/>
            </w:tcBorders>
            <w:shd w:val="clear" w:color="auto" w:fill="auto"/>
            <w:vAlign w:val="center"/>
          </w:tcPr>
          <w:p w14:paraId="6288AB34">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DW001</w:t>
            </w:r>
          </w:p>
        </w:tc>
        <w:tc>
          <w:tcPr>
            <w:tcW w:w="1125" w:type="dxa"/>
            <w:tcBorders>
              <w:tl2br w:val="nil"/>
              <w:tr2bl w:val="nil"/>
            </w:tcBorders>
            <w:shd w:val="clear" w:color="auto" w:fill="auto"/>
            <w:vAlign w:val="center"/>
          </w:tcPr>
          <w:p w14:paraId="2F8EF332">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污水排放口</w:t>
            </w:r>
          </w:p>
        </w:tc>
        <w:tc>
          <w:tcPr>
            <w:tcW w:w="993" w:type="dxa"/>
            <w:tcBorders>
              <w:tl2br w:val="nil"/>
              <w:tr2bl w:val="nil"/>
            </w:tcBorders>
            <w:shd w:val="clear" w:color="auto" w:fill="auto"/>
            <w:vAlign w:val="center"/>
          </w:tcPr>
          <w:p w14:paraId="5401F0D5">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六价铬</w:t>
            </w:r>
          </w:p>
        </w:tc>
        <w:tc>
          <w:tcPr>
            <w:tcW w:w="636" w:type="dxa"/>
            <w:tcBorders>
              <w:tl2br w:val="nil"/>
              <w:tr2bl w:val="nil"/>
            </w:tcBorders>
            <w:shd w:val="clear" w:color="auto" w:fill="auto"/>
            <w:vAlign w:val="center"/>
          </w:tcPr>
          <w:p w14:paraId="60EFFD5A">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手工</w:t>
            </w:r>
          </w:p>
        </w:tc>
        <w:tc>
          <w:tcPr>
            <w:tcW w:w="1859" w:type="dxa"/>
            <w:tcBorders>
              <w:tl2br w:val="nil"/>
              <w:tr2bl w:val="nil"/>
            </w:tcBorders>
            <w:shd w:val="clear" w:color="auto" w:fill="auto"/>
            <w:vAlign w:val="center"/>
          </w:tcPr>
          <w:p w14:paraId="0752187D">
            <w:pP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《城镇污水处理厂污染物排放标准》（GB18918-2002）一级A标准排放</w:t>
            </w:r>
          </w:p>
        </w:tc>
        <w:tc>
          <w:tcPr>
            <w:tcW w:w="1103" w:type="dxa"/>
            <w:tcBorders>
              <w:tl2br w:val="nil"/>
              <w:tr2bl w:val="nil"/>
            </w:tcBorders>
            <w:shd w:val="clear" w:color="auto" w:fill="auto"/>
            <w:vAlign w:val="center"/>
          </w:tcPr>
          <w:p w14:paraId="75A53358">
            <w:pP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≤0.05mg/L</w:t>
            </w:r>
          </w:p>
        </w:tc>
        <w:tc>
          <w:tcPr>
            <w:tcW w:w="1172" w:type="dxa"/>
            <w:tcBorders>
              <w:tl2br w:val="nil"/>
              <w:tr2bl w:val="nil"/>
            </w:tcBorders>
            <w:shd w:val="clear" w:color="auto" w:fill="auto"/>
            <w:vAlign w:val="center"/>
          </w:tcPr>
          <w:p w14:paraId="22E17E4D">
            <w:pP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0.001mg/L</w:t>
            </w:r>
          </w:p>
        </w:tc>
        <w:tc>
          <w:tcPr>
            <w:tcW w:w="559" w:type="dxa"/>
            <w:tcBorders>
              <w:tl2br w:val="nil"/>
              <w:tr2bl w:val="nil"/>
            </w:tcBorders>
            <w:shd w:val="clear" w:color="auto" w:fill="auto"/>
            <w:vAlign w:val="center"/>
          </w:tcPr>
          <w:p w14:paraId="4B0526EB">
            <w:pPr>
              <w:jc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w:t>
            </w:r>
          </w:p>
        </w:tc>
        <w:tc>
          <w:tcPr>
            <w:tcW w:w="1108" w:type="dxa"/>
            <w:tcBorders>
              <w:tl2br w:val="nil"/>
              <w:tr2bl w:val="nil"/>
            </w:tcBorders>
            <w:shd w:val="clear" w:color="auto" w:fill="auto"/>
            <w:vAlign w:val="center"/>
          </w:tcPr>
          <w:p w14:paraId="394FA1EA">
            <w:pPr>
              <w:jc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w:t>
            </w:r>
          </w:p>
        </w:tc>
        <w:tc>
          <w:tcPr>
            <w:tcW w:w="990" w:type="dxa"/>
            <w:tcBorders>
              <w:tl2br w:val="nil"/>
              <w:tr2bl w:val="nil"/>
            </w:tcBorders>
            <w:shd w:val="clear" w:color="auto" w:fill="auto"/>
            <w:vAlign w:val="center"/>
          </w:tcPr>
          <w:p w14:paraId="2971DADC">
            <w:pPr>
              <w:jc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w:t>
            </w:r>
          </w:p>
        </w:tc>
        <w:tc>
          <w:tcPr>
            <w:tcW w:w="1155" w:type="dxa"/>
            <w:tcBorders>
              <w:tl2br w:val="nil"/>
              <w:tr2bl w:val="nil"/>
            </w:tcBorders>
            <w:shd w:val="clear" w:color="auto" w:fill="auto"/>
            <w:vAlign w:val="center"/>
          </w:tcPr>
          <w:p w14:paraId="519E7B06">
            <w:pPr>
              <w:jc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w:t>
            </w:r>
          </w:p>
        </w:tc>
        <w:tc>
          <w:tcPr>
            <w:tcW w:w="1452" w:type="dxa"/>
            <w:tcBorders>
              <w:tl2br w:val="nil"/>
              <w:tr2bl w:val="nil"/>
            </w:tcBorders>
            <w:shd w:val="clear" w:color="auto" w:fill="auto"/>
            <w:vAlign w:val="center"/>
          </w:tcPr>
          <w:p w14:paraId="3B1612BD">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xml:space="preserve">瞬时采样 </w:t>
            </w:r>
          </w:p>
          <w:p w14:paraId="6DC54FC1">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3个瞬时样</w:t>
            </w:r>
          </w:p>
        </w:tc>
        <w:tc>
          <w:tcPr>
            <w:tcW w:w="738" w:type="dxa"/>
            <w:tcBorders>
              <w:tl2br w:val="nil"/>
              <w:tr2bl w:val="nil"/>
            </w:tcBorders>
            <w:shd w:val="clear" w:color="auto" w:fill="auto"/>
            <w:vAlign w:val="center"/>
          </w:tcPr>
          <w:p w14:paraId="0A545059">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1次/</w:t>
            </w:r>
            <w:r>
              <w:rPr>
                <w:rStyle w:val="35"/>
                <w:rFonts w:hint="default"/>
                <w:color w:val="auto"/>
                <w:sz w:val="20"/>
                <w:szCs w:val="20"/>
                <w:highlight w:val="none"/>
              </w:rPr>
              <w:t>季</w:t>
            </w:r>
          </w:p>
        </w:tc>
        <w:tc>
          <w:tcPr>
            <w:tcW w:w="1666" w:type="dxa"/>
            <w:tcBorders>
              <w:tl2br w:val="nil"/>
              <w:tr2bl w:val="nil"/>
            </w:tcBorders>
            <w:shd w:val="clear" w:color="auto" w:fill="auto"/>
            <w:vAlign w:val="center"/>
          </w:tcPr>
          <w:p w14:paraId="13D26FED">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《水质 六价铬的测定 二苯碳酰二肼分光光度法》</w:t>
            </w:r>
          </w:p>
          <w:p w14:paraId="56B9CAB5">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xml:space="preserve"> GB</w:t>
            </w:r>
            <w:r>
              <w:rPr>
                <w:rFonts w:hint="eastAsia" w:ascii="宋体" w:hAnsi="宋体" w:eastAsia="宋体" w:cs="宋体"/>
                <w:color w:val="auto"/>
                <w:kern w:val="0"/>
                <w:sz w:val="20"/>
                <w:szCs w:val="20"/>
                <w:highlight w:val="none"/>
                <w:lang w:val="en-US" w:eastAsia="zh-CN"/>
              </w:rPr>
              <w:t>/T</w:t>
            </w:r>
            <w:r>
              <w:rPr>
                <w:rFonts w:hint="eastAsia" w:ascii="宋体" w:hAnsi="宋体" w:eastAsia="宋体" w:cs="宋体"/>
                <w:color w:val="auto"/>
                <w:kern w:val="0"/>
                <w:sz w:val="20"/>
                <w:szCs w:val="20"/>
                <w:highlight w:val="none"/>
              </w:rPr>
              <w:t>7467-</w:t>
            </w:r>
            <w:r>
              <w:rPr>
                <w:rFonts w:hint="eastAsia" w:ascii="宋体" w:hAnsi="宋体" w:eastAsia="宋体" w:cs="宋体"/>
                <w:color w:val="auto"/>
                <w:kern w:val="0"/>
                <w:sz w:val="20"/>
                <w:szCs w:val="20"/>
                <w:highlight w:val="none"/>
                <w:lang w:val="en-US" w:eastAsia="zh-CN"/>
              </w:rPr>
              <w:t>19</w:t>
            </w:r>
            <w:r>
              <w:rPr>
                <w:rFonts w:hint="eastAsia" w:ascii="宋体" w:hAnsi="宋体" w:eastAsia="宋体" w:cs="宋体"/>
                <w:color w:val="auto"/>
                <w:kern w:val="0"/>
                <w:sz w:val="20"/>
                <w:szCs w:val="20"/>
                <w:highlight w:val="none"/>
              </w:rPr>
              <w:t>87</w:t>
            </w:r>
          </w:p>
        </w:tc>
        <w:tc>
          <w:tcPr>
            <w:tcW w:w="1080" w:type="dxa"/>
            <w:tcBorders>
              <w:tl2br w:val="nil"/>
              <w:tr2bl w:val="nil"/>
            </w:tcBorders>
            <w:shd w:val="clear" w:color="auto" w:fill="auto"/>
            <w:vAlign w:val="center"/>
          </w:tcPr>
          <w:p w14:paraId="591FC03E">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紫外分光光度计</w:t>
            </w:r>
          </w:p>
        </w:tc>
        <w:tc>
          <w:tcPr>
            <w:tcW w:w="1275" w:type="dxa"/>
            <w:tcBorders>
              <w:tl2br w:val="nil"/>
              <w:tr2bl w:val="nil"/>
            </w:tcBorders>
            <w:shd w:val="clear" w:color="auto" w:fill="auto"/>
            <w:vAlign w:val="center"/>
          </w:tcPr>
          <w:p w14:paraId="453C100C">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NaOH，pH 8～9</w:t>
            </w:r>
          </w:p>
        </w:tc>
        <w:tc>
          <w:tcPr>
            <w:tcW w:w="1620" w:type="dxa"/>
            <w:tcBorders>
              <w:tl2br w:val="nil"/>
              <w:tr2bl w:val="nil"/>
            </w:tcBorders>
            <w:shd w:val="clear" w:color="auto" w:fill="auto"/>
            <w:vAlign w:val="center"/>
          </w:tcPr>
          <w:p w14:paraId="3ECC7FEE">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委托检测</w:t>
            </w:r>
          </w:p>
        </w:tc>
      </w:tr>
      <w:tr w14:paraId="570FF6D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774" w:hRule="atLeast"/>
        </w:trPr>
        <w:tc>
          <w:tcPr>
            <w:tcW w:w="525" w:type="dxa"/>
            <w:tcBorders>
              <w:tl2br w:val="nil"/>
              <w:tr2bl w:val="nil"/>
            </w:tcBorders>
            <w:shd w:val="clear" w:color="auto" w:fill="auto"/>
            <w:vAlign w:val="center"/>
          </w:tcPr>
          <w:p w14:paraId="6D62CC42">
            <w:pPr>
              <w:widowControl/>
              <w:jc w:val="center"/>
              <w:textAlignment w:val="center"/>
              <w:rPr>
                <w:rFonts w:ascii="宋体" w:hAnsi="宋体" w:eastAsia="宋体" w:cs="宋体"/>
                <w:color w:val="auto"/>
                <w:sz w:val="20"/>
                <w:szCs w:val="20"/>
                <w:highlight w:val="none"/>
              </w:rPr>
            </w:pPr>
            <w:r>
              <w:rPr>
                <w:rFonts w:ascii="宋体" w:hAnsi="宋体" w:eastAsia="宋体" w:cs="宋体"/>
                <w:color w:val="auto"/>
                <w:kern w:val="0"/>
                <w:sz w:val="20"/>
                <w:szCs w:val="20"/>
                <w:highlight w:val="none"/>
              </w:rPr>
              <w:t>16</w:t>
            </w:r>
          </w:p>
        </w:tc>
        <w:tc>
          <w:tcPr>
            <w:tcW w:w="844" w:type="dxa"/>
            <w:tcBorders>
              <w:tl2br w:val="nil"/>
              <w:tr2bl w:val="nil"/>
            </w:tcBorders>
            <w:shd w:val="clear" w:color="auto" w:fill="auto"/>
            <w:vAlign w:val="center"/>
          </w:tcPr>
          <w:p w14:paraId="08DAB570">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废水</w:t>
            </w:r>
          </w:p>
        </w:tc>
        <w:tc>
          <w:tcPr>
            <w:tcW w:w="900" w:type="dxa"/>
            <w:tcBorders>
              <w:tl2br w:val="nil"/>
              <w:tr2bl w:val="nil"/>
            </w:tcBorders>
            <w:shd w:val="clear" w:color="auto" w:fill="auto"/>
            <w:vAlign w:val="center"/>
          </w:tcPr>
          <w:p w14:paraId="1C180D98">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DW001</w:t>
            </w:r>
          </w:p>
        </w:tc>
        <w:tc>
          <w:tcPr>
            <w:tcW w:w="1125" w:type="dxa"/>
            <w:tcBorders>
              <w:tl2br w:val="nil"/>
              <w:tr2bl w:val="nil"/>
            </w:tcBorders>
            <w:shd w:val="clear" w:color="auto" w:fill="auto"/>
            <w:vAlign w:val="center"/>
          </w:tcPr>
          <w:p w14:paraId="6296F092">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污水排放口</w:t>
            </w:r>
          </w:p>
        </w:tc>
        <w:tc>
          <w:tcPr>
            <w:tcW w:w="993" w:type="dxa"/>
            <w:tcBorders>
              <w:tl2br w:val="nil"/>
              <w:tr2bl w:val="nil"/>
            </w:tcBorders>
            <w:shd w:val="clear" w:color="auto" w:fill="auto"/>
            <w:vAlign w:val="center"/>
          </w:tcPr>
          <w:p w14:paraId="29CCA5DD">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总汞</w:t>
            </w:r>
          </w:p>
        </w:tc>
        <w:tc>
          <w:tcPr>
            <w:tcW w:w="636" w:type="dxa"/>
            <w:tcBorders>
              <w:tl2br w:val="nil"/>
              <w:tr2bl w:val="nil"/>
            </w:tcBorders>
            <w:shd w:val="clear" w:color="auto" w:fill="auto"/>
            <w:vAlign w:val="center"/>
          </w:tcPr>
          <w:p w14:paraId="1062DC14">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手工</w:t>
            </w:r>
          </w:p>
        </w:tc>
        <w:tc>
          <w:tcPr>
            <w:tcW w:w="1859" w:type="dxa"/>
            <w:tcBorders>
              <w:tl2br w:val="nil"/>
              <w:tr2bl w:val="nil"/>
            </w:tcBorders>
            <w:shd w:val="clear" w:color="auto" w:fill="auto"/>
            <w:vAlign w:val="center"/>
          </w:tcPr>
          <w:p w14:paraId="47FBB05A">
            <w:pP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《城镇污水处理厂污染物排放标准》（GB18918-2002）一级A标准排放</w:t>
            </w:r>
          </w:p>
        </w:tc>
        <w:tc>
          <w:tcPr>
            <w:tcW w:w="1103" w:type="dxa"/>
            <w:tcBorders>
              <w:tl2br w:val="nil"/>
              <w:tr2bl w:val="nil"/>
            </w:tcBorders>
            <w:shd w:val="clear" w:color="auto" w:fill="auto"/>
            <w:vAlign w:val="center"/>
          </w:tcPr>
          <w:p w14:paraId="198EDFE3">
            <w:pPr>
              <w:jc w:val="center"/>
              <w:rPr>
                <w:rFonts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≤0.001mg/L</w:t>
            </w:r>
          </w:p>
        </w:tc>
        <w:tc>
          <w:tcPr>
            <w:tcW w:w="1172" w:type="dxa"/>
            <w:tcBorders>
              <w:tl2br w:val="nil"/>
              <w:tr2bl w:val="nil"/>
            </w:tcBorders>
            <w:shd w:val="clear" w:color="auto" w:fill="auto"/>
            <w:vAlign w:val="center"/>
          </w:tcPr>
          <w:p w14:paraId="1A20DCD5">
            <w:pP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0.04</w:t>
            </w:r>
            <w:r>
              <w:rPr>
                <w:rFonts w:hint="eastAsia"/>
                <w:color w:val="auto"/>
                <w:sz w:val="20"/>
                <w:szCs w:val="20"/>
                <w:highlight w:val="none"/>
              </w:rPr>
              <w:t>μg/L</w:t>
            </w:r>
          </w:p>
        </w:tc>
        <w:tc>
          <w:tcPr>
            <w:tcW w:w="559" w:type="dxa"/>
            <w:tcBorders>
              <w:tl2br w:val="nil"/>
              <w:tr2bl w:val="nil"/>
            </w:tcBorders>
            <w:shd w:val="clear" w:color="auto" w:fill="auto"/>
            <w:vAlign w:val="center"/>
          </w:tcPr>
          <w:p w14:paraId="7DD57AF6">
            <w:pPr>
              <w:jc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w:t>
            </w:r>
          </w:p>
        </w:tc>
        <w:tc>
          <w:tcPr>
            <w:tcW w:w="1108" w:type="dxa"/>
            <w:tcBorders>
              <w:tl2br w:val="nil"/>
              <w:tr2bl w:val="nil"/>
            </w:tcBorders>
            <w:shd w:val="clear" w:color="auto" w:fill="auto"/>
            <w:vAlign w:val="center"/>
          </w:tcPr>
          <w:p w14:paraId="2BAAD1AE">
            <w:pPr>
              <w:jc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w:t>
            </w:r>
          </w:p>
        </w:tc>
        <w:tc>
          <w:tcPr>
            <w:tcW w:w="990" w:type="dxa"/>
            <w:tcBorders>
              <w:tl2br w:val="nil"/>
              <w:tr2bl w:val="nil"/>
            </w:tcBorders>
            <w:shd w:val="clear" w:color="auto" w:fill="auto"/>
            <w:vAlign w:val="center"/>
          </w:tcPr>
          <w:p w14:paraId="523358AA">
            <w:pPr>
              <w:jc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w:t>
            </w:r>
          </w:p>
        </w:tc>
        <w:tc>
          <w:tcPr>
            <w:tcW w:w="1155" w:type="dxa"/>
            <w:tcBorders>
              <w:tl2br w:val="nil"/>
              <w:tr2bl w:val="nil"/>
            </w:tcBorders>
            <w:shd w:val="clear" w:color="auto" w:fill="auto"/>
            <w:vAlign w:val="center"/>
          </w:tcPr>
          <w:p w14:paraId="60B1224C">
            <w:pPr>
              <w:jc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w:t>
            </w:r>
          </w:p>
        </w:tc>
        <w:tc>
          <w:tcPr>
            <w:tcW w:w="1452" w:type="dxa"/>
            <w:tcBorders>
              <w:tl2br w:val="nil"/>
              <w:tr2bl w:val="nil"/>
            </w:tcBorders>
            <w:shd w:val="clear" w:color="auto" w:fill="auto"/>
            <w:vAlign w:val="center"/>
          </w:tcPr>
          <w:p w14:paraId="1F2609DE">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xml:space="preserve">瞬时采样 </w:t>
            </w:r>
          </w:p>
          <w:p w14:paraId="12F4E7F9">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3个瞬时样</w:t>
            </w:r>
          </w:p>
        </w:tc>
        <w:tc>
          <w:tcPr>
            <w:tcW w:w="738" w:type="dxa"/>
            <w:tcBorders>
              <w:tl2br w:val="nil"/>
              <w:tr2bl w:val="nil"/>
            </w:tcBorders>
            <w:shd w:val="clear" w:color="auto" w:fill="auto"/>
            <w:vAlign w:val="center"/>
          </w:tcPr>
          <w:p w14:paraId="57714194">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1次/</w:t>
            </w:r>
            <w:r>
              <w:rPr>
                <w:rStyle w:val="35"/>
                <w:rFonts w:hint="default"/>
                <w:color w:val="auto"/>
                <w:sz w:val="20"/>
                <w:szCs w:val="20"/>
                <w:highlight w:val="none"/>
              </w:rPr>
              <w:t>季</w:t>
            </w:r>
          </w:p>
        </w:tc>
        <w:tc>
          <w:tcPr>
            <w:tcW w:w="1666" w:type="dxa"/>
            <w:tcBorders>
              <w:tl2br w:val="nil"/>
              <w:tr2bl w:val="nil"/>
            </w:tcBorders>
            <w:shd w:val="clear" w:color="auto" w:fill="auto"/>
            <w:vAlign w:val="center"/>
          </w:tcPr>
          <w:p w14:paraId="5ED4D827">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《水质 汞、砷、硒、铋和锑的测定 原子荧光法》</w:t>
            </w:r>
          </w:p>
          <w:p w14:paraId="36AE3048">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HJ 694-2014</w:t>
            </w:r>
          </w:p>
        </w:tc>
        <w:tc>
          <w:tcPr>
            <w:tcW w:w="1080" w:type="dxa"/>
            <w:tcBorders>
              <w:tl2br w:val="nil"/>
              <w:tr2bl w:val="nil"/>
            </w:tcBorders>
            <w:shd w:val="clear" w:color="auto" w:fill="auto"/>
            <w:vAlign w:val="center"/>
          </w:tcPr>
          <w:p w14:paraId="67803CA1">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sz w:val="20"/>
                <w:szCs w:val="20"/>
                <w:highlight w:val="none"/>
              </w:rPr>
              <w:t>原子荧光光谱仪</w:t>
            </w:r>
          </w:p>
        </w:tc>
        <w:tc>
          <w:tcPr>
            <w:tcW w:w="1275" w:type="dxa"/>
            <w:tcBorders>
              <w:tl2br w:val="nil"/>
              <w:tr2bl w:val="nil"/>
            </w:tcBorders>
            <w:shd w:val="clear" w:color="auto" w:fill="auto"/>
            <w:vAlign w:val="center"/>
          </w:tcPr>
          <w:p w14:paraId="13B823E1">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u w:val="none"/>
                <w:shd w:val="clear"/>
              </w:rPr>
              <w:t>HCl</w:t>
            </w:r>
            <w:r>
              <w:rPr>
                <w:rFonts w:hint="eastAsia" w:ascii="宋体" w:hAnsi="宋体" w:eastAsia="宋体" w:cs="宋体"/>
                <w:color w:val="auto"/>
                <w:kern w:val="0"/>
                <w:sz w:val="20"/>
                <w:szCs w:val="20"/>
                <w:highlight w:val="none"/>
              </w:rPr>
              <w:t xml:space="preserve"> 1%，如水样为中性，1L水样中加浓HCl10ml</w:t>
            </w:r>
          </w:p>
        </w:tc>
        <w:tc>
          <w:tcPr>
            <w:tcW w:w="1620" w:type="dxa"/>
            <w:tcBorders>
              <w:tl2br w:val="nil"/>
              <w:tr2bl w:val="nil"/>
            </w:tcBorders>
            <w:shd w:val="clear" w:color="auto" w:fill="auto"/>
            <w:vAlign w:val="center"/>
          </w:tcPr>
          <w:p w14:paraId="145E1D62">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委托检测</w:t>
            </w:r>
          </w:p>
        </w:tc>
      </w:tr>
      <w:tr w14:paraId="4EF8CA4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3503" w:hRule="atLeast"/>
        </w:trPr>
        <w:tc>
          <w:tcPr>
            <w:tcW w:w="525" w:type="dxa"/>
            <w:tcBorders>
              <w:tl2br w:val="nil"/>
              <w:tr2bl w:val="nil"/>
            </w:tcBorders>
            <w:shd w:val="clear" w:color="auto" w:fill="auto"/>
            <w:vAlign w:val="center"/>
          </w:tcPr>
          <w:p w14:paraId="167D24E1">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r>
              <w:rPr>
                <w:rFonts w:ascii="宋体" w:hAnsi="宋体" w:eastAsia="宋体" w:cs="宋体"/>
                <w:color w:val="auto"/>
                <w:kern w:val="0"/>
                <w:sz w:val="20"/>
                <w:szCs w:val="20"/>
                <w:highlight w:val="none"/>
              </w:rPr>
              <w:t>7</w:t>
            </w:r>
          </w:p>
        </w:tc>
        <w:tc>
          <w:tcPr>
            <w:tcW w:w="844" w:type="dxa"/>
            <w:tcBorders>
              <w:tl2br w:val="nil"/>
              <w:tr2bl w:val="nil"/>
            </w:tcBorders>
            <w:shd w:val="clear" w:color="auto" w:fill="auto"/>
            <w:vAlign w:val="center"/>
          </w:tcPr>
          <w:p w14:paraId="7ADDF7BE">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废水</w:t>
            </w:r>
          </w:p>
        </w:tc>
        <w:tc>
          <w:tcPr>
            <w:tcW w:w="900" w:type="dxa"/>
            <w:tcBorders>
              <w:tl2br w:val="nil"/>
              <w:tr2bl w:val="nil"/>
            </w:tcBorders>
            <w:shd w:val="clear" w:color="auto" w:fill="auto"/>
            <w:vAlign w:val="center"/>
          </w:tcPr>
          <w:p w14:paraId="3245E282">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DW001</w:t>
            </w:r>
          </w:p>
        </w:tc>
        <w:tc>
          <w:tcPr>
            <w:tcW w:w="1125" w:type="dxa"/>
            <w:tcBorders>
              <w:tl2br w:val="nil"/>
              <w:tr2bl w:val="nil"/>
            </w:tcBorders>
            <w:shd w:val="clear" w:color="auto" w:fill="auto"/>
            <w:vAlign w:val="center"/>
          </w:tcPr>
          <w:p w14:paraId="5AE942DE">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污水排放口</w:t>
            </w:r>
          </w:p>
        </w:tc>
        <w:tc>
          <w:tcPr>
            <w:tcW w:w="993" w:type="dxa"/>
            <w:tcBorders>
              <w:tl2br w:val="nil"/>
              <w:tr2bl w:val="nil"/>
            </w:tcBorders>
            <w:shd w:val="clear" w:color="auto" w:fill="auto"/>
            <w:vAlign w:val="center"/>
          </w:tcPr>
          <w:p w14:paraId="25FDB902">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总砷</w:t>
            </w:r>
          </w:p>
        </w:tc>
        <w:tc>
          <w:tcPr>
            <w:tcW w:w="636" w:type="dxa"/>
            <w:tcBorders>
              <w:tl2br w:val="nil"/>
              <w:tr2bl w:val="nil"/>
            </w:tcBorders>
            <w:shd w:val="clear" w:color="auto" w:fill="auto"/>
            <w:vAlign w:val="center"/>
          </w:tcPr>
          <w:p w14:paraId="6CBF3389">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手工</w:t>
            </w:r>
          </w:p>
        </w:tc>
        <w:tc>
          <w:tcPr>
            <w:tcW w:w="1859" w:type="dxa"/>
            <w:tcBorders>
              <w:tl2br w:val="nil"/>
              <w:tr2bl w:val="nil"/>
            </w:tcBorders>
            <w:shd w:val="clear" w:color="auto" w:fill="auto"/>
            <w:vAlign w:val="center"/>
          </w:tcPr>
          <w:p w14:paraId="79E0111B">
            <w:pP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《城镇污水处理厂污染物排放标准》（GB18918-2002）一级A标准排放</w:t>
            </w:r>
          </w:p>
        </w:tc>
        <w:tc>
          <w:tcPr>
            <w:tcW w:w="1103" w:type="dxa"/>
            <w:tcBorders>
              <w:tl2br w:val="nil"/>
              <w:tr2bl w:val="nil"/>
            </w:tcBorders>
            <w:shd w:val="clear" w:color="auto" w:fill="auto"/>
            <w:vAlign w:val="center"/>
          </w:tcPr>
          <w:p w14:paraId="653FD30C">
            <w:pP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≤0.1mg/L</w:t>
            </w:r>
          </w:p>
        </w:tc>
        <w:tc>
          <w:tcPr>
            <w:tcW w:w="1172" w:type="dxa"/>
            <w:tcBorders>
              <w:tl2br w:val="nil"/>
              <w:tr2bl w:val="nil"/>
            </w:tcBorders>
            <w:shd w:val="clear" w:color="auto" w:fill="auto"/>
            <w:vAlign w:val="center"/>
          </w:tcPr>
          <w:p w14:paraId="2B390560">
            <w:pP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0.3</w:t>
            </w:r>
            <w:r>
              <w:rPr>
                <w:rFonts w:hint="eastAsia"/>
                <w:color w:val="auto"/>
                <w:sz w:val="20"/>
                <w:szCs w:val="20"/>
                <w:highlight w:val="none"/>
              </w:rPr>
              <w:t>μg/L</w:t>
            </w:r>
          </w:p>
        </w:tc>
        <w:tc>
          <w:tcPr>
            <w:tcW w:w="559" w:type="dxa"/>
            <w:tcBorders>
              <w:tl2br w:val="nil"/>
              <w:tr2bl w:val="nil"/>
            </w:tcBorders>
            <w:shd w:val="clear" w:color="auto" w:fill="auto"/>
            <w:vAlign w:val="center"/>
          </w:tcPr>
          <w:p w14:paraId="3814B26F">
            <w:pPr>
              <w:jc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w:t>
            </w:r>
          </w:p>
        </w:tc>
        <w:tc>
          <w:tcPr>
            <w:tcW w:w="1108" w:type="dxa"/>
            <w:tcBorders>
              <w:tl2br w:val="nil"/>
              <w:tr2bl w:val="nil"/>
            </w:tcBorders>
            <w:shd w:val="clear" w:color="auto" w:fill="auto"/>
            <w:vAlign w:val="center"/>
          </w:tcPr>
          <w:p w14:paraId="2D887534">
            <w:pPr>
              <w:jc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w:t>
            </w:r>
          </w:p>
        </w:tc>
        <w:tc>
          <w:tcPr>
            <w:tcW w:w="990" w:type="dxa"/>
            <w:tcBorders>
              <w:tl2br w:val="nil"/>
              <w:tr2bl w:val="nil"/>
            </w:tcBorders>
            <w:shd w:val="clear" w:color="auto" w:fill="auto"/>
            <w:vAlign w:val="center"/>
          </w:tcPr>
          <w:p w14:paraId="52B1AC53">
            <w:pPr>
              <w:jc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w:t>
            </w:r>
          </w:p>
        </w:tc>
        <w:tc>
          <w:tcPr>
            <w:tcW w:w="1155" w:type="dxa"/>
            <w:tcBorders>
              <w:tl2br w:val="nil"/>
              <w:tr2bl w:val="nil"/>
            </w:tcBorders>
            <w:shd w:val="clear" w:color="auto" w:fill="auto"/>
            <w:vAlign w:val="center"/>
          </w:tcPr>
          <w:p w14:paraId="1581B55E">
            <w:pPr>
              <w:jc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w:t>
            </w:r>
          </w:p>
        </w:tc>
        <w:tc>
          <w:tcPr>
            <w:tcW w:w="1452" w:type="dxa"/>
            <w:tcBorders>
              <w:tl2br w:val="nil"/>
              <w:tr2bl w:val="nil"/>
            </w:tcBorders>
            <w:shd w:val="clear" w:color="auto" w:fill="auto"/>
            <w:vAlign w:val="center"/>
          </w:tcPr>
          <w:p w14:paraId="6CC5D2B0">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xml:space="preserve">瞬时采样 </w:t>
            </w:r>
          </w:p>
          <w:p w14:paraId="61E8EDB7">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3个瞬时样</w:t>
            </w:r>
          </w:p>
        </w:tc>
        <w:tc>
          <w:tcPr>
            <w:tcW w:w="738" w:type="dxa"/>
            <w:tcBorders>
              <w:tl2br w:val="nil"/>
              <w:tr2bl w:val="nil"/>
            </w:tcBorders>
            <w:shd w:val="clear" w:color="auto" w:fill="auto"/>
            <w:vAlign w:val="center"/>
          </w:tcPr>
          <w:p w14:paraId="7D9C49B7">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1次/</w:t>
            </w:r>
            <w:r>
              <w:rPr>
                <w:rStyle w:val="35"/>
                <w:rFonts w:hint="default"/>
                <w:color w:val="auto"/>
                <w:sz w:val="20"/>
                <w:szCs w:val="20"/>
                <w:highlight w:val="none"/>
              </w:rPr>
              <w:t>季</w:t>
            </w:r>
          </w:p>
        </w:tc>
        <w:tc>
          <w:tcPr>
            <w:tcW w:w="1666" w:type="dxa"/>
            <w:tcBorders>
              <w:tl2br w:val="nil"/>
              <w:tr2bl w:val="nil"/>
            </w:tcBorders>
            <w:shd w:val="clear" w:color="auto" w:fill="auto"/>
            <w:vAlign w:val="center"/>
          </w:tcPr>
          <w:p w14:paraId="025153D0">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《水质 汞、砷、硒、铋和锑的测定 原子荧光法》</w:t>
            </w:r>
          </w:p>
          <w:p w14:paraId="216354BC">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HJ 694-2014</w:t>
            </w:r>
          </w:p>
          <w:p w14:paraId="41A7E7EF">
            <w:pPr>
              <w:widowControl/>
              <w:jc w:val="center"/>
              <w:textAlignment w:val="center"/>
              <w:rPr>
                <w:rFonts w:ascii="宋体" w:hAnsi="宋体" w:eastAsia="宋体" w:cs="宋体"/>
                <w:color w:val="auto"/>
                <w:kern w:val="0"/>
                <w:sz w:val="20"/>
                <w:szCs w:val="20"/>
                <w:highlight w:val="none"/>
              </w:rPr>
            </w:pPr>
          </w:p>
        </w:tc>
        <w:tc>
          <w:tcPr>
            <w:tcW w:w="1080" w:type="dxa"/>
            <w:tcBorders>
              <w:tl2br w:val="nil"/>
              <w:tr2bl w:val="nil"/>
            </w:tcBorders>
            <w:shd w:val="clear" w:color="auto" w:fill="auto"/>
            <w:vAlign w:val="center"/>
          </w:tcPr>
          <w:p w14:paraId="4B40398A">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原子荧光光谱仪</w:t>
            </w:r>
          </w:p>
          <w:p w14:paraId="20B55464">
            <w:pPr>
              <w:widowControl/>
              <w:jc w:val="center"/>
              <w:textAlignment w:val="center"/>
              <w:rPr>
                <w:rFonts w:ascii="宋体" w:hAnsi="宋体" w:eastAsia="宋体" w:cs="宋体"/>
                <w:color w:val="auto"/>
                <w:sz w:val="20"/>
                <w:szCs w:val="20"/>
                <w:highlight w:val="none"/>
              </w:rPr>
            </w:pPr>
          </w:p>
        </w:tc>
        <w:tc>
          <w:tcPr>
            <w:tcW w:w="1275" w:type="dxa"/>
            <w:tcBorders>
              <w:tl2br w:val="nil"/>
              <w:tr2bl w:val="nil"/>
            </w:tcBorders>
            <w:shd w:val="clear" w:color="auto" w:fill="auto"/>
            <w:vAlign w:val="center"/>
          </w:tcPr>
          <w:p w14:paraId="70F06B99">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bidi="ar"/>
              </w:rPr>
              <w:t>HNO</w:t>
            </w:r>
            <w:r>
              <w:rPr>
                <w:rFonts w:hint="eastAsia" w:ascii="宋体" w:hAnsi="宋体" w:eastAsia="宋体" w:cs="宋体"/>
                <w:color w:val="auto"/>
                <w:kern w:val="0"/>
                <w:sz w:val="20"/>
                <w:szCs w:val="20"/>
                <w:highlight w:val="none"/>
                <w:vertAlign w:val="subscript"/>
                <w:lang w:bidi="ar"/>
              </w:rPr>
              <w:t>3</w:t>
            </w:r>
            <w:r>
              <w:rPr>
                <w:rFonts w:hint="eastAsia" w:ascii="宋体" w:hAnsi="宋体" w:eastAsia="宋体" w:cs="宋体"/>
                <w:color w:val="auto"/>
                <w:kern w:val="0"/>
                <w:sz w:val="20"/>
                <w:szCs w:val="20"/>
                <w:highlight w:val="none"/>
                <w:lang w:bidi="ar"/>
              </w:rPr>
              <w:t>，1 L 水样中加浓 HNO</w:t>
            </w:r>
            <w:r>
              <w:rPr>
                <w:rFonts w:hint="eastAsia" w:ascii="宋体" w:hAnsi="宋体" w:eastAsia="宋体" w:cs="宋体"/>
                <w:color w:val="auto"/>
                <w:kern w:val="0"/>
                <w:sz w:val="20"/>
                <w:szCs w:val="20"/>
                <w:highlight w:val="none"/>
                <w:vertAlign w:val="subscript"/>
                <w:lang w:bidi="ar"/>
              </w:rPr>
              <w:t>3</w:t>
            </w:r>
            <w:r>
              <w:rPr>
                <w:rFonts w:hint="eastAsia" w:ascii="宋体" w:hAnsi="宋体" w:eastAsia="宋体" w:cs="宋体"/>
                <w:color w:val="auto"/>
                <w:kern w:val="0"/>
                <w:sz w:val="20"/>
                <w:szCs w:val="20"/>
                <w:highlight w:val="none"/>
                <w:lang w:bidi="ar"/>
              </w:rPr>
              <w:t>10ml，如用原子荧光法测定，1L水样中加10ml浓HCl</w:t>
            </w:r>
          </w:p>
        </w:tc>
        <w:tc>
          <w:tcPr>
            <w:tcW w:w="1620" w:type="dxa"/>
            <w:tcBorders>
              <w:tl2br w:val="nil"/>
              <w:tr2bl w:val="nil"/>
            </w:tcBorders>
            <w:shd w:val="clear" w:color="auto" w:fill="auto"/>
            <w:vAlign w:val="center"/>
          </w:tcPr>
          <w:p w14:paraId="28F842C9">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委托检测</w:t>
            </w:r>
          </w:p>
        </w:tc>
      </w:tr>
      <w:tr w14:paraId="5E0C584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505" w:hRule="atLeast"/>
        </w:trPr>
        <w:tc>
          <w:tcPr>
            <w:tcW w:w="525" w:type="dxa"/>
            <w:tcBorders>
              <w:tl2br w:val="nil"/>
              <w:tr2bl w:val="nil"/>
            </w:tcBorders>
            <w:shd w:val="clear" w:color="auto" w:fill="auto"/>
            <w:vAlign w:val="center"/>
          </w:tcPr>
          <w:p w14:paraId="29E27CA3">
            <w:pPr>
              <w:widowControl/>
              <w:jc w:val="center"/>
              <w:textAlignment w:val="center"/>
              <w:rPr>
                <w:rFonts w:ascii="宋体" w:hAnsi="宋体" w:eastAsia="宋体" w:cs="宋体"/>
                <w:color w:val="auto"/>
                <w:sz w:val="20"/>
                <w:szCs w:val="20"/>
                <w:highlight w:val="none"/>
              </w:rPr>
            </w:pPr>
            <w:r>
              <w:rPr>
                <w:rFonts w:ascii="宋体" w:hAnsi="宋体" w:eastAsia="宋体" w:cs="宋体"/>
                <w:color w:val="auto"/>
                <w:kern w:val="0"/>
                <w:sz w:val="20"/>
                <w:szCs w:val="20"/>
                <w:highlight w:val="none"/>
              </w:rPr>
              <w:t>18</w:t>
            </w:r>
          </w:p>
        </w:tc>
        <w:tc>
          <w:tcPr>
            <w:tcW w:w="844" w:type="dxa"/>
            <w:tcBorders>
              <w:tl2br w:val="nil"/>
              <w:tr2bl w:val="nil"/>
            </w:tcBorders>
            <w:shd w:val="clear" w:color="auto" w:fill="auto"/>
            <w:vAlign w:val="center"/>
          </w:tcPr>
          <w:p w14:paraId="20B4C86F">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废水</w:t>
            </w:r>
          </w:p>
        </w:tc>
        <w:tc>
          <w:tcPr>
            <w:tcW w:w="900" w:type="dxa"/>
            <w:tcBorders>
              <w:tl2br w:val="nil"/>
              <w:tr2bl w:val="nil"/>
            </w:tcBorders>
            <w:shd w:val="clear" w:color="auto" w:fill="auto"/>
            <w:vAlign w:val="center"/>
          </w:tcPr>
          <w:p w14:paraId="6821D902">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DW001</w:t>
            </w:r>
          </w:p>
        </w:tc>
        <w:tc>
          <w:tcPr>
            <w:tcW w:w="1125" w:type="dxa"/>
            <w:tcBorders>
              <w:tl2br w:val="nil"/>
              <w:tr2bl w:val="nil"/>
            </w:tcBorders>
            <w:shd w:val="clear" w:color="auto" w:fill="auto"/>
            <w:vAlign w:val="center"/>
          </w:tcPr>
          <w:p w14:paraId="3B1F7533">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污水排放口</w:t>
            </w:r>
          </w:p>
        </w:tc>
        <w:tc>
          <w:tcPr>
            <w:tcW w:w="993" w:type="dxa"/>
            <w:tcBorders>
              <w:tl2br w:val="nil"/>
              <w:tr2bl w:val="nil"/>
            </w:tcBorders>
            <w:shd w:val="clear" w:color="auto" w:fill="auto"/>
            <w:vAlign w:val="center"/>
          </w:tcPr>
          <w:p w14:paraId="6104839B">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总镉</w:t>
            </w:r>
          </w:p>
        </w:tc>
        <w:tc>
          <w:tcPr>
            <w:tcW w:w="636" w:type="dxa"/>
            <w:tcBorders>
              <w:tl2br w:val="nil"/>
              <w:tr2bl w:val="nil"/>
            </w:tcBorders>
            <w:shd w:val="clear" w:color="auto" w:fill="auto"/>
            <w:vAlign w:val="center"/>
          </w:tcPr>
          <w:p w14:paraId="749A8490">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手工</w:t>
            </w:r>
          </w:p>
        </w:tc>
        <w:tc>
          <w:tcPr>
            <w:tcW w:w="1859" w:type="dxa"/>
            <w:tcBorders>
              <w:tl2br w:val="nil"/>
              <w:tr2bl w:val="nil"/>
            </w:tcBorders>
            <w:shd w:val="clear" w:color="auto" w:fill="auto"/>
            <w:vAlign w:val="center"/>
          </w:tcPr>
          <w:p w14:paraId="31B750C0">
            <w:pP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《城镇污水处理厂污染物排放标准》（GB18918-2002）一级A标准排放</w:t>
            </w:r>
          </w:p>
        </w:tc>
        <w:tc>
          <w:tcPr>
            <w:tcW w:w="1103" w:type="dxa"/>
            <w:tcBorders>
              <w:tl2br w:val="nil"/>
              <w:tr2bl w:val="nil"/>
            </w:tcBorders>
            <w:shd w:val="clear" w:color="auto" w:fill="auto"/>
            <w:vAlign w:val="center"/>
          </w:tcPr>
          <w:p w14:paraId="3CF8A6CC">
            <w:pP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≤0.01mg/L</w:t>
            </w:r>
          </w:p>
        </w:tc>
        <w:tc>
          <w:tcPr>
            <w:tcW w:w="1172" w:type="dxa"/>
            <w:tcBorders>
              <w:tl2br w:val="nil"/>
              <w:tr2bl w:val="nil"/>
            </w:tcBorders>
            <w:shd w:val="clear" w:color="auto" w:fill="auto"/>
            <w:vAlign w:val="center"/>
          </w:tcPr>
          <w:p w14:paraId="219BA5F3">
            <w:pP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0.05</w:t>
            </w:r>
            <w:r>
              <w:rPr>
                <w:rFonts w:hint="eastAsia"/>
                <w:color w:val="auto"/>
                <w:sz w:val="20"/>
                <w:szCs w:val="20"/>
                <w:highlight w:val="none"/>
              </w:rPr>
              <w:t>μg/L</w:t>
            </w:r>
          </w:p>
        </w:tc>
        <w:tc>
          <w:tcPr>
            <w:tcW w:w="559" w:type="dxa"/>
            <w:tcBorders>
              <w:tl2br w:val="nil"/>
              <w:tr2bl w:val="nil"/>
            </w:tcBorders>
            <w:shd w:val="clear" w:color="auto" w:fill="auto"/>
            <w:vAlign w:val="center"/>
          </w:tcPr>
          <w:p w14:paraId="3AD906C2">
            <w:pPr>
              <w:jc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w:t>
            </w:r>
          </w:p>
        </w:tc>
        <w:tc>
          <w:tcPr>
            <w:tcW w:w="1108" w:type="dxa"/>
            <w:tcBorders>
              <w:tl2br w:val="nil"/>
              <w:tr2bl w:val="nil"/>
            </w:tcBorders>
            <w:shd w:val="clear" w:color="auto" w:fill="auto"/>
            <w:vAlign w:val="center"/>
          </w:tcPr>
          <w:p w14:paraId="5227D1D9">
            <w:pPr>
              <w:jc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w:t>
            </w:r>
          </w:p>
        </w:tc>
        <w:tc>
          <w:tcPr>
            <w:tcW w:w="990" w:type="dxa"/>
            <w:tcBorders>
              <w:tl2br w:val="nil"/>
              <w:tr2bl w:val="nil"/>
            </w:tcBorders>
            <w:shd w:val="clear" w:color="auto" w:fill="auto"/>
            <w:vAlign w:val="center"/>
          </w:tcPr>
          <w:p w14:paraId="5B16437A">
            <w:pPr>
              <w:jc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w:t>
            </w:r>
          </w:p>
        </w:tc>
        <w:tc>
          <w:tcPr>
            <w:tcW w:w="1155" w:type="dxa"/>
            <w:tcBorders>
              <w:tl2br w:val="nil"/>
              <w:tr2bl w:val="nil"/>
            </w:tcBorders>
            <w:shd w:val="clear" w:color="auto" w:fill="auto"/>
            <w:vAlign w:val="center"/>
          </w:tcPr>
          <w:p w14:paraId="68E38F8E">
            <w:pPr>
              <w:jc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w:t>
            </w:r>
          </w:p>
        </w:tc>
        <w:tc>
          <w:tcPr>
            <w:tcW w:w="1452" w:type="dxa"/>
            <w:tcBorders>
              <w:tl2br w:val="nil"/>
              <w:tr2bl w:val="nil"/>
            </w:tcBorders>
            <w:shd w:val="clear" w:color="auto" w:fill="auto"/>
            <w:vAlign w:val="center"/>
          </w:tcPr>
          <w:p w14:paraId="506A5BF5">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xml:space="preserve">瞬时采样 </w:t>
            </w:r>
          </w:p>
          <w:p w14:paraId="1832922E">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3个瞬时样</w:t>
            </w:r>
            <w:r>
              <w:rPr>
                <w:rFonts w:hint="eastAsia" w:ascii="宋体" w:hAnsi="宋体" w:eastAsia="宋体" w:cs="宋体"/>
                <w:color w:val="auto"/>
                <w:kern w:val="0"/>
                <w:sz w:val="20"/>
                <w:szCs w:val="20"/>
                <w:highlight w:val="none"/>
                <w:lang w:bidi="ar"/>
              </w:rPr>
              <w:t xml:space="preserve"> </w:t>
            </w:r>
          </w:p>
        </w:tc>
        <w:tc>
          <w:tcPr>
            <w:tcW w:w="738" w:type="dxa"/>
            <w:tcBorders>
              <w:tl2br w:val="nil"/>
              <w:tr2bl w:val="nil"/>
            </w:tcBorders>
            <w:shd w:val="clear" w:color="auto" w:fill="auto"/>
            <w:vAlign w:val="center"/>
          </w:tcPr>
          <w:p w14:paraId="39CA3F50">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1次/</w:t>
            </w:r>
            <w:r>
              <w:rPr>
                <w:rStyle w:val="35"/>
                <w:rFonts w:hint="default"/>
                <w:color w:val="auto"/>
                <w:sz w:val="20"/>
                <w:szCs w:val="20"/>
                <w:highlight w:val="none"/>
              </w:rPr>
              <w:t>季</w:t>
            </w:r>
          </w:p>
        </w:tc>
        <w:tc>
          <w:tcPr>
            <w:tcW w:w="1666" w:type="dxa"/>
            <w:tcBorders>
              <w:tl2br w:val="nil"/>
              <w:tr2bl w:val="nil"/>
            </w:tcBorders>
            <w:shd w:val="clear" w:color="auto" w:fill="auto"/>
            <w:vAlign w:val="center"/>
          </w:tcPr>
          <w:p w14:paraId="19D950E1">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bidi="ar"/>
              </w:rPr>
              <w:t>《水质 65种元素的测定 电感耦合等离子体质谱法》 HJ 700-2014</w:t>
            </w:r>
          </w:p>
        </w:tc>
        <w:tc>
          <w:tcPr>
            <w:tcW w:w="1080" w:type="dxa"/>
            <w:tcBorders>
              <w:tl2br w:val="nil"/>
              <w:tr2bl w:val="nil"/>
            </w:tcBorders>
            <w:shd w:val="clear" w:color="auto" w:fill="auto"/>
            <w:vAlign w:val="center"/>
          </w:tcPr>
          <w:p w14:paraId="1723EDAA">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sz w:val="20"/>
                <w:szCs w:val="20"/>
                <w:highlight w:val="none"/>
              </w:rPr>
              <w:t>电感耦合等离子体质谱仪</w:t>
            </w:r>
          </w:p>
        </w:tc>
        <w:tc>
          <w:tcPr>
            <w:tcW w:w="1275" w:type="dxa"/>
            <w:tcBorders>
              <w:tl2br w:val="nil"/>
              <w:tr2bl w:val="nil"/>
            </w:tcBorders>
            <w:shd w:val="clear" w:color="auto" w:fill="auto"/>
            <w:vAlign w:val="center"/>
          </w:tcPr>
          <w:p w14:paraId="46589C83">
            <w:pPr>
              <w:widowControl/>
              <w:jc w:val="left"/>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HNO</w:t>
            </w:r>
            <w:r>
              <w:rPr>
                <w:rFonts w:hint="eastAsia" w:ascii="宋体" w:hAnsi="宋体" w:eastAsia="宋体" w:cs="宋体"/>
                <w:color w:val="auto"/>
                <w:kern w:val="0"/>
                <w:sz w:val="20"/>
                <w:szCs w:val="20"/>
                <w:highlight w:val="none"/>
                <w:vertAlign w:val="subscript"/>
                <w:lang w:bidi="ar"/>
              </w:rPr>
              <w:t>3</w:t>
            </w:r>
            <w:r>
              <w:rPr>
                <w:rFonts w:hint="eastAsia" w:ascii="宋体" w:hAnsi="宋体" w:eastAsia="宋体" w:cs="宋体"/>
                <w:color w:val="auto"/>
                <w:kern w:val="0"/>
                <w:sz w:val="20"/>
                <w:szCs w:val="20"/>
                <w:highlight w:val="none"/>
                <w:lang w:bidi="ar"/>
              </w:rPr>
              <w:t>，1L 水样中加浓 HNO</w:t>
            </w:r>
            <w:r>
              <w:rPr>
                <w:rFonts w:hint="eastAsia" w:ascii="宋体" w:hAnsi="宋体" w:eastAsia="宋体" w:cs="宋体"/>
                <w:color w:val="auto"/>
                <w:kern w:val="0"/>
                <w:sz w:val="20"/>
                <w:szCs w:val="20"/>
                <w:highlight w:val="none"/>
                <w:vertAlign w:val="subscript"/>
                <w:lang w:bidi="ar"/>
              </w:rPr>
              <w:t>3</w:t>
            </w:r>
            <w:r>
              <w:rPr>
                <w:rFonts w:hint="eastAsia" w:ascii="宋体" w:hAnsi="宋体" w:eastAsia="宋体" w:cs="宋体"/>
                <w:color w:val="auto"/>
                <w:kern w:val="0"/>
                <w:sz w:val="20"/>
                <w:szCs w:val="20"/>
                <w:highlight w:val="none"/>
                <w:lang w:bidi="ar"/>
              </w:rPr>
              <w:t>10 ml</w:t>
            </w:r>
          </w:p>
        </w:tc>
        <w:tc>
          <w:tcPr>
            <w:tcW w:w="1620" w:type="dxa"/>
            <w:tcBorders>
              <w:tl2br w:val="nil"/>
              <w:tr2bl w:val="nil"/>
            </w:tcBorders>
            <w:shd w:val="clear" w:color="auto" w:fill="auto"/>
            <w:vAlign w:val="center"/>
          </w:tcPr>
          <w:p w14:paraId="0ED2648D">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委托检测</w:t>
            </w:r>
          </w:p>
        </w:tc>
      </w:tr>
      <w:tr w14:paraId="1D0CBC8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809" w:hRule="atLeast"/>
        </w:trPr>
        <w:tc>
          <w:tcPr>
            <w:tcW w:w="525" w:type="dxa"/>
            <w:tcBorders>
              <w:tl2br w:val="nil"/>
              <w:tr2bl w:val="nil"/>
            </w:tcBorders>
            <w:shd w:val="clear" w:color="auto" w:fill="auto"/>
            <w:vAlign w:val="center"/>
          </w:tcPr>
          <w:p w14:paraId="453EDF79">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1</w:t>
            </w:r>
            <w:r>
              <w:rPr>
                <w:rFonts w:ascii="宋体" w:hAnsi="宋体" w:eastAsia="宋体" w:cs="宋体"/>
                <w:color w:val="auto"/>
                <w:kern w:val="0"/>
                <w:sz w:val="20"/>
                <w:szCs w:val="20"/>
                <w:highlight w:val="none"/>
              </w:rPr>
              <w:t>9</w:t>
            </w:r>
          </w:p>
        </w:tc>
        <w:tc>
          <w:tcPr>
            <w:tcW w:w="844" w:type="dxa"/>
            <w:tcBorders>
              <w:tl2br w:val="nil"/>
              <w:tr2bl w:val="nil"/>
            </w:tcBorders>
            <w:shd w:val="clear" w:color="auto" w:fill="auto"/>
            <w:vAlign w:val="center"/>
          </w:tcPr>
          <w:p w14:paraId="566AAA3D">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废水</w:t>
            </w:r>
          </w:p>
        </w:tc>
        <w:tc>
          <w:tcPr>
            <w:tcW w:w="900" w:type="dxa"/>
            <w:tcBorders>
              <w:tl2br w:val="nil"/>
              <w:tr2bl w:val="nil"/>
            </w:tcBorders>
            <w:shd w:val="clear" w:color="auto" w:fill="auto"/>
            <w:vAlign w:val="center"/>
          </w:tcPr>
          <w:p w14:paraId="3BBD7560">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DW001</w:t>
            </w:r>
          </w:p>
        </w:tc>
        <w:tc>
          <w:tcPr>
            <w:tcW w:w="1125" w:type="dxa"/>
            <w:tcBorders>
              <w:tl2br w:val="nil"/>
              <w:tr2bl w:val="nil"/>
            </w:tcBorders>
            <w:shd w:val="clear" w:color="auto" w:fill="auto"/>
            <w:vAlign w:val="center"/>
          </w:tcPr>
          <w:p w14:paraId="7EE981D0">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污水排放口</w:t>
            </w:r>
          </w:p>
        </w:tc>
        <w:tc>
          <w:tcPr>
            <w:tcW w:w="993" w:type="dxa"/>
            <w:tcBorders>
              <w:tl2br w:val="nil"/>
              <w:tr2bl w:val="nil"/>
            </w:tcBorders>
            <w:shd w:val="clear" w:color="auto" w:fill="auto"/>
            <w:vAlign w:val="center"/>
          </w:tcPr>
          <w:p w14:paraId="3FA426B9">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总铬</w:t>
            </w:r>
          </w:p>
        </w:tc>
        <w:tc>
          <w:tcPr>
            <w:tcW w:w="636" w:type="dxa"/>
            <w:tcBorders>
              <w:tl2br w:val="nil"/>
              <w:tr2bl w:val="nil"/>
            </w:tcBorders>
            <w:shd w:val="clear" w:color="auto" w:fill="auto"/>
            <w:vAlign w:val="center"/>
          </w:tcPr>
          <w:p w14:paraId="560438A2">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手工</w:t>
            </w:r>
          </w:p>
        </w:tc>
        <w:tc>
          <w:tcPr>
            <w:tcW w:w="1859" w:type="dxa"/>
            <w:tcBorders>
              <w:tl2br w:val="nil"/>
              <w:tr2bl w:val="nil"/>
            </w:tcBorders>
            <w:shd w:val="clear" w:color="auto" w:fill="auto"/>
            <w:vAlign w:val="center"/>
          </w:tcPr>
          <w:p w14:paraId="395FBF83">
            <w:pP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《城镇污水处理厂污染物排放标准》（GB18918-2002）一级A标准排放</w:t>
            </w:r>
          </w:p>
        </w:tc>
        <w:tc>
          <w:tcPr>
            <w:tcW w:w="1103" w:type="dxa"/>
            <w:tcBorders>
              <w:tl2br w:val="nil"/>
              <w:tr2bl w:val="nil"/>
            </w:tcBorders>
            <w:shd w:val="clear" w:color="auto" w:fill="auto"/>
            <w:vAlign w:val="center"/>
          </w:tcPr>
          <w:p w14:paraId="66299076">
            <w:pP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≤0.1mg/L</w:t>
            </w:r>
          </w:p>
        </w:tc>
        <w:tc>
          <w:tcPr>
            <w:tcW w:w="1172" w:type="dxa"/>
            <w:tcBorders>
              <w:tl2br w:val="nil"/>
              <w:tr2bl w:val="nil"/>
            </w:tcBorders>
            <w:shd w:val="clear" w:color="auto" w:fill="auto"/>
            <w:vAlign w:val="center"/>
          </w:tcPr>
          <w:p w14:paraId="2920746E">
            <w:pP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0.11</w:t>
            </w:r>
            <w:r>
              <w:rPr>
                <w:rFonts w:hint="eastAsia"/>
                <w:color w:val="auto"/>
                <w:sz w:val="20"/>
                <w:szCs w:val="20"/>
                <w:highlight w:val="none"/>
              </w:rPr>
              <w:t>μg/L</w:t>
            </w:r>
          </w:p>
        </w:tc>
        <w:tc>
          <w:tcPr>
            <w:tcW w:w="559" w:type="dxa"/>
            <w:tcBorders>
              <w:tl2br w:val="nil"/>
              <w:tr2bl w:val="nil"/>
            </w:tcBorders>
            <w:shd w:val="clear" w:color="auto" w:fill="auto"/>
            <w:vAlign w:val="center"/>
          </w:tcPr>
          <w:p w14:paraId="7F61809D">
            <w:pPr>
              <w:jc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w:t>
            </w:r>
          </w:p>
        </w:tc>
        <w:tc>
          <w:tcPr>
            <w:tcW w:w="1108" w:type="dxa"/>
            <w:tcBorders>
              <w:tl2br w:val="nil"/>
              <w:tr2bl w:val="nil"/>
            </w:tcBorders>
            <w:shd w:val="clear" w:color="auto" w:fill="auto"/>
            <w:vAlign w:val="center"/>
          </w:tcPr>
          <w:p w14:paraId="104FFF71">
            <w:pPr>
              <w:jc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w:t>
            </w:r>
          </w:p>
        </w:tc>
        <w:tc>
          <w:tcPr>
            <w:tcW w:w="990" w:type="dxa"/>
            <w:tcBorders>
              <w:tl2br w:val="nil"/>
              <w:tr2bl w:val="nil"/>
            </w:tcBorders>
            <w:shd w:val="clear" w:color="auto" w:fill="auto"/>
            <w:vAlign w:val="center"/>
          </w:tcPr>
          <w:p w14:paraId="75A41FB1">
            <w:pPr>
              <w:jc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w:t>
            </w:r>
          </w:p>
        </w:tc>
        <w:tc>
          <w:tcPr>
            <w:tcW w:w="1155" w:type="dxa"/>
            <w:tcBorders>
              <w:tl2br w:val="nil"/>
              <w:tr2bl w:val="nil"/>
            </w:tcBorders>
            <w:shd w:val="clear" w:color="auto" w:fill="auto"/>
            <w:vAlign w:val="center"/>
          </w:tcPr>
          <w:p w14:paraId="1D34A558">
            <w:pPr>
              <w:jc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w:t>
            </w:r>
          </w:p>
        </w:tc>
        <w:tc>
          <w:tcPr>
            <w:tcW w:w="1452" w:type="dxa"/>
            <w:tcBorders>
              <w:tl2br w:val="nil"/>
              <w:tr2bl w:val="nil"/>
            </w:tcBorders>
            <w:shd w:val="clear" w:color="auto" w:fill="auto"/>
            <w:vAlign w:val="center"/>
          </w:tcPr>
          <w:p w14:paraId="72D5CFCB">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xml:space="preserve">瞬时采样 </w:t>
            </w:r>
          </w:p>
          <w:p w14:paraId="2201120E">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3个瞬时样</w:t>
            </w:r>
          </w:p>
        </w:tc>
        <w:tc>
          <w:tcPr>
            <w:tcW w:w="738" w:type="dxa"/>
            <w:tcBorders>
              <w:tl2br w:val="nil"/>
              <w:tr2bl w:val="nil"/>
            </w:tcBorders>
            <w:shd w:val="clear" w:color="auto" w:fill="auto"/>
            <w:vAlign w:val="center"/>
          </w:tcPr>
          <w:p w14:paraId="4857E86D">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1次/</w:t>
            </w:r>
            <w:r>
              <w:rPr>
                <w:rStyle w:val="35"/>
                <w:rFonts w:hint="default"/>
                <w:color w:val="auto"/>
                <w:sz w:val="20"/>
                <w:szCs w:val="20"/>
                <w:highlight w:val="none"/>
                <w:lang w:bidi="ar"/>
              </w:rPr>
              <w:t>季</w:t>
            </w:r>
          </w:p>
        </w:tc>
        <w:tc>
          <w:tcPr>
            <w:tcW w:w="1666" w:type="dxa"/>
            <w:tcBorders>
              <w:tl2br w:val="nil"/>
              <w:tr2bl w:val="nil"/>
            </w:tcBorders>
            <w:shd w:val="clear" w:color="auto" w:fill="auto"/>
            <w:vAlign w:val="center"/>
          </w:tcPr>
          <w:p w14:paraId="50670F07">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bidi="ar"/>
              </w:rPr>
              <w:t>《水质 65种元素的测定 电感耦合等离子体质谱法》HJ 700-2014</w:t>
            </w:r>
          </w:p>
        </w:tc>
        <w:tc>
          <w:tcPr>
            <w:tcW w:w="1080" w:type="dxa"/>
            <w:tcBorders>
              <w:tl2br w:val="nil"/>
              <w:tr2bl w:val="nil"/>
            </w:tcBorders>
            <w:shd w:val="clear" w:color="auto" w:fill="auto"/>
            <w:vAlign w:val="center"/>
          </w:tcPr>
          <w:p w14:paraId="2E31188D">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电感耦合等离子体质谱仪</w:t>
            </w:r>
          </w:p>
          <w:p w14:paraId="529EEE49">
            <w:pPr>
              <w:widowControl/>
              <w:jc w:val="center"/>
              <w:textAlignment w:val="center"/>
              <w:rPr>
                <w:rFonts w:ascii="宋体" w:hAnsi="宋体" w:eastAsia="宋体" w:cs="宋体"/>
                <w:color w:val="auto"/>
                <w:kern w:val="0"/>
                <w:sz w:val="20"/>
                <w:szCs w:val="20"/>
                <w:highlight w:val="none"/>
              </w:rPr>
            </w:pPr>
          </w:p>
        </w:tc>
        <w:tc>
          <w:tcPr>
            <w:tcW w:w="1275" w:type="dxa"/>
            <w:tcBorders>
              <w:tl2br w:val="nil"/>
              <w:tr2bl w:val="nil"/>
            </w:tcBorders>
            <w:shd w:val="clear" w:color="auto" w:fill="auto"/>
            <w:vAlign w:val="center"/>
          </w:tcPr>
          <w:p w14:paraId="7EBB49C1">
            <w:pPr>
              <w:widowControl/>
              <w:jc w:val="center"/>
              <w:textAlignment w:val="center"/>
              <w:rPr>
                <w:rFonts w:ascii="宋体" w:hAnsi="宋体" w:eastAsia="宋体" w:cs="宋体"/>
                <w:color w:val="auto"/>
                <w:sz w:val="20"/>
                <w:szCs w:val="20"/>
                <w:highlight w:val="none"/>
              </w:rPr>
            </w:pPr>
            <w:r>
              <w:rPr>
                <w:rFonts w:hint="eastAsia" w:ascii="宋体" w:hAnsi="宋体" w:eastAsia="宋体" w:cs="宋体"/>
                <w:bCs/>
                <w:color w:val="auto"/>
                <w:sz w:val="20"/>
                <w:szCs w:val="20"/>
                <w:highlight w:val="none"/>
              </w:rPr>
              <w:t>1L水样中加浓HNO</w:t>
            </w:r>
            <w:r>
              <w:rPr>
                <w:rFonts w:hint="eastAsia" w:ascii="宋体" w:hAnsi="宋体" w:eastAsia="宋体" w:cs="宋体"/>
                <w:bCs/>
                <w:color w:val="auto"/>
                <w:sz w:val="20"/>
                <w:szCs w:val="20"/>
                <w:highlight w:val="none"/>
                <w:vertAlign w:val="subscript"/>
              </w:rPr>
              <w:t xml:space="preserve">3 </w:t>
            </w:r>
            <w:r>
              <w:rPr>
                <w:rFonts w:hint="eastAsia" w:ascii="宋体" w:hAnsi="宋体" w:eastAsia="宋体" w:cs="宋体"/>
                <w:bCs/>
                <w:color w:val="auto"/>
                <w:sz w:val="20"/>
                <w:szCs w:val="20"/>
                <w:highlight w:val="none"/>
              </w:rPr>
              <w:t>10ml</w:t>
            </w:r>
          </w:p>
        </w:tc>
        <w:tc>
          <w:tcPr>
            <w:tcW w:w="1620" w:type="dxa"/>
            <w:tcBorders>
              <w:tl2br w:val="nil"/>
              <w:tr2bl w:val="nil"/>
            </w:tcBorders>
            <w:shd w:val="clear" w:color="auto" w:fill="auto"/>
            <w:vAlign w:val="center"/>
          </w:tcPr>
          <w:p w14:paraId="36A5FAE7">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委托检测</w:t>
            </w:r>
          </w:p>
        </w:tc>
      </w:tr>
      <w:tr w14:paraId="0F7370F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561" w:hRule="atLeast"/>
        </w:trPr>
        <w:tc>
          <w:tcPr>
            <w:tcW w:w="525" w:type="dxa"/>
            <w:tcBorders>
              <w:tl2br w:val="nil"/>
              <w:tr2bl w:val="nil"/>
            </w:tcBorders>
            <w:shd w:val="clear" w:color="auto" w:fill="auto"/>
            <w:vAlign w:val="center"/>
          </w:tcPr>
          <w:p w14:paraId="0D852104">
            <w:pPr>
              <w:widowControl/>
              <w:jc w:val="center"/>
              <w:textAlignment w:val="center"/>
              <w:rPr>
                <w:rFonts w:ascii="宋体" w:hAnsi="宋体" w:eastAsia="宋体" w:cs="宋体"/>
                <w:color w:val="auto"/>
                <w:sz w:val="20"/>
                <w:szCs w:val="20"/>
                <w:highlight w:val="none"/>
              </w:rPr>
            </w:pPr>
            <w:r>
              <w:rPr>
                <w:rFonts w:ascii="宋体" w:hAnsi="宋体" w:eastAsia="宋体" w:cs="宋体"/>
                <w:color w:val="auto"/>
                <w:kern w:val="0"/>
                <w:sz w:val="20"/>
                <w:szCs w:val="20"/>
                <w:highlight w:val="none"/>
              </w:rPr>
              <w:t>20</w:t>
            </w:r>
          </w:p>
        </w:tc>
        <w:tc>
          <w:tcPr>
            <w:tcW w:w="844" w:type="dxa"/>
            <w:tcBorders>
              <w:tl2br w:val="nil"/>
              <w:tr2bl w:val="nil"/>
            </w:tcBorders>
            <w:shd w:val="clear" w:color="auto" w:fill="auto"/>
            <w:vAlign w:val="center"/>
          </w:tcPr>
          <w:p w14:paraId="716FD8FC">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废水</w:t>
            </w:r>
          </w:p>
        </w:tc>
        <w:tc>
          <w:tcPr>
            <w:tcW w:w="900" w:type="dxa"/>
            <w:tcBorders>
              <w:tl2br w:val="nil"/>
              <w:tr2bl w:val="nil"/>
            </w:tcBorders>
            <w:shd w:val="clear" w:color="auto" w:fill="auto"/>
            <w:vAlign w:val="center"/>
          </w:tcPr>
          <w:p w14:paraId="51ED7A09">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DW001</w:t>
            </w:r>
          </w:p>
        </w:tc>
        <w:tc>
          <w:tcPr>
            <w:tcW w:w="1125" w:type="dxa"/>
            <w:tcBorders>
              <w:tl2br w:val="nil"/>
              <w:tr2bl w:val="nil"/>
            </w:tcBorders>
            <w:shd w:val="clear" w:color="auto" w:fill="auto"/>
            <w:vAlign w:val="center"/>
          </w:tcPr>
          <w:p w14:paraId="305E0BE3">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污水排放口</w:t>
            </w:r>
          </w:p>
        </w:tc>
        <w:tc>
          <w:tcPr>
            <w:tcW w:w="993" w:type="dxa"/>
            <w:tcBorders>
              <w:tl2br w:val="nil"/>
              <w:tr2bl w:val="nil"/>
            </w:tcBorders>
            <w:shd w:val="clear" w:color="auto" w:fill="auto"/>
            <w:vAlign w:val="center"/>
          </w:tcPr>
          <w:p w14:paraId="1D2E99BB">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总铅</w:t>
            </w:r>
          </w:p>
        </w:tc>
        <w:tc>
          <w:tcPr>
            <w:tcW w:w="636" w:type="dxa"/>
            <w:tcBorders>
              <w:tl2br w:val="nil"/>
              <w:tr2bl w:val="nil"/>
            </w:tcBorders>
            <w:shd w:val="clear" w:color="auto" w:fill="auto"/>
            <w:vAlign w:val="center"/>
          </w:tcPr>
          <w:p w14:paraId="15CA1A74">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手工</w:t>
            </w:r>
          </w:p>
        </w:tc>
        <w:tc>
          <w:tcPr>
            <w:tcW w:w="1859" w:type="dxa"/>
            <w:tcBorders>
              <w:tl2br w:val="nil"/>
              <w:tr2bl w:val="nil"/>
            </w:tcBorders>
            <w:shd w:val="clear" w:color="auto" w:fill="auto"/>
            <w:vAlign w:val="center"/>
          </w:tcPr>
          <w:p w14:paraId="12E12DCD">
            <w:pP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《城镇污水处理厂污染物排放标准》（GB18918-2002）一级A标准排放</w:t>
            </w:r>
          </w:p>
        </w:tc>
        <w:tc>
          <w:tcPr>
            <w:tcW w:w="1103" w:type="dxa"/>
            <w:tcBorders>
              <w:tl2br w:val="nil"/>
              <w:tr2bl w:val="nil"/>
            </w:tcBorders>
            <w:shd w:val="clear" w:color="auto" w:fill="auto"/>
            <w:vAlign w:val="center"/>
          </w:tcPr>
          <w:p w14:paraId="57EC5752">
            <w:pP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≤0.1mg/L</w:t>
            </w:r>
          </w:p>
        </w:tc>
        <w:tc>
          <w:tcPr>
            <w:tcW w:w="1172" w:type="dxa"/>
            <w:tcBorders>
              <w:tl2br w:val="nil"/>
              <w:tr2bl w:val="nil"/>
            </w:tcBorders>
            <w:shd w:val="clear" w:color="auto" w:fill="auto"/>
            <w:vAlign w:val="center"/>
          </w:tcPr>
          <w:p w14:paraId="5F9EF3FB">
            <w:pP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0.09</w:t>
            </w:r>
            <w:r>
              <w:rPr>
                <w:rFonts w:hint="eastAsia"/>
                <w:color w:val="auto"/>
                <w:sz w:val="20"/>
                <w:szCs w:val="20"/>
                <w:highlight w:val="none"/>
              </w:rPr>
              <w:t>μg/L</w:t>
            </w:r>
          </w:p>
        </w:tc>
        <w:tc>
          <w:tcPr>
            <w:tcW w:w="559" w:type="dxa"/>
            <w:tcBorders>
              <w:tl2br w:val="nil"/>
              <w:tr2bl w:val="nil"/>
            </w:tcBorders>
            <w:shd w:val="clear" w:color="auto" w:fill="auto"/>
            <w:vAlign w:val="center"/>
          </w:tcPr>
          <w:p w14:paraId="7B4186BC">
            <w:pPr>
              <w:jc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w:t>
            </w:r>
          </w:p>
        </w:tc>
        <w:tc>
          <w:tcPr>
            <w:tcW w:w="1108" w:type="dxa"/>
            <w:tcBorders>
              <w:tl2br w:val="nil"/>
              <w:tr2bl w:val="nil"/>
            </w:tcBorders>
            <w:shd w:val="clear" w:color="auto" w:fill="auto"/>
            <w:vAlign w:val="center"/>
          </w:tcPr>
          <w:p w14:paraId="2EA9B0A1">
            <w:pPr>
              <w:jc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w:t>
            </w:r>
          </w:p>
        </w:tc>
        <w:tc>
          <w:tcPr>
            <w:tcW w:w="990" w:type="dxa"/>
            <w:tcBorders>
              <w:tl2br w:val="nil"/>
              <w:tr2bl w:val="nil"/>
            </w:tcBorders>
            <w:shd w:val="clear" w:color="auto" w:fill="auto"/>
            <w:vAlign w:val="center"/>
          </w:tcPr>
          <w:p w14:paraId="5AB8D415">
            <w:pPr>
              <w:jc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w:t>
            </w:r>
          </w:p>
        </w:tc>
        <w:tc>
          <w:tcPr>
            <w:tcW w:w="1155" w:type="dxa"/>
            <w:tcBorders>
              <w:tl2br w:val="nil"/>
              <w:tr2bl w:val="nil"/>
            </w:tcBorders>
            <w:shd w:val="clear" w:color="auto" w:fill="auto"/>
            <w:vAlign w:val="center"/>
          </w:tcPr>
          <w:p w14:paraId="2CCD7423">
            <w:pPr>
              <w:jc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w:t>
            </w:r>
          </w:p>
        </w:tc>
        <w:tc>
          <w:tcPr>
            <w:tcW w:w="1452" w:type="dxa"/>
            <w:tcBorders>
              <w:tl2br w:val="nil"/>
              <w:tr2bl w:val="nil"/>
            </w:tcBorders>
            <w:shd w:val="clear" w:color="auto" w:fill="auto"/>
            <w:vAlign w:val="center"/>
          </w:tcPr>
          <w:p w14:paraId="3A243025">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xml:space="preserve">瞬时采样 </w:t>
            </w:r>
          </w:p>
          <w:p w14:paraId="404119C1">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3个瞬时样</w:t>
            </w:r>
          </w:p>
        </w:tc>
        <w:tc>
          <w:tcPr>
            <w:tcW w:w="738" w:type="dxa"/>
            <w:tcBorders>
              <w:tl2br w:val="nil"/>
              <w:tr2bl w:val="nil"/>
            </w:tcBorders>
            <w:shd w:val="clear" w:color="auto" w:fill="auto"/>
            <w:vAlign w:val="center"/>
          </w:tcPr>
          <w:p w14:paraId="237DBAC7">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1次/</w:t>
            </w:r>
            <w:r>
              <w:rPr>
                <w:rStyle w:val="35"/>
                <w:rFonts w:hint="default"/>
                <w:color w:val="auto"/>
                <w:sz w:val="20"/>
                <w:szCs w:val="20"/>
                <w:highlight w:val="none"/>
              </w:rPr>
              <w:t>季</w:t>
            </w:r>
          </w:p>
        </w:tc>
        <w:tc>
          <w:tcPr>
            <w:tcW w:w="1666" w:type="dxa"/>
            <w:tcBorders>
              <w:tl2br w:val="nil"/>
              <w:tr2bl w:val="nil"/>
            </w:tcBorders>
            <w:shd w:val="clear" w:color="auto" w:fill="auto"/>
            <w:vAlign w:val="center"/>
          </w:tcPr>
          <w:p w14:paraId="09AB32CA">
            <w:pPr>
              <w:widowControl/>
              <w:jc w:val="center"/>
              <w:textAlignment w:val="center"/>
              <w:rPr>
                <w:rStyle w:val="35"/>
                <w:rFonts w:hint="default"/>
                <w:color w:val="auto"/>
                <w:sz w:val="20"/>
                <w:szCs w:val="20"/>
                <w:highlight w:val="none"/>
              </w:rPr>
            </w:pPr>
            <w:r>
              <w:rPr>
                <w:rStyle w:val="35"/>
                <w:rFonts w:hint="default"/>
                <w:color w:val="auto"/>
                <w:sz w:val="20"/>
                <w:szCs w:val="20"/>
                <w:highlight w:val="none"/>
              </w:rPr>
              <w:t xml:space="preserve">《水质 65种元素的测定 电感耦合等离子体质谱法》 </w:t>
            </w:r>
          </w:p>
          <w:p w14:paraId="70645B30">
            <w:pPr>
              <w:widowControl/>
              <w:jc w:val="center"/>
              <w:textAlignment w:val="center"/>
              <w:rPr>
                <w:rFonts w:ascii="宋体" w:hAnsi="宋体" w:eastAsia="宋体" w:cs="宋体"/>
                <w:color w:val="auto"/>
                <w:kern w:val="0"/>
                <w:sz w:val="20"/>
                <w:szCs w:val="20"/>
                <w:highlight w:val="none"/>
              </w:rPr>
            </w:pPr>
            <w:r>
              <w:rPr>
                <w:rStyle w:val="35"/>
                <w:rFonts w:hint="default"/>
                <w:color w:val="auto"/>
                <w:sz w:val="20"/>
                <w:szCs w:val="20"/>
                <w:highlight w:val="none"/>
              </w:rPr>
              <w:t>HJ 700-2014</w:t>
            </w:r>
          </w:p>
        </w:tc>
        <w:tc>
          <w:tcPr>
            <w:tcW w:w="1080" w:type="dxa"/>
            <w:tcBorders>
              <w:tl2br w:val="nil"/>
              <w:tr2bl w:val="nil"/>
            </w:tcBorders>
            <w:shd w:val="clear" w:color="auto" w:fill="auto"/>
            <w:vAlign w:val="center"/>
          </w:tcPr>
          <w:p w14:paraId="19F59958">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sz w:val="20"/>
                <w:szCs w:val="20"/>
                <w:highlight w:val="none"/>
              </w:rPr>
              <w:t>电感耦合等离子体质谱仪</w:t>
            </w:r>
          </w:p>
        </w:tc>
        <w:tc>
          <w:tcPr>
            <w:tcW w:w="1275" w:type="dxa"/>
            <w:tcBorders>
              <w:tl2br w:val="nil"/>
              <w:tr2bl w:val="nil"/>
            </w:tcBorders>
            <w:shd w:val="clear" w:color="auto" w:fill="auto"/>
            <w:vAlign w:val="center"/>
          </w:tcPr>
          <w:p w14:paraId="37EDC77D">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HNO3，1%，如水样为中性，1L水样中加浓 HNO</w:t>
            </w:r>
            <w:r>
              <w:rPr>
                <w:rFonts w:hint="eastAsia" w:ascii="宋体" w:hAnsi="宋体" w:eastAsia="宋体" w:cs="宋体"/>
                <w:color w:val="auto"/>
                <w:kern w:val="0"/>
                <w:sz w:val="20"/>
                <w:szCs w:val="20"/>
                <w:highlight w:val="none"/>
                <w:vertAlign w:val="subscript"/>
              </w:rPr>
              <w:t>3</w:t>
            </w:r>
            <w:r>
              <w:rPr>
                <w:rFonts w:hint="eastAsia" w:ascii="宋体" w:hAnsi="宋体" w:eastAsia="宋体" w:cs="宋体"/>
                <w:color w:val="auto"/>
                <w:kern w:val="0"/>
                <w:sz w:val="20"/>
                <w:szCs w:val="20"/>
                <w:highlight w:val="none"/>
              </w:rPr>
              <w:t>10ml</w:t>
            </w:r>
          </w:p>
        </w:tc>
        <w:tc>
          <w:tcPr>
            <w:tcW w:w="1620" w:type="dxa"/>
            <w:tcBorders>
              <w:tl2br w:val="nil"/>
              <w:tr2bl w:val="nil"/>
            </w:tcBorders>
            <w:shd w:val="clear" w:color="auto" w:fill="auto"/>
            <w:vAlign w:val="center"/>
          </w:tcPr>
          <w:p w14:paraId="5D301CD2">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委托检测</w:t>
            </w:r>
          </w:p>
        </w:tc>
      </w:tr>
      <w:tr w14:paraId="658C503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792" w:hRule="atLeast"/>
        </w:trPr>
        <w:tc>
          <w:tcPr>
            <w:tcW w:w="525" w:type="dxa"/>
            <w:tcBorders>
              <w:tl2br w:val="nil"/>
              <w:tr2bl w:val="nil"/>
            </w:tcBorders>
            <w:shd w:val="clear" w:color="auto" w:fill="auto"/>
            <w:vAlign w:val="center"/>
          </w:tcPr>
          <w:p w14:paraId="11C04148">
            <w:pPr>
              <w:widowControl/>
              <w:jc w:val="center"/>
              <w:textAlignment w:val="center"/>
              <w:rPr>
                <w:rFonts w:ascii="宋体" w:hAnsi="宋体" w:eastAsia="宋体" w:cs="宋体"/>
                <w:color w:val="auto"/>
                <w:sz w:val="20"/>
                <w:szCs w:val="20"/>
                <w:highlight w:val="none"/>
              </w:rPr>
            </w:pPr>
            <w:r>
              <w:rPr>
                <w:rFonts w:ascii="宋体" w:hAnsi="宋体" w:eastAsia="宋体" w:cs="宋体"/>
                <w:color w:val="auto"/>
                <w:kern w:val="0"/>
                <w:sz w:val="20"/>
                <w:szCs w:val="20"/>
                <w:highlight w:val="none"/>
              </w:rPr>
              <w:t>21</w:t>
            </w:r>
          </w:p>
        </w:tc>
        <w:tc>
          <w:tcPr>
            <w:tcW w:w="844" w:type="dxa"/>
            <w:tcBorders>
              <w:tl2br w:val="nil"/>
              <w:tr2bl w:val="nil"/>
            </w:tcBorders>
            <w:shd w:val="clear" w:color="auto" w:fill="auto"/>
            <w:vAlign w:val="center"/>
          </w:tcPr>
          <w:p w14:paraId="648E7360">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废水</w:t>
            </w:r>
          </w:p>
        </w:tc>
        <w:tc>
          <w:tcPr>
            <w:tcW w:w="900" w:type="dxa"/>
            <w:tcBorders>
              <w:tl2br w:val="nil"/>
              <w:tr2bl w:val="nil"/>
            </w:tcBorders>
            <w:shd w:val="clear" w:color="auto" w:fill="auto"/>
            <w:vAlign w:val="center"/>
          </w:tcPr>
          <w:p w14:paraId="1E3D6042">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DW001</w:t>
            </w:r>
          </w:p>
        </w:tc>
        <w:tc>
          <w:tcPr>
            <w:tcW w:w="1125" w:type="dxa"/>
            <w:tcBorders>
              <w:tl2br w:val="nil"/>
              <w:tr2bl w:val="nil"/>
            </w:tcBorders>
            <w:shd w:val="clear" w:color="auto" w:fill="auto"/>
            <w:vAlign w:val="center"/>
          </w:tcPr>
          <w:p w14:paraId="35574DAB">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污水排放口</w:t>
            </w:r>
          </w:p>
        </w:tc>
        <w:tc>
          <w:tcPr>
            <w:tcW w:w="993" w:type="dxa"/>
            <w:tcBorders>
              <w:tl2br w:val="nil"/>
              <w:tr2bl w:val="nil"/>
            </w:tcBorders>
            <w:shd w:val="clear" w:color="auto" w:fill="auto"/>
            <w:vAlign w:val="center"/>
          </w:tcPr>
          <w:p w14:paraId="142448BC">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烷基汞</w:t>
            </w:r>
          </w:p>
        </w:tc>
        <w:tc>
          <w:tcPr>
            <w:tcW w:w="636" w:type="dxa"/>
            <w:tcBorders>
              <w:tl2br w:val="nil"/>
              <w:tr2bl w:val="nil"/>
            </w:tcBorders>
            <w:shd w:val="clear" w:color="auto" w:fill="auto"/>
            <w:vAlign w:val="center"/>
          </w:tcPr>
          <w:p w14:paraId="5449A6F8">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手工</w:t>
            </w:r>
          </w:p>
        </w:tc>
        <w:tc>
          <w:tcPr>
            <w:tcW w:w="1859" w:type="dxa"/>
            <w:tcBorders>
              <w:tl2br w:val="nil"/>
              <w:tr2bl w:val="nil"/>
            </w:tcBorders>
            <w:shd w:val="clear" w:color="auto" w:fill="auto"/>
            <w:vAlign w:val="center"/>
          </w:tcPr>
          <w:p w14:paraId="4EBCB9DC">
            <w:pP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《城镇污水处理厂污染物排放标准》（GB18918-2002）一级A标准排放</w:t>
            </w:r>
          </w:p>
        </w:tc>
        <w:tc>
          <w:tcPr>
            <w:tcW w:w="1103" w:type="dxa"/>
            <w:tcBorders>
              <w:tl2br w:val="nil"/>
              <w:tr2bl w:val="nil"/>
            </w:tcBorders>
            <w:shd w:val="clear" w:color="auto" w:fill="auto"/>
            <w:vAlign w:val="center"/>
          </w:tcPr>
          <w:p w14:paraId="0F6F8376">
            <w:pP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不得检出</w:t>
            </w:r>
          </w:p>
        </w:tc>
        <w:tc>
          <w:tcPr>
            <w:tcW w:w="1172" w:type="dxa"/>
            <w:tcBorders>
              <w:tl2br w:val="nil"/>
              <w:tr2bl w:val="nil"/>
            </w:tcBorders>
            <w:shd w:val="clear" w:color="auto" w:fill="auto"/>
            <w:vAlign w:val="center"/>
          </w:tcPr>
          <w:p w14:paraId="4A4C1FF8">
            <w:pP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0.02ng/L</w:t>
            </w:r>
          </w:p>
        </w:tc>
        <w:tc>
          <w:tcPr>
            <w:tcW w:w="559" w:type="dxa"/>
            <w:tcBorders>
              <w:tl2br w:val="nil"/>
              <w:tr2bl w:val="nil"/>
            </w:tcBorders>
            <w:shd w:val="clear" w:color="auto" w:fill="auto"/>
            <w:vAlign w:val="center"/>
          </w:tcPr>
          <w:p w14:paraId="4A7A279A">
            <w:pPr>
              <w:jc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w:t>
            </w:r>
          </w:p>
        </w:tc>
        <w:tc>
          <w:tcPr>
            <w:tcW w:w="1108" w:type="dxa"/>
            <w:tcBorders>
              <w:tl2br w:val="nil"/>
              <w:tr2bl w:val="nil"/>
            </w:tcBorders>
            <w:shd w:val="clear" w:color="auto" w:fill="auto"/>
            <w:vAlign w:val="center"/>
          </w:tcPr>
          <w:p w14:paraId="2C5CB401">
            <w:pPr>
              <w:jc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w:t>
            </w:r>
          </w:p>
        </w:tc>
        <w:tc>
          <w:tcPr>
            <w:tcW w:w="990" w:type="dxa"/>
            <w:tcBorders>
              <w:tl2br w:val="nil"/>
              <w:tr2bl w:val="nil"/>
            </w:tcBorders>
            <w:shd w:val="clear" w:color="auto" w:fill="auto"/>
            <w:vAlign w:val="center"/>
          </w:tcPr>
          <w:p w14:paraId="01129D40">
            <w:pPr>
              <w:jc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w:t>
            </w:r>
          </w:p>
        </w:tc>
        <w:tc>
          <w:tcPr>
            <w:tcW w:w="1155" w:type="dxa"/>
            <w:tcBorders>
              <w:tl2br w:val="nil"/>
              <w:tr2bl w:val="nil"/>
            </w:tcBorders>
            <w:shd w:val="clear" w:color="auto" w:fill="auto"/>
            <w:vAlign w:val="center"/>
          </w:tcPr>
          <w:p w14:paraId="32C5160A">
            <w:pPr>
              <w:jc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w:t>
            </w:r>
          </w:p>
        </w:tc>
        <w:tc>
          <w:tcPr>
            <w:tcW w:w="1452" w:type="dxa"/>
            <w:tcBorders>
              <w:tl2br w:val="nil"/>
              <w:tr2bl w:val="nil"/>
            </w:tcBorders>
            <w:shd w:val="clear" w:color="auto" w:fill="auto"/>
            <w:vAlign w:val="center"/>
          </w:tcPr>
          <w:p w14:paraId="1CF6F76E">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xml:space="preserve">瞬时采样 </w:t>
            </w:r>
          </w:p>
          <w:p w14:paraId="38CFFFC6">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3个瞬时样</w:t>
            </w:r>
          </w:p>
        </w:tc>
        <w:tc>
          <w:tcPr>
            <w:tcW w:w="738" w:type="dxa"/>
            <w:tcBorders>
              <w:tl2br w:val="nil"/>
              <w:tr2bl w:val="nil"/>
            </w:tcBorders>
            <w:shd w:val="clear" w:color="auto" w:fill="auto"/>
            <w:vAlign w:val="center"/>
          </w:tcPr>
          <w:p w14:paraId="718ACBFC">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1次/半年</w:t>
            </w:r>
          </w:p>
        </w:tc>
        <w:tc>
          <w:tcPr>
            <w:tcW w:w="1666" w:type="dxa"/>
            <w:tcBorders>
              <w:tl2br w:val="nil"/>
              <w:tr2bl w:val="nil"/>
            </w:tcBorders>
            <w:shd w:val="clear" w:color="auto" w:fill="auto"/>
            <w:vAlign w:val="center"/>
          </w:tcPr>
          <w:p w14:paraId="0EFAF82C">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水质 烷基汞的测定 吹扫捕集气相色谱冷原子荧光光谱法 HJ 977-2018</w:t>
            </w:r>
          </w:p>
        </w:tc>
        <w:tc>
          <w:tcPr>
            <w:tcW w:w="1080" w:type="dxa"/>
            <w:tcBorders>
              <w:tl2br w:val="nil"/>
              <w:tr2bl w:val="nil"/>
            </w:tcBorders>
            <w:shd w:val="clear" w:color="auto" w:fill="auto"/>
            <w:vAlign w:val="center"/>
          </w:tcPr>
          <w:p w14:paraId="7D4BE0E5">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sz w:val="20"/>
                <w:szCs w:val="20"/>
                <w:highlight w:val="none"/>
              </w:rPr>
              <w:t>全自动烷基汞分析系统</w:t>
            </w:r>
          </w:p>
        </w:tc>
        <w:tc>
          <w:tcPr>
            <w:tcW w:w="1275" w:type="dxa"/>
            <w:tcBorders>
              <w:tl2br w:val="nil"/>
              <w:tr2bl w:val="nil"/>
            </w:tcBorders>
            <w:shd w:val="clear" w:color="auto" w:fill="auto"/>
            <w:vAlign w:val="center"/>
          </w:tcPr>
          <w:p w14:paraId="4905FC62">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xml:space="preserve">如在数小时内样品不能分析，应在样品瓶中预 </w:t>
            </w:r>
          </w:p>
          <w:p w14:paraId="58335DE3">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先加入 CuSO</w:t>
            </w:r>
            <w:r>
              <w:rPr>
                <w:rFonts w:hint="eastAsia" w:ascii="宋体" w:hAnsi="宋体" w:eastAsia="宋体" w:cs="宋体"/>
                <w:color w:val="auto"/>
                <w:kern w:val="0"/>
                <w:sz w:val="20"/>
                <w:szCs w:val="20"/>
                <w:highlight w:val="none"/>
                <w:vertAlign w:val="subscript"/>
              </w:rPr>
              <w:t>4</w:t>
            </w:r>
            <w:r>
              <w:rPr>
                <w:rFonts w:hint="eastAsia" w:ascii="宋体" w:hAnsi="宋体" w:eastAsia="宋体" w:cs="宋体"/>
                <w:color w:val="auto"/>
                <w:kern w:val="0"/>
                <w:sz w:val="20"/>
                <w:szCs w:val="20"/>
                <w:highlight w:val="none"/>
              </w:rPr>
              <w:t>，加入量为每升 1g，冷藏</w:t>
            </w:r>
          </w:p>
        </w:tc>
        <w:tc>
          <w:tcPr>
            <w:tcW w:w="1620" w:type="dxa"/>
            <w:tcBorders>
              <w:tl2br w:val="nil"/>
              <w:tr2bl w:val="nil"/>
            </w:tcBorders>
            <w:shd w:val="clear" w:color="auto" w:fill="auto"/>
            <w:vAlign w:val="center"/>
          </w:tcPr>
          <w:p w14:paraId="2FCB21E3">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委托检测</w:t>
            </w:r>
          </w:p>
        </w:tc>
      </w:tr>
      <w:tr w14:paraId="76577ED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345" w:hRule="atLeast"/>
        </w:trPr>
        <w:tc>
          <w:tcPr>
            <w:tcW w:w="525" w:type="dxa"/>
            <w:tcBorders>
              <w:tl2br w:val="nil"/>
              <w:tr2bl w:val="nil"/>
            </w:tcBorders>
            <w:shd w:val="clear" w:color="auto" w:fill="auto"/>
            <w:vAlign w:val="center"/>
          </w:tcPr>
          <w:p w14:paraId="7A27CE98">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w:t>
            </w:r>
            <w:r>
              <w:rPr>
                <w:rFonts w:ascii="宋体" w:hAnsi="宋体" w:eastAsia="宋体" w:cs="宋体"/>
                <w:color w:val="auto"/>
                <w:kern w:val="0"/>
                <w:sz w:val="20"/>
                <w:szCs w:val="20"/>
                <w:highlight w:val="none"/>
              </w:rPr>
              <w:t>2</w:t>
            </w:r>
          </w:p>
        </w:tc>
        <w:tc>
          <w:tcPr>
            <w:tcW w:w="844" w:type="dxa"/>
            <w:tcBorders>
              <w:tl2br w:val="nil"/>
              <w:tr2bl w:val="nil"/>
            </w:tcBorders>
            <w:shd w:val="clear" w:color="auto" w:fill="auto"/>
            <w:vAlign w:val="center"/>
          </w:tcPr>
          <w:p w14:paraId="0D61E759">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废水</w:t>
            </w:r>
          </w:p>
        </w:tc>
        <w:tc>
          <w:tcPr>
            <w:tcW w:w="900" w:type="dxa"/>
            <w:tcBorders>
              <w:tl2br w:val="nil"/>
              <w:tr2bl w:val="nil"/>
            </w:tcBorders>
            <w:shd w:val="clear" w:color="auto" w:fill="auto"/>
            <w:vAlign w:val="center"/>
          </w:tcPr>
          <w:p w14:paraId="220967C7">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MW00</w:t>
            </w:r>
            <w:r>
              <w:rPr>
                <w:rStyle w:val="37"/>
                <w:rFonts w:hint="default"/>
                <w:color w:val="auto"/>
                <w:sz w:val="20"/>
                <w:szCs w:val="20"/>
                <w:highlight w:val="none"/>
              </w:rPr>
              <w:t>1</w:t>
            </w:r>
          </w:p>
        </w:tc>
        <w:tc>
          <w:tcPr>
            <w:tcW w:w="1125" w:type="dxa"/>
            <w:tcBorders>
              <w:tl2br w:val="nil"/>
              <w:tr2bl w:val="nil"/>
            </w:tcBorders>
            <w:shd w:val="clear" w:color="auto" w:fill="auto"/>
            <w:vAlign w:val="center"/>
          </w:tcPr>
          <w:p w14:paraId="5CE44E1B">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进水口</w:t>
            </w:r>
          </w:p>
        </w:tc>
        <w:tc>
          <w:tcPr>
            <w:tcW w:w="993" w:type="dxa"/>
            <w:tcBorders>
              <w:tl2br w:val="nil"/>
              <w:tr2bl w:val="nil"/>
            </w:tcBorders>
            <w:shd w:val="clear" w:color="auto" w:fill="auto"/>
            <w:vAlign w:val="center"/>
          </w:tcPr>
          <w:p w14:paraId="7A9151A8">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pH值</w:t>
            </w:r>
          </w:p>
        </w:tc>
        <w:tc>
          <w:tcPr>
            <w:tcW w:w="636" w:type="dxa"/>
            <w:tcBorders>
              <w:tl2br w:val="nil"/>
              <w:tr2bl w:val="nil"/>
            </w:tcBorders>
            <w:shd w:val="clear" w:color="auto" w:fill="auto"/>
            <w:vAlign w:val="center"/>
          </w:tcPr>
          <w:p w14:paraId="157F5FFF">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自动</w:t>
            </w:r>
          </w:p>
        </w:tc>
        <w:tc>
          <w:tcPr>
            <w:tcW w:w="1859" w:type="dxa"/>
            <w:tcBorders>
              <w:tl2br w:val="nil"/>
              <w:tr2bl w:val="nil"/>
            </w:tcBorders>
            <w:shd w:val="clear" w:color="auto" w:fill="auto"/>
            <w:vAlign w:val="center"/>
          </w:tcPr>
          <w:p w14:paraId="58E4D358">
            <w:pPr>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kern w:val="0"/>
                <w:sz w:val="20"/>
                <w:szCs w:val="20"/>
                <w:highlight w:val="none"/>
              </w:rPr>
              <w:t>设计进水水质</w:t>
            </w:r>
          </w:p>
        </w:tc>
        <w:tc>
          <w:tcPr>
            <w:tcW w:w="1103" w:type="dxa"/>
            <w:tcBorders>
              <w:tl2br w:val="nil"/>
              <w:tr2bl w:val="nil"/>
            </w:tcBorders>
            <w:shd w:val="clear" w:color="auto" w:fill="auto"/>
            <w:vAlign w:val="center"/>
          </w:tcPr>
          <w:p w14:paraId="6A7E7961">
            <w:pP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6-9（无量纲）</w:t>
            </w:r>
          </w:p>
        </w:tc>
        <w:tc>
          <w:tcPr>
            <w:tcW w:w="1172" w:type="dxa"/>
            <w:tcBorders>
              <w:tl2br w:val="nil"/>
              <w:tr2bl w:val="nil"/>
            </w:tcBorders>
            <w:shd w:val="clear" w:color="auto" w:fill="auto"/>
            <w:vAlign w:val="center"/>
          </w:tcPr>
          <w:p w14:paraId="02F68B60">
            <w:pPr>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w:t>
            </w:r>
          </w:p>
        </w:tc>
        <w:tc>
          <w:tcPr>
            <w:tcW w:w="559" w:type="dxa"/>
            <w:tcBorders>
              <w:tl2br w:val="nil"/>
              <w:tr2bl w:val="nil"/>
            </w:tcBorders>
            <w:shd w:val="clear" w:color="auto" w:fill="auto"/>
            <w:vAlign w:val="center"/>
          </w:tcPr>
          <w:p w14:paraId="231FC187">
            <w:pPr>
              <w:jc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是</w:t>
            </w:r>
          </w:p>
        </w:tc>
        <w:tc>
          <w:tcPr>
            <w:tcW w:w="1108" w:type="dxa"/>
            <w:tcBorders>
              <w:tl2br w:val="nil"/>
              <w:tr2bl w:val="nil"/>
            </w:tcBorders>
            <w:shd w:val="clear" w:color="auto" w:fill="auto"/>
            <w:vAlign w:val="center"/>
          </w:tcPr>
          <w:p w14:paraId="46184A3E">
            <w:pPr>
              <w:jc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PH在线监测设备</w:t>
            </w:r>
          </w:p>
        </w:tc>
        <w:tc>
          <w:tcPr>
            <w:tcW w:w="990" w:type="dxa"/>
            <w:tcBorders>
              <w:tl2br w:val="nil"/>
              <w:tr2bl w:val="nil"/>
            </w:tcBorders>
            <w:shd w:val="clear" w:color="auto" w:fill="auto"/>
            <w:vAlign w:val="center"/>
          </w:tcPr>
          <w:p w14:paraId="52890A59">
            <w:pPr>
              <w:jc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val="en-US" w:eastAsia="zh-CN"/>
              </w:rPr>
              <w:t>进水</w:t>
            </w:r>
            <w:r>
              <w:rPr>
                <w:rFonts w:hint="eastAsia" w:ascii="宋体" w:hAnsi="宋体" w:eastAsia="宋体" w:cs="宋体"/>
                <w:color w:val="auto"/>
                <w:kern w:val="0"/>
                <w:sz w:val="20"/>
                <w:szCs w:val="20"/>
                <w:highlight w:val="none"/>
              </w:rPr>
              <w:t>在线监测房</w:t>
            </w:r>
          </w:p>
        </w:tc>
        <w:tc>
          <w:tcPr>
            <w:tcW w:w="1155" w:type="dxa"/>
            <w:tcBorders>
              <w:tl2br w:val="nil"/>
              <w:tr2bl w:val="nil"/>
            </w:tcBorders>
            <w:shd w:val="clear" w:color="auto" w:fill="auto"/>
            <w:vAlign w:val="center"/>
          </w:tcPr>
          <w:p w14:paraId="06C684ED">
            <w:pPr>
              <w:jc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是</w:t>
            </w:r>
          </w:p>
        </w:tc>
        <w:tc>
          <w:tcPr>
            <w:tcW w:w="1452" w:type="dxa"/>
            <w:tcBorders>
              <w:tl2br w:val="nil"/>
              <w:tr2bl w:val="nil"/>
            </w:tcBorders>
            <w:shd w:val="clear" w:color="auto" w:fill="auto"/>
            <w:vAlign w:val="center"/>
          </w:tcPr>
          <w:p w14:paraId="56171D87">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w:t>
            </w:r>
          </w:p>
        </w:tc>
        <w:tc>
          <w:tcPr>
            <w:tcW w:w="738" w:type="dxa"/>
            <w:tcBorders>
              <w:tl2br w:val="nil"/>
              <w:tr2bl w:val="nil"/>
            </w:tcBorders>
            <w:shd w:val="clear" w:color="auto" w:fill="auto"/>
            <w:vAlign w:val="center"/>
          </w:tcPr>
          <w:p w14:paraId="588AAD20">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w:t>
            </w:r>
          </w:p>
        </w:tc>
        <w:tc>
          <w:tcPr>
            <w:tcW w:w="1666" w:type="dxa"/>
            <w:tcBorders>
              <w:tl2br w:val="nil"/>
              <w:tr2bl w:val="nil"/>
            </w:tcBorders>
            <w:shd w:val="clear" w:color="auto" w:fill="auto"/>
            <w:vAlign w:val="center"/>
          </w:tcPr>
          <w:p w14:paraId="5C76CE96">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w:t>
            </w:r>
          </w:p>
        </w:tc>
        <w:tc>
          <w:tcPr>
            <w:tcW w:w="1080" w:type="dxa"/>
            <w:tcBorders>
              <w:tl2br w:val="nil"/>
              <w:tr2bl w:val="nil"/>
            </w:tcBorders>
            <w:shd w:val="clear" w:color="auto" w:fill="auto"/>
            <w:vAlign w:val="center"/>
          </w:tcPr>
          <w:p w14:paraId="3581550F">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w:t>
            </w:r>
          </w:p>
        </w:tc>
        <w:tc>
          <w:tcPr>
            <w:tcW w:w="1275" w:type="dxa"/>
            <w:tcBorders>
              <w:tl2br w:val="nil"/>
              <w:tr2bl w:val="nil"/>
            </w:tcBorders>
            <w:shd w:val="clear" w:color="auto" w:fill="auto"/>
            <w:vAlign w:val="center"/>
          </w:tcPr>
          <w:p w14:paraId="3B832109">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w:t>
            </w:r>
          </w:p>
        </w:tc>
        <w:tc>
          <w:tcPr>
            <w:tcW w:w="1620" w:type="dxa"/>
            <w:tcBorders>
              <w:tl2br w:val="nil"/>
              <w:tr2bl w:val="nil"/>
            </w:tcBorders>
            <w:shd w:val="clear" w:color="auto" w:fill="auto"/>
            <w:vAlign w:val="center"/>
          </w:tcPr>
          <w:p w14:paraId="681ABF90">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自动监测设备出现故障时开展手工监测，</w:t>
            </w:r>
            <w:r>
              <w:rPr>
                <w:rFonts w:hint="eastAsia" w:ascii="宋体" w:hAnsi="宋体" w:eastAsia="宋体" w:cs="宋体"/>
                <w:color w:val="auto"/>
                <w:kern w:val="0"/>
                <w:sz w:val="20"/>
                <w:szCs w:val="20"/>
                <w:highlight w:val="none"/>
                <w:lang w:eastAsia="zh-CN"/>
              </w:rPr>
              <w:t>每6小时</w:t>
            </w:r>
            <w:r>
              <w:rPr>
                <w:rFonts w:hint="eastAsia" w:ascii="宋体" w:hAnsi="宋体" w:eastAsia="宋体" w:cs="宋体"/>
                <w:color w:val="auto"/>
                <w:kern w:val="0"/>
                <w:sz w:val="20"/>
                <w:szCs w:val="20"/>
                <w:highlight w:val="none"/>
              </w:rPr>
              <w:t>监测一次</w:t>
            </w:r>
          </w:p>
        </w:tc>
      </w:tr>
      <w:tr w14:paraId="183DD5D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575" w:hRule="atLeast"/>
        </w:trPr>
        <w:tc>
          <w:tcPr>
            <w:tcW w:w="525" w:type="dxa"/>
            <w:tcBorders>
              <w:tl2br w:val="nil"/>
              <w:tr2bl w:val="nil"/>
            </w:tcBorders>
            <w:shd w:val="clear" w:color="auto" w:fill="auto"/>
            <w:vAlign w:val="center"/>
          </w:tcPr>
          <w:p w14:paraId="346CD269">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2</w:t>
            </w:r>
            <w:r>
              <w:rPr>
                <w:rFonts w:ascii="宋体" w:hAnsi="宋体" w:eastAsia="宋体" w:cs="宋体"/>
                <w:color w:val="auto"/>
                <w:kern w:val="0"/>
                <w:sz w:val="20"/>
                <w:szCs w:val="20"/>
                <w:highlight w:val="none"/>
              </w:rPr>
              <w:t>3</w:t>
            </w:r>
          </w:p>
        </w:tc>
        <w:tc>
          <w:tcPr>
            <w:tcW w:w="844" w:type="dxa"/>
            <w:tcBorders>
              <w:tl2br w:val="nil"/>
              <w:tr2bl w:val="nil"/>
            </w:tcBorders>
            <w:shd w:val="clear" w:color="auto" w:fill="auto"/>
            <w:vAlign w:val="center"/>
          </w:tcPr>
          <w:p w14:paraId="7F484353">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废水</w:t>
            </w:r>
          </w:p>
        </w:tc>
        <w:tc>
          <w:tcPr>
            <w:tcW w:w="900" w:type="dxa"/>
            <w:tcBorders>
              <w:tl2br w:val="nil"/>
              <w:tr2bl w:val="nil"/>
            </w:tcBorders>
            <w:shd w:val="clear" w:color="auto" w:fill="auto"/>
            <w:vAlign w:val="center"/>
          </w:tcPr>
          <w:p w14:paraId="02519F5B">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MW00</w:t>
            </w:r>
            <w:r>
              <w:rPr>
                <w:rStyle w:val="37"/>
                <w:rFonts w:hint="default"/>
                <w:color w:val="auto"/>
                <w:sz w:val="20"/>
                <w:szCs w:val="20"/>
                <w:highlight w:val="none"/>
              </w:rPr>
              <w:t>1</w:t>
            </w:r>
          </w:p>
        </w:tc>
        <w:tc>
          <w:tcPr>
            <w:tcW w:w="1125" w:type="dxa"/>
            <w:tcBorders>
              <w:tl2br w:val="nil"/>
              <w:tr2bl w:val="nil"/>
            </w:tcBorders>
            <w:shd w:val="clear" w:color="auto" w:fill="auto"/>
            <w:vAlign w:val="center"/>
          </w:tcPr>
          <w:p w14:paraId="4D1082FE">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进水口</w:t>
            </w:r>
          </w:p>
        </w:tc>
        <w:tc>
          <w:tcPr>
            <w:tcW w:w="993" w:type="dxa"/>
            <w:tcBorders>
              <w:tl2br w:val="nil"/>
              <w:tr2bl w:val="nil"/>
            </w:tcBorders>
            <w:shd w:val="clear" w:color="auto" w:fill="auto"/>
            <w:vAlign w:val="center"/>
          </w:tcPr>
          <w:p w14:paraId="5366BF00">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化学需氧量</w:t>
            </w:r>
          </w:p>
        </w:tc>
        <w:tc>
          <w:tcPr>
            <w:tcW w:w="636" w:type="dxa"/>
            <w:tcBorders>
              <w:tl2br w:val="nil"/>
              <w:tr2bl w:val="nil"/>
            </w:tcBorders>
            <w:shd w:val="clear" w:color="auto" w:fill="auto"/>
            <w:vAlign w:val="center"/>
          </w:tcPr>
          <w:p w14:paraId="285B75BF">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自动</w:t>
            </w:r>
          </w:p>
        </w:tc>
        <w:tc>
          <w:tcPr>
            <w:tcW w:w="1859" w:type="dxa"/>
            <w:tcBorders>
              <w:tl2br w:val="nil"/>
              <w:tr2bl w:val="nil"/>
            </w:tcBorders>
            <w:shd w:val="clear" w:color="auto" w:fill="auto"/>
            <w:vAlign w:val="center"/>
          </w:tcPr>
          <w:p w14:paraId="4FE6DDD2">
            <w:pPr>
              <w:jc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设计进水水质</w:t>
            </w:r>
          </w:p>
        </w:tc>
        <w:tc>
          <w:tcPr>
            <w:tcW w:w="1103" w:type="dxa"/>
            <w:tcBorders>
              <w:tl2br w:val="nil"/>
              <w:tr2bl w:val="nil"/>
            </w:tcBorders>
            <w:shd w:val="clear" w:color="auto" w:fill="auto"/>
            <w:vAlign w:val="center"/>
          </w:tcPr>
          <w:p w14:paraId="5F706EF8">
            <w:pP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≤220mg/L</w:t>
            </w:r>
          </w:p>
        </w:tc>
        <w:tc>
          <w:tcPr>
            <w:tcW w:w="1172" w:type="dxa"/>
            <w:tcBorders>
              <w:tl2br w:val="nil"/>
              <w:tr2bl w:val="nil"/>
            </w:tcBorders>
            <w:shd w:val="clear" w:color="auto" w:fill="auto"/>
            <w:vAlign w:val="center"/>
          </w:tcPr>
          <w:p w14:paraId="5CC6D884">
            <w:pP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10mg/L</w:t>
            </w:r>
          </w:p>
        </w:tc>
        <w:tc>
          <w:tcPr>
            <w:tcW w:w="559" w:type="dxa"/>
            <w:tcBorders>
              <w:tl2br w:val="nil"/>
              <w:tr2bl w:val="nil"/>
            </w:tcBorders>
            <w:shd w:val="clear" w:color="auto" w:fill="auto"/>
            <w:vAlign w:val="center"/>
          </w:tcPr>
          <w:p w14:paraId="50D75694">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是</w:t>
            </w:r>
          </w:p>
        </w:tc>
        <w:tc>
          <w:tcPr>
            <w:tcW w:w="1108" w:type="dxa"/>
            <w:tcBorders>
              <w:tl2br w:val="nil"/>
              <w:tr2bl w:val="nil"/>
            </w:tcBorders>
            <w:shd w:val="clear" w:color="auto" w:fill="auto"/>
            <w:vAlign w:val="center"/>
          </w:tcPr>
          <w:p w14:paraId="32EDD270">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COD在线监测设备</w:t>
            </w:r>
          </w:p>
        </w:tc>
        <w:tc>
          <w:tcPr>
            <w:tcW w:w="990" w:type="dxa"/>
            <w:tcBorders>
              <w:tl2br w:val="nil"/>
              <w:tr2bl w:val="nil"/>
            </w:tcBorders>
            <w:shd w:val="clear" w:color="auto" w:fill="auto"/>
            <w:vAlign w:val="center"/>
          </w:tcPr>
          <w:p w14:paraId="79AC528C">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进水仪表小屋</w:t>
            </w:r>
          </w:p>
        </w:tc>
        <w:tc>
          <w:tcPr>
            <w:tcW w:w="1155" w:type="dxa"/>
            <w:tcBorders>
              <w:tl2br w:val="nil"/>
              <w:tr2bl w:val="nil"/>
            </w:tcBorders>
            <w:shd w:val="clear" w:color="auto" w:fill="auto"/>
            <w:vAlign w:val="center"/>
          </w:tcPr>
          <w:p w14:paraId="595C7985">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是</w:t>
            </w:r>
          </w:p>
        </w:tc>
        <w:tc>
          <w:tcPr>
            <w:tcW w:w="1452" w:type="dxa"/>
            <w:tcBorders>
              <w:tl2br w:val="nil"/>
              <w:tr2bl w:val="nil"/>
            </w:tcBorders>
            <w:shd w:val="clear" w:color="auto" w:fill="auto"/>
            <w:vAlign w:val="center"/>
          </w:tcPr>
          <w:p w14:paraId="2D66B2CD">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w:t>
            </w:r>
          </w:p>
        </w:tc>
        <w:tc>
          <w:tcPr>
            <w:tcW w:w="738" w:type="dxa"/>
            <w:tcBorders>
              <w:tl2br w:val="nil"/>
              <w:tr2bl w:val="nil"/>
            </w:tcBorders>
            <w:shd w:val="clear" w:color="auto" w:fill="auto"/>
            <w:vAlign w:val="center"/>
          </w:tcPr>
          <w:p w14:paraId="20BD0375">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w:t>
            </w:r>
          </w:p>
        </w:tc>
        <w:tc>
          <w:tcPr>
            <w:tcW w:w="1666" w:type="dxa"/>
            <w:tcBorders>
              <w:tl2br w:val="nil"/>
              <w:tr2bl w:val="nil"/>
            </w:tcBorders>
            <w:shd w:val="clear" w:color="auto" w:fill="auto"/>
            <w:vAlign w:val="center"/>
          </w:tcPr>
          <w:p w14:paraId="0A2EAA07">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w:t>
            </w:r>
          </w:p>
        </w:tc>
        <w:tc>
          <w:tcPr>
            <w:tcW w:w="1080" w:type="dxa"/>
            <w:tcBorders>
              <w:tl2br w:val="nil"/>
              <w:tr2bl w:val="nil"/>
            </w:tcBorders>
            <w:shd w:val="clear" w:color="auto" w:fill="auto"/>
            <w:vAlign w:val="center"/>
          </w:tcPr>
          <w:p w14:paraId="75D92A34">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w:t>
            </w:r>
          </w:p>
        </w:tc>
        <w:tc>
          <w:tcPr>
            <w:tcW w:w="1275" w:type="dxa"/>
            <w:tcBorders>
              <w:tl2br w:val="nil"/>
              <w:tr2bl w:val="nil"/>
            </w:tcBorders>
            <w:shd w:val="clear" w:color="auto" w:fill="auto"/>
            <w:vAlign w:val="center"/>
          </w:tcPr>
          <w:p w14:paraId="07108FD1">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w:t>
            </w:r>
          </w:p>
        </w:tc>
        <w:tc>
          <w:tcPr>
            <w:tcW w:w="1620" w:type="dxa"/>
            <w:tcBorders>
              <w:tl2br w:val="nil"/>
              <w:tr2bl w:val="nil"/>
            </w:tcBorders>
            <w:shd w:val="clear" w:color="auto" w:fill="auto"/>
            <w:vAlign w:val="center"/>
          </w:tcPr>
          <w:p w14:paraId="0134D1F1">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自动监测</w:t>
            </w:r>
            <w:r>
              <w:rPr>
                <w:rFonts w:hint="eastAsia" w:ascii="宋体" w:hAnsi="宋体" w:eastAsia="宋体" w:cs="宋体"/>
                <w:color w:val="auto"/>
                <w:kern w:val="0"/>
                <w:sz w:val="20"/>
                <w:szCs w:val="20"/>
                <w:highlight w:val="none"/>
                <w:lang w:val="en-US" w:eastAsia="zh-CN" w:bidi="ar"/>
              </w:rPr>
              <w:t>设施故障期间，进行手工监测，监测频次为不少于4次/天，间隔不超过6小时。</w:t>
            </w:r>
          </w:p>
        </w:tc>
      </w:tr>
      <w:tr w14:paraId="5550300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40" w:hRule="atLeast"/>
        </w:trPr>
        <w:tc>
          <w:tcPr>
            <w:tcW w:w="525" w:type="dxa"/>
            <w:tcBorders>
              <w:tl2br w:val="nil"/>
              <w:tr2bl w:val="nil"/>
            </w:tcBorders>
            <w:shd w:val="clear" w:color="auto" w:fill="auto"/>
            <w:vAlign w:val="center"/>
          </w:tcPr>
          <w:p w14:paraId="625FB84F">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24</w:t>
            </w:r>
          </w:p>
        </w:tc>
        <w:tc>
          <w:tcPr>
            <w:tcW w:w="844" w:type="dxa"/>
            <w:tcBorders>
              <w:tl2br w:val="nil"/>
              <w:tr2bl w:val="nil"/>
            </w:tcBorders>
            <w:shd w:val="clear" w:color="auto" w:fill="auto"/>
            <w:vAlign w:val="center"/>
          </w:tcPr>
          <w:p w14:paraId="30756E3E">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废水</w:t>
            </w:r>
          </w:p>
        </w:tc>
        <w:tc>
          <w:tcPr>
            <w:tcW w:w="900" w:type="dxa"/>
            <w:tcBorders>
              <w:tl2br w:val="nil"/>
              <w:tr2bl w:val="nil"/>
            </w:tcBorders>
            <w:shd w:val="clear" w:color="auto" w:fill="auto"/>
            <w:vAlign w:val="center"/>
          </w:tcPr>
          <w:p w14:paraId="56B2DC51">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MW00</w:t>
            </w:r>
            <w:r>
              <w:rPr>
                <w:rStyle w:val="37"/>
                <w:rFonts w:hint="default"/>
                <w:color w:val="auto"/>
                <w:sz w:val="20"/>
                <w:szCs w:val="20"/>
                <w:highlight w:val="none"/>
              </w:rPr>
              <w:t>1</w:t>
            </w:r>
          </w:p>
        </w:tc>
        <w:tc>
          <w:tcPr>
            <w:tcW w:w="1125" w:type="dxa"/>
            <w:tcBorders>
              <w:tl2br w:val="nil"/>
              <w:tr2bl w:val="nil"/>
            </w:tcBorders>
            <w:shd w:val="clear" w:color="auto" w:fill="auto"/>
            <w:vAlign w:val="center"/>
          </w:tcPr>
          <w:p w14:paraId="23125D41">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进水口</w:t>
            </w:r>
          </w:p>
        </w:tc>
        <w:tc>
          <w:tcPr>
            <w:tcW w:w="993" w:type="dxa"/>
            <w:tcBorders>
              <w:tl2br w:val="nil"/>
              <w:tr2bl w:val="nil"/>
            </w:tcBorders>
            <w:shd w:val="clear" w:color="auto" w:fill="auto"/>
            <w:vAlign w:val="center"/>
          </w:tcPr>
          <w:p w14:paraId="56B86ADE">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氨氮（NH</w:t>
            </w:r>
            <w:r>
              <w:rPr>
                <w:rFonts w:hint="eastAsia" w:ascii="宋体" w:hAnsi="宋体" w:eastAsia="宋体" w:cs="宋体"/>
                <w:color w:val="auto"/>
                <w:kern w:val="0"/>
                <w:sz w:val="20"/>
                <w:szCs w:val="20"/>
                <w:highlight w:val="none"/>
                <w:vertAlign w:val="subscript"/>
              </w:rPr>
              <w:t>3</w:t>
            </w:r>
            <w:r>
              <w:rPr>
                <w:rFonts w:hint="eastAsia" w:ascii="宋体" w:hAnsi="宋体" w:eastAsia="宋体" w:cs="宋体"/>
                <w:color w:val="auto"/>
                <w:kern w:val="0"/>
                <w:sz w:val="20"/>
                <w:szCs w:val="20"/>
                <w:highlight w:val="none"/>
              </w:rPr>
              <w:t>-N）</w:t>
            </w:r>
          </w:p>
        </w:tc>
        <w:tc>
          <w:tcPr>
            <w:tcW w:w="636" w:type="dxa"/>
            <w:tcBorders>
              <w:tl2br w:val="nil"/>
              <w:tr2bl w:val="nil"/>
            </w:tcBorders>
            <w:shd w:val="clear" w:color="auto" w:fill="auto"/>
            <w:vAlign w:val="center"/>
          </w:tcPr>
          <w:p w14:paraId="07EB844F">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自动</w:t>
            </w:r>
          </w:p>
        </w:tc>
        <w:tc>
          <w:tcPr>
            <w:tcW w:w="1859" w:type="dxa"/>
            <w:tcBorders>
              <w:tl2br w:val="nil"/>
              <w:tr2bl w:val="nil"/>
            </w:tcBorders>
            <w:shd w:val="clear" w:color="auto" w:fill="auto"/>
            <w:vAlign w:val="center"/>
          </w:tcPr>
          <w:p w14:paraId="239C6A9A">
            <w:pPr>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设计进水水质</w:t>
            </w:r>
          </w:p>
        </w:tc>
        <w:tc>
          <w:tcPr>
            <w:tcW w:w="1103" w:type="dxa"/>
            <w:tcBorders>
              <w:tl2br w:val="nil"/>
              <w:tr2bl w:val="nil"/>
            </w:tcBorders>
            <w:shd w:val="clear" w:color="auto" w:fill="auto"/>
            <w:vAlign w:val="center"/>
          </w:tcPr>
          <w:p w14:paraId="77E96731">
            <w:pP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25</w:t>
            </w:r>
            <w:r>
              <w:rPr>
                <w:rFonts w:hint="eastAsia" w:ascii="宋体" w:hAnsi="宋体" w:eastAsia="宋体" w:cs="宋体"/>
                <w:color w:val="auto"/>
                <w:sz w:val="20"/>
                <w:szCs w:val="20"/>
                <w:highlight w:val="none"/>
              </w:rPr>
              <w:t>mg/L</w:t>
            </w:r>
          </w:p>
        </w:tc>
        <w:tc>
          <w:tcPr>
            <w:tcW w:w="1172" w:type="dxa"/>
            <w:tcBorders>
              <w:tl2br w:val="nil"/>
              <w:tr2bl w:val="nil"/>
            </w:tcBorders>
            <w:shd w:val="clear" w:color="auto" w:fill="auto"/>
            <w:vAlign w:val="center"/>
          </w:tcPr>
          <w:p w14:paraId="1097E1C8">
            <w:pP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0.2mg/L</w:t>
            </w:r>
          </w:p>
        </w:tc>
        <w:tc>
          <w:tcPr>
            <w:tcW w:w="559" w:type="dxa"/>
            <w:tcBorders>
              <w:tl2br w:val="nil"/>
              <w:tr2bl w:val="nil"/>
            </w:tcBorders>
            <w:shd w:val="clear" w:color="auto" w:fill="auto"/>
            <w:vAlign w:val="center"/>
          </w:tcPr>
          <w:p w14:paraId="098A946F">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是</w:t>
            </w:r>
          </w:p>
        </w:tc>
        <w:tc>
          <w:tcPr>
            <w:tcW w:w="1108" w:type="dxa"/>
            <w:tcBorders>
              <w:tl2br w:val="nil"/>
              <w:tr2bl w:val="nil"/>
            </w:tcBorders>
            <w:shd w:val="clear" w:color="auto" w:fill="auto"/>
            <w:vAlign w:val="center"/>
          </w:tcPr>
          <w:p w14:paraId="4F5541C3">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氨氮在线监测设备</w:t>
            </w:r>
          </w:p>
        </w:tc>
        <w:tc>
          <w:tcPr>
            <w:tcW w:w="990" w:type="dxa"/>
            <w:tcBorders>
              <w:tl2br w:val="nil"/>
              <w:tr2bl w:val="nil"/>
            </w:tcBorders>
            <w:shd w:val="clear" w:color="auto" w:fill="auto"/>
            <w:vAlign w:val="center"/>
          </w:tcPr>
          <w:p w14:paraId="605B4B5F">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进水仪表小屋</w:t>
            </w:r>
          </w:p>
        </w:tc>
        <w:tc>
          <w:tcPr>
            <w:tcW w:w="1155" w:type="dxa"/>
            <w:tcBorders>
              <w:tl2br w:val="nil"/>
              <w:tr2bl w:val="nil"/>
            </w:tcBorders>
            <w:shd w:val="clear" w:color="auto" w:fill="auto"/>
            <w:vAlign w:val="center"/>
          </w:tcPr>
          <w:p w14:paraId="5B5CE02D">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是</w:t>
            </w:r>
          </w:p>
        </w:tc>
        <w:tc>
          <w:tcPr>
            <w:tcW w:w="1452" w:type="dxa"/>
            <w:tcBorders>
              <w:tl2br w:val="nil"/>
              <w:tr2bl w:val="nil"/>
            </w:tcBorders>
            <w:shd w:val="clear" w:color="auto" w:fill="auto"/>
            <w:vAlign w:val="center"/>
          </w:tcPr>
          <w:p w14:paraId="74472A47">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w:t>
            </w:r>
          </w:p>
        </w:tc>
        <w:tc>
          <w:tcPr>
            <w:tcW w:w="738" w:type="dxa"/>
            <w:tcBorders>
              <w:tl2br w:val="nil"/>
              <w:tr2bl w:val="nil"/>
            </w:tcBorders>
            <w:shd w:val="clear" w:color="auto" w:fill="auto"/>
            <w:vAlign w:val="center"/>
          </w:tcPr>
          <w:p w14:paraId="060DF821">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w:t>
            </w:r>
          </w:p>
        </w:tc>
        <w:tc>
          <w:tcPr>
            <w:tcW w:w="1666" w:type="dxa"/>
            <w:tcBorders>
              <w:tl2br w:val="nil"/>
              <w:tr2bl w:val="nil"/>
            </w:tcBorders>
            <w:shd w:val="clear" w:color="auto" w:fill="auto"/>
            <w:vAlign w:val="center"/>
          </w:tcPr>
          <w:p w14:paraId="11E7DC46">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w:t>
            </w:r>
          </w:p>
        </w:tc>
        <w:tc>
          <w:tcPr>
            <w:tcW w:w="1080" w:type="dxa"/>
            <w:tcBorders>
              <w:tl2br w:val="nil"/>
              <w:tr2bl w:val="nil"/>
            </w:tcBorders>
            <w:shd w:val="clear" w:color="auto" w:fill="auto"/>
            <w:vAlign w:val="center"/>
          </w:tcPr>
          <w:p w14:paraId="01AE709B">
            <w:pPr>
              <w:widowControl/>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 xml:space="preserve"> </w:t>
            </w:r>
          </w:p>
        </w:tc>
        <w:tc>
          <w:tcPr>
            <w:tcW w:w="1275" w:type="dxa"/>
            <w:tcBorders>
              <w:tl2br w:val="nil"/>
              <w:tr2bl w:val="nil"/>
            </w:tcBorders>
            <w:shd w:val="clear" w:color="auto" w:fill="auto"/>
            <w:vAlign w:val="center"/>
          </w:tcPr>
          <w:p w14:paraId="34DAD71E">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w:t>
            </w:r>
          </w:p>
        </w:tc>
        <w:tc>
          <w:tcPr>
            <w:tcW w:w="1620" w:type="dxa"/>
            <w:tcBorders>
              <w:tl2br w:val="nil"/>
              <w:tr2bl w:val="nil"/>
            </w:tcBorders>
            <w:shd w:val="clear" w:color="auto" w:fill="auto"/>
            <w:vAlign w:val="center"/>
          </w:tcPr>
          <w:p w14:paraId="7971B093">
            <w:pPr>
              <w:widowControl/>
              <w:jc w:val="left"/>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bidi="ar"/>
              </w:rPr>
              <w:t>自动监测</w:t>
            </w:r>
            <w:r>
              <w:rPr>
                <w:rFonts w:hint="eastAsia" w:ascii="宋体" w:hAnsi="宋体" w:eastAsia="宋体" w:cs="宋体"/>
                <w:color w:val="auto"/>
                <w:kern w:val="0"/>
                <w:sz w:val="20"/>
                <w:szCs w:val="20"/>
                <w:highlight w:val="none"/>
                <w:lang w:val="en-US" w:eastAsia="zh-CN" w:bidi="ar"/>
              </w:rPr>
              <w:t>设施故障期间，进行手工监测，监测频次为不少于4次/天，间隔不超过6小时。</w:t>
            </w:r>
          </w:p>
        </w:tc>
      </w:tr>
      <w:tr w14:paraId="4559E56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020" w:hRule="atLeast"/>
        </w:trPr>
        <w:tc>
          <w:tcPr>
            <w:tcW w:w="525" w:type="dxa"/>
            <w:tcBorders>
              <w:tl2br w:val="nil"/>
              <w:tr2bl w:val="nil"/>
            </w:tcBorders>
            <w:shd w:val="clear" w:color="auto" w:fill="auto"/>
            <w:vAlign w:val="center"/>
          </w:tcPr>
          <w:p w14:paraId="40F8D120">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w:t>
            </w:r>
            <w:r>
              <w:rPr>
                <w:rFonts w:ascii="宋体" w:hAnsi="宋体" w:eastAsia="宋体" w:cs="宋体"/>
                <w:color w:val="auto"/>
                <w:kern w:val="0"/>
                <w:sz w:val="20"/>
                <w:szCs w:val="20"/>
                <w:highlight w:val="none"/>
              </w:rPr>
              <w:t>5</w:t>
            </w:r>
          </w:p>
        </w:tc>
        <w:tc>
          <w:tcPr>
            <w:tcW w:w="844" w:type="dxa"/>
            <w:tcBorders>
              <w:tl2br w:val="nil"/>
              <w:tr2bl w:val="nil"/>
            </w:tcBorders>
            <w:shd w:val="clear" w:color="auto" w:fill="auto"/>
            <w:vAlign w:val="center"/>
          </w:tcPr>
          <w:p w14:paraId="1F7528EE">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废水</w:t>
            </w:r>
          </w:p>
        </w:tc>
        <w:tc>
          <w:tcPr>
            <w:tcW w:w="900" w:type="dxa"/>
            <w:tcBorders>
              <w:tl2br w:val="nil"/>
              <w:tr2bl w:val="nil"/>
            </w:tcBorders>
            <w:shd w:val="clear" w:color="auto" w:fill="auto"/>
            <w:vAlign w:val="center"/>
          </w:tcPr>
          <w:p w14:paraId="324B322D">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MW00</w:t>
            </w:r>
            <w:r>
              <w:rPr>
                <w:rStyle w:val="37"/>
                <w:rFonts w:hint="default"/>
                <w:color w:val="auto"/>
                <w:sz w:val="20"/>
                <w:szCs w:val="20"/>
                <w:highlight w:val="none"/>
              </w:rPr>
              <w:t>1</w:t>
            </w:r>
          </w:p>
        </w:tc>
        <w:tc>
          <w:tcPr>
            <w:tcW w:w="1125" w:type="dxa"/>
            <w:tcBorders>
              <w:tl2br w:val="nil"/>
              <w:tr2bl w:val="nil"/>
            </w:tcBorders>
            <w:shd w:val="clear" w:color="auto" w:fill="auto"/>
            <w:vAlign w:val="center"/>
          </w:tcPr>
          <w:p w14:paraId="072809F5">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进水口</w:t>
            </w:r>
          </w:p>
        </w:tc>
        <w:tc>
          <w:tcPr>
            <w:tcW w:w="993" w:type="dxa"/>
            <w:tcBorders>
              <w:tl2br w:val="nil"/>
              <w:tr2bl w:val="nil"/>
            </w:tcBorders>
            <w:shd w:val="clear" w:color="auto" w:fill="auto"/>
            <w:vAlign w:val="center"/>
          </w:tcPr>
          <w:p w14:paraId="2D889D31">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流量</w:t>
            </w:r>
          </w:p>
        </w:tc>
        <w:tc>
          <w:tcPr>
            <w:tcW w:w="636" w:type="dxa"/>
            <w:tcBorders>
              <w:tl2br w:val="nil"/>
              <w:tr2bl w:val="nil"/>
            </w:tcBorders>
            <w:shd w:val="clear" w:color="auto" w:fill="auto"/>
            <w:vAlign w:val="center"/>
          </w:tcPr>
          <w:p w14:paraId="5FC17C0A">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自动</w:t>
            </w:r>
          </w:p>
        </w:tc>
        <w:tc>
          <w:tcPr>
            <w:tcW w:w="1859" w:type="dxa"/>
            <w:tcBorders>
              <w:tl2br w:val="nil"/>
              <w:tr2bl w:val="nil"/>
            </w:tcBorders>
            <w:shd w:val="clear" w:color="auto" w:fill="auto"/>
            <w:vAlign w:val="center"/>
          </w:tcPr>
          <w:p w14:paraId="41A92982">
            <w:pPr>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w:t>
            </w:r>
          </w:p>
        </w:tc>
        <w:tc>
          <w:tcPr>
            <w:tcW w:w="1103" w:type="dxa"/>
            <w:tcBorders>
              <w:tl2br w:val="nil"/>
              <w:tr2bl w:val="nil"/>
            </w:tcBorders>
            <w:shd w:val="clear" w:color="auto" w:fill="auto"/>
            <w:vAlign w:val="center"/>
          </w:tcPr>
          <w:p w14:paraId="0D759432">
            <w:pPr>
              <w:jc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w:t>
            </w:r>
          </w:p>
        </w:tc>
        <w:tc>
          <w:tcPr>
            <w:tcW w:w="1172" w:type="dxa"/>
            <w:tcBorders>
              <w:tl2br w:val="nil"/>
              <w:tr2bl w:val="nil"/>
            </w:tcBorders>
            <w:shd w:val="clear" w:color="auto" w:fill="auto"/>
            <w:vAlign w:val="center"/>
          </w:tcPr>
          <w:p w14:paraId="753CC3EC">
            <w:pPr>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w:t>
            </w:r>
          </w:p>
        </w:tc>
        <w:tc>
          <w:tcPr>
            <w:tcW w:w="559" w:type="dxa"/>
            <w:tcBorders>
              <w:tl2br w:val="nil"/>
              <w:tr2bl w:val="nil"/>
            </w:tcBorders>
            <w:shd w:val="clear" w:color="auto" w:fill="auto"/>
            <w:vAlign w:val="center"/>
          </w:tcPr>
          <w:p w14:paraId="5829B9F4">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是</w:t>
            </w:r>
          </w:p>
        </w:tc>
        <w:tc>
          <w:tcPr>
            <w:tcW w:w="1108" w:type="dxa"/>
            <w:tcBorders>
              <w:tl2br w:val="nil"/>
              <w:tr2bl w:val="nil"/>
            </w:tcBorders>
            <w:shd w:val="clear" w:color="auto" w:fill="auto"/>
            <w:vAlign w:val="center"/>
          </w:tcPr>
          <w:p w14:paraId="7A26BED5">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流量计</w:t>
            </w:r>
          </w:p>
        </w:tc>
        <w:tc>
          <w:tcPr>
            <w:tcW w:w="990" w:type="dxa"/>
            <w:tcBorders>
              <w:tl2br w:val="nil"/>
              <w:tr2bl w:val="nil"/>
            </w:tcBorders>
            <w:shd w:val="clear" w:color="auto" w:fill="auto"/>
            <w:vAlign w:val="center"/>
          </w:tcPr>
          <w:p w14:paraId="6F182464">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进水仪表小屋</w:t>
            </w:r>
          </w:p>
        </w:tc>
        <w:tc>
          <w:tcPr>
            <w:tcW w:w="1155" w:type="dxa"/>
            <w:tcBorders>
              <w:tl2br w:val="nil"/>
              <w:tr2bl w:val="nil"/>
            </w:tcBorders>
            <w:shd w:val="clear" w:color="auto" w:fill="auto"/>
            <w:vAlign w:val="center"/>
          </w:tcPr>
          <w:p w14:paraId="0C1F89D0">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是</w:t>
            </w:r>
          </w:p>
        </w:tc>
        <w:tc>
          <w:tcPr>
            <w:tcW w:w="1452" w:type="dxa"/>
            <w:tcBorders>
              <w:tl2br w:val="nil"/>
              <w:tr2bl w:val="nil"/>
            </w:tcBorders>
            <w:shd w:val="clear" w:color="auto" w:fill="auto"/>
            <w:vAlign w:val="center"/>
          </w:tcPr>
          <w:p w14:paraId="51EA9BEE">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w:t>
            </w:r>
          </w:p>
        </w:tc>
        <w:tc>
          <w:tcPr>
            <w:tcW w:w="738" w:type="dxa"/>
            <w:tcBorders>
              <w:tl2br w:val="nil"/>
              <w:tr2bl w:val="nil"/>
            </w:tcBorders>
            <w:shd w:val="clear" w:color="auto" w:fill="auto"/>
            <w:vAlign w:val="center"/>
          </w:tcPr>
          <w:p w14:paraId="13D252E1">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w:t>
            </w:r>
          </w:p>
        </w:tc>
        <w:tc>
          <w:tcPr>
            <w:tcW w:w="1666" w:type="dxa"/>
            <w:tcBorders>
              <w:tl2br w:val="nil"/>
              <w:tr2bl w:val="nil"/>
            </w:tcBorders>
            <w:shd w:val="clear" w:color="auto" w:fill="auto"/>
            <w:vAlign w:val="center"/>
          </w:tcPr>
          <w:p w14:paraId="11865FD1">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w:t>
            </w:r>
          </w:p>
        </w:tc>
        <w:tc>
          <w:tcPr>
            <w:tcW w:w="1080" w:type="dxa"/>
            <w:tcBorders>
              <w:tl2br w:val="nil"/>
              <w:tr2bl w:val="nil"/>
            </w:tcBorders>
            <w:shd w:val="clear" w:color="auto" w:fill="auto"/>
            <w:vAlign w:val="center"/>
          </w:tcPr>
          <w:p w14:paraId="0978BF85">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w:t>
            </w:r>
          </w:p>
        </w:tc>
        <w:tc>
          <w:tcPr>
            <w:tcW w:w="1275" w:type="dxa"/>
            <w:tcBorders>
              <w:tl2br w:val="nil"/>
              <w:tr2bl w:val="nil"/>
            </w:tcBorders>
            <w:shd w:val="clear" w:color="auto" w:fill="auto"/>
            <w:vAlign w:val="center"/>
          </w:tcPr>
          <w:p w14:paraId="265930B2">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w:t>
            </w:r>
          </w:p>
        </w:tc>
        <w:tc>
          <w:tcPr>
            <w:tcW w:w="1620" w:type="dxa"/>
            <w:tcBorders>
              <w:tl2br w:val="nil"/>
              <w:tr2bl w:val="nil"/>
            </w:tcBorders>
            <w:shd w:val="clear" w:color="auto" w:fill="auto"/>
            <w:vAlign w:val="center"/>
          </w:tcPr>
          <w:p w14:paraId="61DC00B7">
            <w:pPr>
              <w:widowControl/>
              <w:jc w:val="left"/>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w:t>
            </w:r>
          </w:p>
        </w:tc>
      </w:tr>
      <w:tr w14:paraId="5FF7F31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550" w:hRule="atLeast"/>
        </w:trPr>
        <w:tc>
          <w:tcPr>
            <w:tcW w:w="525" w:type="dxa"/>
            <w:tcBorders>
              <w:tl2br w:val="nil"/>
              <w:tr2bl w:val="nil"/>
            </w:tcBorders>
            <w:shd w:val="clear" w:color="auto" w:fill="auto"/>
            <w:vAlign w:val="center"/>
          </w:tcPr>
          <w:p w14:paraId="59425CC3">
            <w:pPr>
              <w:widowControl/>
              <w:jc w:val="center"/>
              <w:textAlignment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kern w:val="0"/>
                <w:sz w:val="20"/>
                <w:szCs w:val="20"/>
                <w:highlight w:val="none"/>
              </w:rPr>
              <w:t>2</w:t>
            </w:r>
            <w:r>
              <w:rPr>
                <w:rFonts w:hint="eastAsia" w:ascii="宋体" w:hAnsi="宋体" w:eastAsia="宋体" w:cs="宋体"/>
                <w:color w:val="auto"/>
                <w:kern w:val="0"/>
                <w:sz w:val="20"/>
                <w:szCs w:val="20"/>
                <w:highlight w:val="none"/>
                <w:lang w:val="en-US" w:eastAsia="zh-CN"/>
              </w:rPr>
              <w:t>6</w:t>
            </w:r>
          </w:p>
        </w:tc>
        <w:tc>
          <w:tcPr>
            <w:tcW w:w="844" w:type="dxa"/>
            <w:tcBorders>
              <w:tl2br w:val="nil"/>
              <w:tr2bl w:val="nil"/>
            </w:tcBorders>
            <w:shd w:val="clear" w:color="auto" w:fill="auto"/>
            <w:vAlign w:val="center"/>
          </w:tcPr>
          <w:p w14:paraId="03A814E5">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废水</w:t>
            </w:r>
          </w:p>
        </w:tc>
        <w:tc>
          <w:tcPr>
            <w:tcW w:w="900" w:type="dxa"/>
            <w:tcBorders>
              <w:tl2br w:val="nil"/>
              <w:tr2bl w:val="nil"/>
            </w:tcBorders>
            <w:shd w:val="clear" w:color="auto" w:fill="auto"/>
            <w:vAlign w:val="center"/>
          </w:tcPr>
          <w:p w14:paraId="40DC997B">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MW00</w:t>
            </w:r>
            <w:r>
              <w:rPr>
                <w:rStyle w:val="37"/>
                <w:rFonts w:hint="default"/>
                <w:color w:val="auto"/>
                <w:sz w:val="20"/>
                <w:szCs w:val="20"/>
                <w:highlight w:val="none"/>
              </w:rPr>
              <w:t>1</w:t>
            </w:r>
          </w:p>
        </w:tc>
        <w:tc>
          <w:tcPr>
            <w:tcW w:w="1125" w:type="dxa"/>
            <w:tcBorders>
              <w:tl2br w:val="nil"/>
              <w:tr2bl w:val="nil"/>
            </w:tcBorders>
            <w:shd w:val="clear" w:color="auto" w:fill="auto"/>
            <w:vAlign w:val="center"/>
          </w:tcPr>
          <w:p w14:paraId="532F8865">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进水口</w:t>
            </w:r>
          </w:p>
        </w:tc>
        <w:tc>
          <w:tcPr>
            <w:tcW w:w="993" w:type="dxa"/>
            <w:tcBorders>
              <w:tl2br w:val="nil"/>
              <w:tr2bl w:val="nil"/>
            </w:tcBorders>
            <w:shd w:val="clear" w:color="auto" w:fill="auto"/>
            <w:vAlign w:val="center"/>
          </w:tcPr>
          <w:p w14:paraId="77CC6481">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总氮（以N计）</w:t>
            </w:r>
          </w:p>
        </w:tc>
        <w:tc>
          <w:tcPr>
            <w:tcW w:w="636" w:type="dxa"/>
            <w:tcBorders>
              <w:tl2br w:val="nil"/>
              <w:tr2bl w:val="nil"/>
            </w:tcBorders>
            <w:shd w:val="clear" w:color="auto" w:fill="auto"/>
            <w:vAlign w:val="center"/>
          </w:tcPr>
          <w:p w14:paraId="226CEA69">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手工</w:t>
            </w:r>
          </w:p>
        </w:tc>
        <w:tc>
          <w:tcPr>
            <w:tcW w:w="1859" w:type="dxa"/>
            <w:tcBorders>
              <w:tl2br w:val="nil"/>
              <w:tr2bl w:val="nil"/>
            </w:tcBorders>
            <w:shd w:val="clear" w:color="auto" w:fill="auto"/>
            <w:vAlign w:val="center"/>
          </w:tcPr>
          <w:p w14:paraId="457AE57B">
            <w:pPr>
              <w:jc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设计进水水质</w:t>
            </w:r>
          </w:p>
        </w:tc>
        <w:tc>
          <w:tcPr>
            <w:tcW w:w="1103" w:type="dxa"/>
            <w:tcBorders>
              <w:tl2br w:val="nil"/>
              <w:tr2bl w:val="nil"/>
            </w:tcBorders>
            <w:shd w:val="clear" w:color="auto" w:fill="auto"/>
            <w:vAlign w:val="center"/>
          </w:tcPr>
          <w:p w14:paraId="54F63848">
            <w:pP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≤35mg/L</w:t>
            </w:r>
          </w:p>
        </w:tc>
        <w:tc>
          <w:tcPr>
            <w:tcW w:w="1172" w:type="dxa"/>
            <w:tcBorders>
              <w:tl2br w:val="nil"/>
              <w:tr2bl w:val="nil"/>
            </w:tcBorders>
            <w:shd w:val="clear" w:color="auto" w:fill="auto"/>
            <w:vAlign w:val="center"/>
          </w:tcPr>
          <w:p w14:paraId="327CDDF7">
            <w:pP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0.05mg/L</w:t>
            </w:r>
          </w:p>
        </w:tc>
        <w:tc>
          <w:tcPr>
            <w:tcW w:w="559" w:type="dxa"/>
            <w:tcBorders>
              <w:tl2br w:val="nil"/>
              <w:tr2bl w:val="nil"/>
            </w:tcBorders>
            <w:shd w:val="clear" w:color="auto" w:fill="auto"/>
            <w:vAlign w:val="center"/>
          </w:tcPr>
          <w:p w14:paraId="25A2F550">
            <w:pPr>
              <w:jc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w:t>
            </w:r>
          </w:p>
        </w:tc>
        <w:tc>
          <w:tcPr>
            <w:tcW w:w="1108" w:type="dxa"/>
            <w:tcBorders>
              <w:tl2br w:val="nil"/>
              <w:tr2bl w:val="nil"/>
            </w:tcBorders>
            <w:shd w:val="clear" w:color="auto" w:fill="auto"/>
            <w:vAlign w:val="center"/>
          </w:tcPr>
          <w:p w14:paraId="6F4F63EE">
            <w:pPr>
              <w:jc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w:t>
            </w:r>
          </w:p>
        </w:tc>
        <w:tc>
          <w:tcPr>
            <w:tcW w:w="990" w:type="dxa"/>
            <w:tcBorders>
              <w:tl2br w:val="nil"/>
              <w:tr2bl w:val="nil"/>
            </w:tcBorders>
            <w:shd w:val="clear" w:color="auto" w:fill="auto"/>
            <w:vAlign w:val="center"/>
          </w:tcPr>
          <w:p w14:paraId="76BEACC5">
            <w:pPr>
              <w:jc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w:t>
            </w:r>
          </w:p>
        </w:tc>
        <w:tc>
          <w:tcPr>
            <w:tcW w:w="1155" w:type="dxa"/>
            <w:tcBorders>
              <w:tl2br w:val="nil"/>
              <w:tr2bl w:val="nil"/>
            </w:tcBorders>
            <w:shd w:val="clear" w:color="auto" w:fill="auto"/>
            <w:vAlign w:val="center"/>
          </w:tcPr>
          <w:p w14:paraId="69161314">
            <w:pPr>
              <w:jc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w:t>
            </w:r>
          </w:p>
        </w:tc>
        <w:tc>
          <w:tcPr>
            <w:tcW w:w="1452" w:type="dxa"/>
            <w:tcBorders>
              <w:tl2br w:val="nil"/>
              <w:tr2bl w:val="nil"/>
            </w:tcBorders>
            <w:shd w:val="clear" w:color="auto" w:fill="auto"/>
            <w:vAlign w:val="center"/>
          </w:tcPr>
          <w:p w14:paraId="430E48C2">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瞬时采样3个瞬时样</w:t>
            </w:r>
          </w:p>
        </w:tc>
        <w:tc>
          <w:tcPr>
            <w:tcW w:w="738" w:type="dxa"/>
            <w:tcBorders>
              <w:tl2br w:val="nil"/>
              <w:tr2bl w:val="nil"/>
            </w:tcBorders>
            <w:shd w:val="clear" w:color="auto" w:fill="auto"/>
            <w:vAlign w:val="center"/>
          </w:tcPr>
          <w:p w14:paraId="0987AD1A">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1次/日</w:t>
            </w:r>
          </w:p>
        </w:tc>
        <w:tc>
          <w:tcPr>
            <w:tcW w:w="1666" w:type="dxa"/>
            <w:tcBorders>
              <w:tl2br w:val="nil"/>
              <w:tr2bl w:val="nil"/>
            </w:tcBorders>
            <w:shd w:val="clear" w:color="auto" w:fill="auto"/>
            <w:vAlign w:val="center"/>
          </w:tcPr>
          <w:p w14:paraId="286F91E1">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《水质 总氮的测定 碱性过硫酸钾消解紫外分光光度法》</w:t>
            </w:r>
          </w:p>
          <w:p w14:paraId="794E2904">
            <w:pPr>
              <w:widowControl/>
              <w:jc w:val="center"/>
              <w:textAlignment w:val="center"/>
              <w:rPr>
                <w:rFonts w:ascii="宋体" w:hAnsi="宋体" w:eastAsia="宋体" w:cs="宋体"/>
                <w:color w:val="auto"/>
                <w:sz w:val="20"/>
                <w:szCs w:val="20"/>
                <w:highlight w:val="none"/>
              </w:rPr>
            </w:pPr>
            <w:r>
              <w:rPr>
                <w:rStyle w:val="36"/>
                <w:rFonts w:hint="eastAsia" w:ascii="宋体" w:hAnsi="宋体" w:eastAsia="宋体" w:cs="宋体"/>
                <w:color w:val="auto"/>
                <w:sz w:val="20"/>
                <w:szCs w:val="20"/>
                <w:highlight w:val="none"/>
              </w:rPr>
              <w:t>HJ636-2012</w:t>
            </w:r>
          </w:p>
        </w:tc>
        <w:tc>
          <w:tcPr>
            <w:tcW w:w="1080" w:type="dxa"/>
            <w:tcBorders>
              <w:tl2br w:val="nil"/>
              <w:tr2bl w:val="nil"/>
            </w:tcBorders>
            <w:shd w:val="clear" w:color="auto" w:fill="auto"/>
            <w:vAlign w:val="center"/>
          </w:tcPr>
          <w:p w14:paraId="617E9818">
            <w:pPr>
              <w:widowControl/>
              <w:jc w:val="center"/>
              <w:textAlignment w:val="center"/>
              <w:rPr>
                <w:rStyle w:val="36"/>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紫外可见分光光度计</w:t>
            </w:r>
          </w:p>
        </w:tc>
        <w:tc>
          <w:tcPr>
            <w:tcW w:w="1275" w:type="dxa"/>
            <w:tcBorders>
              <w:tl2br w:val="nil"/>
              <w:tr2bl w:val="nil"/>
            </w:tcBorders>
            <w:shd w:val="clear" w:color="auto" w:fill="auto"/>
            <w:vAlign w:val="center"/>
          </w:tcPr>
          <w:p w14:paraId="7F862300">
            <w:pPr>
              <w:widowControl/>
              <w:jc w:val="center"/>
              <w:textAlignment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kern w:val="0"/>
                <w:sz w:val="20"/>
                <w:szCs w:val="20"/>
                <w:highlight w:val="none"/>
                <w:lang w:eastAsia="zh-CN"/>
              </w:rPr>
              <w:t>/</w:t>
            </w:r>
          </w:p>
        </w:tc>
        <w:tc>
          <w:tcPr>
            <w:tcW w:w="1620" w:type="dxa"/>
            <w:tcBorders>
              <w:tl2br w:val="nil"/>
              <w:tr2bl w:val="nil"/>
            </w:tcBorders>
            <w:shd w:val="clear" w:color="auto" w:fill="auto"/>
            <w:vAlign w:val="center"/>
          </w:tcPr>
          <w:p w14:paraId="2D95AE75">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val="en-US" w:eastAsia="zh-CN" w:bidi="ar"/>
              </w:rPr>
              <w:t>冷藏</w:t>
            </w:r>
          </w:p>
        </w:tc>
      </w:tr>
      <w:tr w14:paraId="7BB0CAF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056" w:hRule="atLeast"/>
        </w:trPr>
        <w:tc>
          <w:tcPr>
            <w:tcW w:w="525" w:type="dxa"/>
            <w:tcBorders>
              <w:tl2br w:val="nil"/>
              <w:tr2bl w:val="nil"/>
            </w:tcBorders>
            <w:shd w:val="clear" w:color="auto" w:fill="auto"/>
            <w:vAlign w:val="center"/>
          </w:tcPr>
          <w:p w14:paraId="6824CD22">
            <w:pPr>
              <w:widowControl/>
              <w:jc w:val="center"/>
              <w:textAlignment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kern w:val="0"/>
                <w:sz w:val="20"/>
                <w:szCs w:val="20"/>
                <w:highlight w:val="none"/>
              </w:rPr>
              <w:t>2</w:t>
            </w:r>
            <w:r>
              <w:rPr>
                <w:rFonts w:hint="eastAsia" w:ascii="宋体" w:hAnsi="宋体" w:eastAsia="宋体" w:cs="宋体"/>
                <w:color w:val="auto"/>
                <w:kern w:val="0"/>
                <w:sz w:val="20"/>
                <w:szCs w:val="20"/>
                <w:highlight w:val="none"/>
                <w:lang w:val="en-US" w:eastAsia="zh-CN"/>
              </w:rPr>
              <w:t>7</w:t>
            </w:r>
          </w:p>
        </w:tc>
        <w:tc>
          <w:tcPr>
            <w:tcW w:w="844" w:type="dxa"/>
            <w:tcBorders>
              <w:tl2br w:val="nil"/>
              <w:tr2bl w:val="nil"/>
            </w:tcBorders>
            <w:shd w:val="clear" w:color="auto" w:fill="auto"/>
            <w:vAlign w:val="center"/>
          </w:tcPr>
          <w:p w14:paraId="3CE1FDBF">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废水</w:t>
            </w:r>
          </w:p>
        </w:tc>
        <w:tc>
          <w:tcPr>
            <w:tcW w:w="900" w:type="dxa"/>
            <w:tcBorders>
              <w:tl2br w:val="nil"/>
              <w:tr2bl w:val="nil"/>
            </w:tcBorders>
            <w:shd w:val="clear" w:color="auto" w:fill="auto"/>
            <w:vAlign w:val="center"/>
          </w:tcPr>
          <w:p w14:paraId="3A5A755E">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MW00</w:t>
            </w:r>
            <w:r>
              <w:rPr>
                <w:rStyle w:val="37"/>
                <w:rFonts w:hint="default"/>
                <w:color w:val="auto"/>
                <w:sz w:val="20"/>
                <w:szCs w:val="20"/>
                <w:highlight w:val="none"/>
              </w:rPr>
              <w:t>1</w:t>
            </w:r>
          </w:p>
        </w:tc>
        <w:tc>
          <w:tcPr>
            <w:tcW w:w="1125" w:type="dxa"/>
            <w:tcBorders>
              <w:tl2br w:val="nil"/>
              <w:tr2bl w:val="nil"/>
            </w:tcBorders>
            <w:shd w:val="clear" w:color="auto" w:fill="auto"/>
            <w:vAlign w:val="center"/>
          </w:tcPr>
          <w:p w14:paraId="13E91786">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进水口</w:t>
            </w:r>
          </w:p>
        </w:tc>
        <w:tc>
          <w:tcPr>
            <w:tcW w:w="993" w:type="dxa"/>
            <w:tcBorders>
              <w:tl2br w:val="nil"/>
              <w:tr2bl w:val="nil"/>
            </w:tcBorders>
            <w:shd w:val="clear" w:color="auto" w:fill="auto"/>
            <w:vAlign w:val="center"/>
          </w:tcPr>
          <w:p w14:paraId="3894AE72">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总磷（以P计）</w:t>
            </w:r>
          </w:p>
        </w:tc>
        <w:tc>
          <w:tcPr>
            <w:tcW w:w="636" w:type="dxa"/>
            <w:tcBorders>
              <w:tl2br w:val="nil"/>
              <w:tr2bl w:val="nil"/>
            </w:tcBorders>
            <w:shd w:val="clear" w:color="auto" w:fill="auto"/>
            <w:vAlign w:val="center"/>
          </w:tcPr>
          <w:p w14:paraId="363C3B3E">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手工</w:t>
            </w:r>
          </w:p>
        </w:tc>
        <w:tc>
          <w:tcPr>
            <w:tcW w:w="1859" w:type="dxa"/>
            <w:tcBorders>
              <w:tl2br w:val="nil"/>
              <w:tr2bl w:val="nil"/>
            </w:tcBorders>
            <w:shd w:val="clear" w:color="auto" w:fill="auto"/>
            <w:vAlign w:val="center"/>
          </w:tcPr>
          <w:p w14:paraId="1B6189D5">
            <w:pPr>
              <w:jc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设计进水水质</w:t>
            </w:r>
          </w:p>
        </w:tc>
        <w:tc>
          <w:tcPr>
            <w:tcW w:w="1103" w:type="dxa"/>
            <w:tcBorders>
              <w:tl2br w:val="nil"/>
              <w:tr2bl w:val="nil"/>
            </w:tcBorders>
            <w:shd w:val="clear" w:color="auto" w:fill="auto"/>
            <w:vAlign w:val="center"/>
          </w:tcPr>
          <w:p w14:paraId="0BFA39EE">
            <w:pP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≤3mg/L</w:t>
            </w:r>
          </w:p>
        </w:tc>
        <w:tc>
          <w:tcPr>
            <w:tcW w:w="1172" w:type="dxa"/>
            <w:tcBorders>
              <w:tl2br w:val="nil"/>
              <w:tr2bl w:val="nil"/>
            </w:tcBorders>
            <w:shd w:val="clear" w:color="auto" w:fill="auto"/>
            <w:vAlign w:val="center"/>
          </w:tcPr>
          <w:p w14:paraId="572DB5A5">
            <w:pP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0.01mg/L</w:t>
            </w:r>
          </w:p>
        </w:tc>
        <w:tc>
          <w:tcPr>
            <w:tcW w:w="559" w:type="dxa"/>
            <w:tcBorders>
              <w:tl2br w:val="nil"/>
              <w:tr2bl w:val="nil"/>
            </w:tcBorders>
            <w:shd w:val="clear" w:color="auto" w:fill="auto"/>
            <w:vAlign w:val="center"/>
          </w:tcPr>
          <w:p w14:paraId="728D8323">
            <w:pPr>
              <w:jc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w:t>
            </w:r>
          </w:p>
        </w:tc>
        <w:tc>
          <w:tcPr>
            <w:tcW w:w="1108" w:type="dxa"/>
            <w:tcBorders>
              <w:tl2br w:val="nil"/>
              <w:tr2bl w:val="nil"/>
            </w:tcBorders>
            <w:shd w:val="clear" w:color="auto" w:fill="auto"/>
            <w:vAlign w:val="center"/>
          </w:tcPr>
          <w:p w14:paraId="6B147CF4">
            <w:pPr>
              <w:jc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w:t>
            </w:r>
          </w:p>
        </w:tc>
        <w:tc>
          <w:tcPr>
            <w:tcW w:w="990" w:type="dxa"/>
            <w:tcBorders>
              <w:tl2br w:val="nil"/>
              <w:tr2bl w:val="nil"/>
            </w:tcBorders>
            <w:shd w:val="clear" w:color="auto" w:fill="auto"/>
            <w:vAlign w:val="center"/>
          </w:tcPr>
          <w:p w14:paraId="03EAD684">
            <w:pPr>
              <w:jc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w:t>
            </w:r>
          </w:p>
        </w:tc>
        <w:tc>
          <w:tcPr>
            <w:tcW w:w="1155" w:type="dxa"/>
            <w:tcBorders>
              <w:tl2br w:val="nil"/>
              <w:tr2bl w:val="nil"/>
            </w:tcBorders>
            <w:shd w:val="clear" w:color="auto" w:fill="auto"/>
            <w:vAlign w:val="center"/>
          </w:tcPr>
          <w:p w14:paraId="35EB7D66">
            <w:pPr>
              <w:jc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w:t>
            </w:r>
          </w:p>
        </w:tc>
        <w:tc>
          <w:tcPr>
            <w:tcW w:w="1452" w:type="dxa"/>
            <w:tcBorders>
              <w:tl2br w:val="nil"/>
              <w:tr2bl w:val="nil"/>
            </w:tcBorders>
            <w:shd w:val="clear" w:color="auto" w:fill="auto"/>
            <w:vAlign w:val="center"/>
          </w:tcPr>
          <w:p w14:paraId="07B485A0">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瞬时采样3个瞬时样</w:t>
            </w:r>
          </w:p>
        </w:tc>
        <w:tc>
          <w:tcPr>
            <w:tcW w:w="738" w:type="dxa"/>
            <w:tcBorders>
              <w:tl2br w:val="nil"/>
              <w:tr2bl w:val="nil"/>
            </w:tcBorders>
            <w:shd w:val="clear" w:color="auto" w:fill="auto"/>
            <w:vAlign w:val="center"/>
          </w:tcPr>
          <w:p w14:paraId="1EA1B7DC">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1次/日</w:t>
            </w:r>
          </w:p>
        </w:tc>
        <w:tc>
          <w:tcPr>
            <w:tcW w:w="1666" w:type="dxa"/>
            <w:tcBorders>
              <w:tl2br w:val="nil"/>
              <w:tr2bl w:val="nil"/>
            </w:tcBorders>
            <w:shd w:val="clear" w:color="auto" w:fill="auto"/>
            <w:vAlign w:val="center"/>
          </w:tcPr>
          <w:p w14:paraId="03AF7C73">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《水质 总磷的测定 钼酸铵分光光度法》</w:t>
            </w:r>
          </w:p>
          <w:p w14:paraId="20F5CDC2">
            <w:pPr>
              <w:widowControl/>
              <w:jc w:val="center"/>
              <w:textAlignment w:val="center"/>
              <w:rPr>
                <w:rFonts w:ascii="宋体" w:hAnsi="宋体" w:eastAsia="宋体" w:cs="宋体"/>
                <w:color w:val="auto"/>
                <w:sz w:val="20"/>
                <w:szCs w:val="20"/>
                <w:highlight w:val="none"/>
              </w:rPr>
            </w:pPr>
            <w:r>
              <w:rPr>
                <w:rStyle w:val="36"/>
                <w:rFonts w:hint="eastAsia" w:ascii="宋体" w:hAnsi="宋体" w:eastAsia="宋体" w:cs="宋体"/>
                <w:color w:val="auto"/>
                <w:sz w:val="20"/>
                <w:szCs w:val="20"/>
                <w:highlight w:val="none"/>
              </w:rPr>
              <w:t>GB11893-89</w:t>
            </w:r>
          </w:p>
        </w:tc>
        <w:tc>
          <w:tcPr>
            <w:tcW w:w="1080" w:type="dxa"/>
            <w:tcBorders>
              <w:tl2br w:val="nil"/>
              <w:tr2bl w:val="nil"/>
            </w:tcBorders>
            <w:shd w:val="clear" w:color="auto" w:fill="auto"/>
            <w:vAlign w:val="center"/>
          </w:tcPr>
          <w:p w14:paraId="18C8F42F">
            <w:pPr>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紫外可见分光光度计</w:t>
            </w:r>
          </w:p>
        </w:tc>
        <w:tc>
          <w:tcPr>
            <w:tcW w:w="1275" w:type="dxa"/>
            <w:tcBorders>
              <w:tl2br w:val="nil"/>
              <w:tr2bl w:val="nil"/>
            </w:tcBorders>
            <w:shd w:val="clear" w:color="auto" w:fill="auto"/>
            <w:vAlign w:val="center"/>
          </w:tcPr>
          <w:p w14:paraId="32D4532E">
            <w:pPr>
              <w:widowControl/>
              <w:jc w:val="center"/>
              <w:textAlignment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w:t>
            </w:r>
          </w:p>
        </w:tc>
        <w:tc>
          <w:tcPr>
            <w:tcW w:w="1620" w:type="dxa"/>
            <w:tcBorders>
              <w:tl2br w:val="nil"/>
              <w:tr2bl w:val="nil"/>
            </w:tcBorders>
            <w:shd w:val="clear" w:color="auto" w:fill="auto"/>
            <w:vAlign w:val="center"/>
          </w:tcPr>
          <w:p w14:paraId="58550EB3">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val="en-US" w:eastAsia="zh-CN" w:bidi="ar"/>
              </w:rPr>
              <w:t>冷藏</w:t>
            </w:r>
          </w:p>
        </w:tc>
      </w:tr>
      <w:tr w14:paraId="09F6D8F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385" w:hRule="exact"/>
        </w:trPr>
        <w:tc>
          <w:tcPr>
            <w:tcW w:w="525" w:type="dxa"/>
            <w:tcBorders>
              <w:tl2br w:val="nil"/>
              <w:tr2bl w:val="nil"/>
            </w:tcBorders>
            <w:shd w:val="clear" w:color="auto" w:fill="auto"/>
            <w:vAlign w:val="center"/>
          </w:tcPr>
          <w:p w14:paraId="3FB9E8D9">
            <w:pPr>
              <w:widowControl/>
              <w:jc w:val="center"/>
              <w:textAlignment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kern w:val="0"/>
                <w:sz w:val="20"/>
                <w:szCs w:val="20"/>
                <w:highlight w:val="none"/>
              </w:rPr>
              <w:t>2</w:t>
            </w:r>
            <w:r>
              <w:rPr>
                <w:rFonts w:hint="eastAsia" w:ascii="宋体" w:hAnsi="宋体" w:eastAsia="宋体" w:cs="宋体"/>
                <w:color w:val="auto"/>
                <w:kern w:val="0"/>
                <w:sz w:val="20"/>
                <w:szCs w:val="20"/>
                <w:highlight w:val="none"/>
                <w:lang w:val="en-US" w:eastAsia="zh-CN"/>
              </w:rPr>
              <w:t>8</w:t>
            </w:r>
          </w:p>
        </w:tc>
        <w:tc>
          <w:tcPr>
            <w:tcW w:w="844" w:type="dxa"/>
            <w:tcBorders>
              <w:tl2br w:val="nil"/>
              <w:tr2bl w:val="nil"/>
            </w:tcBorders>
            <w:shd w:val="clear" w:color="auto" w:fill="auto"/>
            <w:vAlign w:val="center"/>
          </w:tcPr>
          <w:p w14:paraId="2C2DBFA6">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雨水</w:t>
            </w:r>
          </w:p>
        </w:tc>
        <w:tc>
          <w:tcPr>
            <w:tcW w:w="900" w:type="dxa"/>
            <w:tcBorders>
              <w:tl2br w:val="nil"/>
              <w:tr2bl w:val="nil"/>
            </w:tcBorders>
            <w:shd w:val="clear" w:color="auto" w:fill="auto"/>
            <w:vAlign w:val="center"/>
          </w:tcPr>
          <w:p w14:paraId="6EE0F088">
            <w:pPr>
              <w:widowControl/>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kern w:val="0"/>
                <w:sz w:val="20"/>
                <w:szCs w:val="20"/>
                <w:highlight w:val="none"/>
                <w:lang w:val="en-US" w:eastAsia="zh-CN"/>
              </w:rPr>
              <w:t>YS</w:t>
            </w:r>
            <w:r>
              <w:rPr>
                <w:rFonts w:hint="eastAsia" w:ascii="宋体" w:hAnsi="宋体" w:eastAsia="宋体" w:cs="宋体"/>
                <w:color w:val="auto"/>
                <w:kern w:val="0"/>
                <w:sz w:val="20"/>
                <w:szCs w:val="20"/>
                <w:highlight w:val="none"/>
              </w:rPr>
              <w:t>00</w:t>
            </w:r>
            <w:r>
              <w:rPr>
                <w:rFonts w:hint="eastAsia" w:ascii="宋体" w:hAnsi="宋体" w:eastAsia="宋体" w:cs="宋体"/>
                <w:color w:val="auto"/>
                <w:kern w:val="0"/>
                <w:sz w:val="20"/>
                <w:szCs w:val="20"/>
                <w:highlight w:val="none"/>
                <w:lang w:val="en-US" w:eastAsia="zh-CN"/>
              </w:rPr>
              <w:t>1</w:t>
            </w:r>
          </w:p>
        </w:tc>
        <w:tc>
          <w:tcPr>
            <w:tcW w:w="1125" w:type="dxa"/>
            <w:tcBorders>
              <w:tl2br w:val="nil"/>
              <w:tr2bl w:val="nil"/>
            </w:tcBorders>
            <w:shd w:val="clear" w:color="auto" w:fill="auto"/>
            <w:vAlign w:val="center"/>
          </w:tcPr>
          <w:p w14:paraId="07B71210">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雨</w:t>
            </w:r>
            <w:r>
              <w:rPr>
                <w:rStyle w:val="37"/>
                <w:rFonts w:hint="default"/>
                <w:color w:val="auto"/>
                <w:sz w:val="20"/>
                <w:szCs w:val="20"/>
                <w:highlight w:val="none"/>
              </w:rPr>
              <w:t>水排放口</w:t>
            </w:r>
          </w:p>
        </w:tc>
        <w:tc>
          <w:tcPr>
            <w:tcW w:w="993" w:type="dxa"/>
            <w:tcBorders>
              <w:tl2br w:val="nil"/>
              <w:tr2bl w:val="nil"/>
            </w:tcBorders>
            <w:shd w:val="clear" w:color="auto" w:fill="auto"/>
            <w:vAlign w:val="center"/>
          </w:tcPr>
          <w:p w14:paraId="1710D805">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pH值</w:t>
            </w:r>
          </w:p>
        </w:tc>
        <w:tc>
          <w:tcPr>
            <w:tcW w:w="636" w:type="dxa"/>
            <w:tcBorders>
              <w:tl2br w:val="nil"/>
              <w:tr2bl w:val="nil"/>
            </w:tcBorders>
            <w:shd w:val="clear" w:color="auto" w:fill="auto"/>
            <w:vAlign w:val="center"/>
          </w:tcPr>
          <w:p w14:paraId="5FCA8FA8">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手工</w:t>
            </w:r>
          </w:p>
        </w:tc>
        <w:tc>
          <w:tcPr>
            <w:tcW w:w="1859" w:type="dxa"/>
            <w:tcBorders>
              <w:tl2br w:val="nil"/>
              <w:tr2bl w:val="nil"/>
            </w:tcBorders>
            <w:shd w:val="clear" w:color="auto" w:fill="auto"/>
            <w:vAlign w:val="center"/>
          </w:tcPr>
          <w:p w14:paraId="0DE8A89B">
            <w:pP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《污水综合排放标准（GB 8978-1996 ）》中表4其他排污单位的一级标准</w:t>
            </w:r>
          </w:p>
        </w:tc>
        <w:tc>
          <w:tcPr>
            <w:tcW w:w="1103" w:type="dxa"/>
            <w:tcBorders>
              <w:tl2br w:val="nil"/>
              <w:tr2bl w:val="nil"/>
            </w:tcBorders>
            <w:shd w:val="clear" w:color="auto" w:fill="auto"/>
            <w:vAlign w:val="center"/>
          </w:tcPr>
          <w:p w14:paraId="1B99C660">
            <w:pP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6-9（无量纲）</w:t>
            </w:r>
          </w:p>
        </w:tc>
        <w:tc>
          <w:tcPr>
            <w:tcW w:w="1172" w:type="dxa"/>
            <w:tcBorders>
              <w:tl2br w:val="nil"/>
              <w:tr2bl w:val="nil"/>
            </w:tcBorders>
            <w:shd w:val="clear" w:color="auto" w:fill="auto"/>
            <w:vAlign w:val="center"/>
          </w:tcPr>
          <w:p w14:paraId="3E70CD44">
            <w:pPr>
              <w:jc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w:t>
            </w:r>
          </w:p>
        </w:tc>
        <w:tc>
          <w:tcPr>
            <w:tcW w:w="559" w:type="dxa"/>
            <w:tcBorders>
              <w:tl2br w:val="nil"/>
              <w:tr2bl w:val="nil"/>
            </w:tcBorders>
            <w:shd w:val="clear" w:color="auto" w:fill="auto"/>
            <w:vAlign w:val="center"/>
          </w:tcPr>
          <w:p w14:paraId="74A1786D">
            <w:pPr>
              <w:jc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w:t>
            </w:r>
          </w:p>
        </w:tc>
        <w:tc>
          <w:tcPr>
            <w:tcW w:w="1108" w:type="dxa"/>
            <w:tcBorders>
              <w:tl2br w:val="nil"/>
              <w:tr2bl w:val="nil"/>
            </w:tcBorders>
            <w:shd w:val="clear" w:color="auto" w:fill="auto"/>
            <w:vAlign w:val="center"/>
          </w:tcPr>
          <w:p w14:paraId="5DA5C530">
            <w:pPr>
              <w:jc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w:t>
            </w:r>
          </w:p>
        </w:tc>
        <w:tc>
          <w:tcPr>
            <w:tcW w:w="990" w:type="dxa"/>
            <w:tcBorders>
              <w:tl2br w:val="nil"/>
              <w:tr2bl w:val="nil"/>
            </w:tcBorders>
            <w:shd w:val="clear" w:color="auto" w:fill="auto"/>
            <w:vAlign w:val="center"/>
          </w:tcPr>
          <w:p w14:paraId="440F576E">
            <w:pPr>
              <w:jc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w:t>
            </w:r>
          </w:p>
        </w:tc>
        <w:tc>
          <w:tcPr>
            <w:tcW w:w="1155" w:type="dxa"/>
            <w:tcBorders>
              <w:tl2br w:val="nil"/>
              <w:tr2bl w:val="nil"/>
            </w:tcBorders>
            <w:shd w:val="clear" w:color="auto" w:fill="auto"/>
            <w:vAlign w:val="center"/>
          </w:tcPr>
          <w:p w14:paraId="471917D7">
            <w:pPr>
              <w:jc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w:t>
            </w:r>
          </w:p>
        </w:tc>
        <w:tc>
          <w:tcPr>
            <w:tcW w:w="1452" w:type="dxa"/>
            <w:tcBorders>
              <w:tl2br w:val="nil"/>
              <w:tr2bl w:val="nil"/>
            </w:tcBorders>
            <w:shd w:val="clear" w:color="auto" w:fill="auto"/>
            <w:vAlign w:val="center"/>
          </w:tcPr>
          <w:p w14:paraId="24E99702">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 xml:space="preserve">瞬时采样 </w:t>
            </w:r>
          </w:p>
          <w:p w14:paraId="42768B14">
            <w:pPr>
              <w:widowControl/>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kern w:val="0"/>
                <w:sz w:val="20"/>
                <w:szCs w:val="20"/>
                <w:highlight w:val="none"/>
                <w:lang w:val="en-US" w:eastAsia="zh-CN" w:bidi="ar"/>
              </w:rPr>
              <w:t>1</w:t>
            </w:r>
            <w:r>
              <w:rPr>
                <w:rFonts w:hint="eastAsia" w:ascii="宋体" w:hAnsi="宋体" w:eastAsia="宋体" w:cs="宋体"/>
                <w:color w:val="auto"/>
                <w:kern w:val="0"/>
                <w:sz w:val="20"/>
                <w:szCs w:val="20"/>
                <w:highlight w:val="none"/>
                <w:lang w:bidi="ar"/>
              </w:rPr>
              <w:t>个瞬时样</w:t>
            </w:r>
          </w:p>
        </w:tc>
        <w:tc>
          <w:tcPr>
            <w:tcW w:w="738" w:type="dxa"/>
            <w:tcBorders>
              <w:tl2br w:val="nil"/>
              <w:tr2bl w:val="nil"/>
            </w:tcBorders>
            <w:shd w:val="clear" w:color="auto" w:fill="auto"/>
            <w:vAlign w:val="center"/>
          </w:tcPr>
          <w:p w14:paraId="6F9AA458">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1次/月</w:t>
            </w:r>
          </w:p>
        </w:tc>
        <w:tc>
          <w:tcPr>
            <w:tcW w:w="1666" w:type="dxa"/>
            <w:tcBorders>
              <w:tl2br w:val="nil"/>
              <w:tr2bl w:val="nil"/>
            </w:tcBorders>
            <w:shd w:val="clear" w:color="auto" w:fill="auto"/>
            <w:vAlign w:val="center"/>
          </w:tcPr>
          <w:p w14:paraId="58961804">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《水质 pH值的测定 电极法》</w:t>
            </w:r>
          </w:p>
          <w:p w14:paraId="52663968">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HJ 1147-2020</w:t>
            </w:r>
          </w:p>
        </w:tc>
        <w:tc>
          <w:tcPr>
            <w:tcW w:w="1080" w:type="dxa"/>
            <w:tcBorders>
              <w:tl2br w:val="nil"/>
              <w:tr2bl w:val="nil"/>
            </w:tcBorders>
            <w:shd w:val="clear" w:color="auto" w:fill="auto"/>
            <w:vAlign w:val="center"/>
          </w:tcPr>
          <w:p w14:paraId="275D9E57">
            <w:pPr>
              <w:widowControl/>
              <w:jc w:val="center"/>
              <w:textAlignment w:val="center"/>
              <w:rPr>
                <w:rFonts w:ascii="宋体" w:hAnsi="宋体" w:eastAsia="宋体" w:cs="宋体"/>
                <w:color w:val="auto"/>
                <w:kern w:val="0"/>
                <w:sz w:val="20"/>
                <w:szCs w:val="20"/>
                <w:highlight w:val="none"/>
              </w:rPr>
            </w:pPr>
            <w:r>
              <w:rPr>
                <w:rStyle w:val="33"/>
                <w:rFonts w:hint="eastAsia" w:ascii="宋体" w:hAnsi="宋体" w:eastAsia="宋体" w:cs="宋体"/>
                <w:color w:val="auto"/>
                <w:sz w:val="20"/>
                <w:szCs w:val="20"/>
                <w:highlight w:val="none"/>
              </w:rPr>
              <w:t>pH计</w:t>
            </w:r>
          </w:p>
        </w:tc>
        <w:tc>
          <w:tcPr>
            <w:tcW w:w="1275" w:type="dxa"/>
            <w:tcBorders>
              <w:tl2br w:val="nil"/>
              <w:tr2bl w:val="nil"/>
            </w:tcBorders>
            <w:shd w:val="clear" w:color="auto" w:fill="auto"/>
            <w:vAlign w:val="center"/>
          </w:tcPr>
          <w:p w14:paraId="4FC4DBEA">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w:t>
            </w:r>
          </w:p>
        </w:tc>
        <w:tc>
          <w:tcPr>
            <w:tcW w:w="1620" w:type="dxa"/>
            <w:tcBorders>
              <w:tl2br w:val="nil"/>
              <w:tr2bl w:val="nil"/>
            </w:tcBorders>
            <w:shd w:val="clear" w:color="auto" w:fill="auto"/>
            <w:vAlign w:val="center"/>
          </w:tcPr>
          <w:p w14:paraId="5079FB27">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下雨时开展手工监测</w:t>
            </w:r>
          </w:p>
        </w:tc>
      </w:tr>
      <w:tr w14:paraId="45FF11B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580" w:hRule="exact"/>
        </w:trPr>
        <w:tc>
          <w:tcPr>
            <w:tcW w:w="525" w:type="dxa"/>
            <w:tcBorders>
              <w:tl2br w:val="nil"/>
              <w:tr2bl w:val="nil"/>
            </w:tcBorders>
            <w:shd w:val="clear" w:color="auto" w:fill="auto"/>
            <w:vAlign w:val="center"/>
          </w:tcPr>
          <w:p w14:paraId="5CD51782">
            <w:pPr>
              <w:widowControl/>
              <w:jc w:val="center"/>
              <w:textAlignment w:val="center"/>
              <w:rPr>
                <w:rFonts w:hint="default" w:ascii="宋体" w:hAnsi="宋体" w:eastAsia="宋体" w:cs="宋体"/>
                <w:color w:val="auto"/>
                <w:sz w:val="20"/>
                <w:szCs w:val="20"/>
                <w:highlight w:val="none"/>
                <w:lang w:val="en-US" w:eastAsia="zh-CN"/>
              </w:rPr>
            </w:pPr>
            <w:r>
              <w:rPr>
                <w:rFonts w:hint="eastAsia" w:ascii="宋体" w:hAnsi="宋体" w:eastAsia="宋体" w:cs="宋体"/>
                <w:color w:val="auto"/>
                <w:kern w:val="0"/>
                <w:sz w:val="20"/>
                <w:szCs w:val="20"/>
                <w:highlight w:val="none"/>
                <w:lang w:val="en-US" w:eastAsia="zh-CN"/>
              </w:rPr>
              <w:t>29</w:t>
            </w:r>
          </w:p>
        </w:tc>
        <w:tc>
          <w:tcPr>
            <w:tcW w:w="844" w:type="dxa"/>
            <w:tcBorders>
              <w:tl2br w:val="nil"/>
              <w:tr2bl w:val="nil"/>
            </w:tcBorders>
            <w:shd w:val="clear" w:color="auto" w:fill="auto"/>
            <w:vAlign w:val="center"/>
          </w:tcPr>
          <w:p w14:paraId="7A1995BF">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雨水</w:t>
            </w:r>
          </w:p>
        </w:tc>
        <w:tc>
          <w:tcPr>
            <w:tcW w:w="900" w:type="dxa"/>
            <w:tcBorders>
              <w:tl2br w:val="nil"/>
              <w:tr2bl w:val="nil"/>
            </w:tcBorders>
            <w:shd w:val="clear" w:color="auto" w:fill="auto"/>
            <w:vAlign w:val="center"/>
          </w:tcPr>
          <w:p w14:paraId="4D36EF2B">
            <w:pPr>
              <w:widowControl/>
              <w:jc w:val="center"/>
              <w:textAlignment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kern w:val="0"/>
                <w:sz w:val="20"/>
                <w:szCs w:val="20"/>
                <w:highlight w:val="none"/>
                <w:lang w:val="en-US" w:eastAsia="zh-CN"/>
              </w:rPr>
              <w:t>YS</w:t>
            </w:r>
            <w:r>
              <w:rPr>
                <w:rFonts w:hint="eastAsia" w:ascii="宋体" w:hAnsi="宋体" w:eastAsia="宋体" w:cs="宋体"/>
                <w:color w:val="auto"/>
                <w:kern w:val="0"/>
                <w:sz w:val="20"/>
                <w:szCs w:val="20"/>
                <w:highlight w:val="none"/>
              </w:rPr>
              <w:t>00</w:t>
            </w:r>
            <w:r>
              <w:rPr>
                <w:rFonts w:hint="eastAsia" w:ascii="宋体" w:hAnsi="宋体" w:eastAsia="宋体" w:cs="宋体"/>
                <w:color w:val="auto"/>
                <w:kern w:val="0"/>
                <w:sz w:val="20"/>
                <w:szCs w:val="20"/>
                <w:highlight w:val="none"/>
                <w:lang w:val="en-US" w:eastAsia="zh-CN"/>
              </w:rPr>
              <w:t>1</w:t>
            </w:r>
          </w:p>
        </w:tc>
        <w:tc>
          <w:tcPr>
            <w:tcW w:w="1125" w:type="dxa"/>
            <w:tcBorders>
              <w:tl2br w:val="nil"/>
              <w:tr2bl w:val="nil"/>
            </w:tcBorders>
            <w:shd w:val="clear" w:color="auto" w:fill="auto"/>
            <w:vAlign w:val="center"/>
          </w:tcPr>
          <w:p w14:paraId="6B56645A">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雨</w:t>
            </w:r>
            <w:r>
              <w:rPr>
                <w:rStyle w:val="37"/>
                <w:rFonts w:hint="default"/>
                <w:color w:val="auto"/>
                <w:sz w:val="20"/>
                <w:szCs w:val="20"/>
                <w:highlight w:val="none"/>
              </w:rPr>
              <w:t>水排放口</w:t>
            </w:r>
          </w:p>
        </w:tc>
        <w:tc>
          <w:tcPr>
            <w:tcW w:w="993" w:type="dxa"/>
            <w:tcBorders>
              <w:tl2br w:val="nil"/>
              <w:tr2bl w:val="nil"/>
            </w:tcBorders>
            <w:shd w:val="clear" w:color="auto" w:fill="auto"/>
            <w:vAlign w:val="center"/>
          </w:tcPr>
          <w:p w14:paraId="2A008A02">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氨氮</w:t>
            </w:r>
          </w:p>
        </w:tc>
        <w:tc>
          <w:tcPr>
            <w:tcW w:w="636" w:type="dxa"/>
            <w:tcBorders>
              <w:tl2br w:val="nil"/>
              <w:tr2bl w:val="nil"/>
            </w:tcBorders>
            <w:shd w:val="clear" w:color="auto" w:fill="auto"/>
            <w:vAlign w:val="center"/>
          </w:tcPr>
          <w:p w14:paraId="66BFDE35">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手工</w:t>
            </w:r>
          </w:p>
        </w:tc>
        <w:tc>
          <w:tcPr>
            <w:tcW w:w="1859" w:type="dxa"/>
            <w:tcBorders>
              <w:tl2br w:val="nil"/>
              <w:tr2bl w:val="nil"/>
            </w:tcBorders>
            <w:shd w:val="clear" w:color="auto" w:fill="auto"/>
            <w:vAlign w:val="center"/>
          </w:tcPr>
          <w:p w14:paraId="3BCE860D">
            <w:pP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《污水综合排放标准（GB 8978-1996 ）》中表4其他排污单位的一级标准</w:t>
            </w:r>
          </w:p>
        </w:tc>
        <w:tc>
          <w:tcPr>
            <w:tcW w:w="1103" w:type="dxa"/>
            <w:tcBorders>
              <w:tl2br w:val="nil"/>
              <w:tr2bl w:val="nil"/>
            </w:tcBorders>
            <w:shd w:val="clear" w:color="auto" w:fill="auto"/>
            <w:vAlign w:val="center"/>
          </w:tcPr>
          <w:p w14:paraId="099191AE">
            <w:pP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≤15mg/L</w:t>
            </w:r>
          </w:p>
        </w:tc>
        <w:tc>
          <w:tcPr>
            <w:tcW w:w="1172" w:type="dxa"/>
            <w:tcBorders>
              <w:tl2br w:val="nil"/>
              <w:tr2bl w:val="nil"/>
            </w:tcBorders>
            <w:shd w:val="clear" w:color="auto" w:fill="auto"/>
            <w:vAlign w:val="center"/>
          </w:tcPr>
          <w:p w14:paraId="5D3FA949">
            <w:pP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0.025</w:t>
            </w:r>
          </w:p>
          <w:p w14:paraId="36D7C207">
            <w:pP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mg/L</w:t>
            </w:r>
          </w:p>
        </w:tc>
        <w:tc>
          <w:tcPr>
            <w:tcW w:w="559" w:type="dxa"/>
            <w:tcBorders>
              <w:tl2br w:val="nil"/>
              <w:tr2bl w:val="nil"/>
            </w:tcBorders>
            <w:shd w:val="clear" w:color="auto" w:fill="auto"/>
            <w:vAlign w:val="center"/>
          </w:tcPr>
          <w:p w14:paraId="6B1F00C5">
            <w:pPr>
              <w:jc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w:t>
            </w:r>
          </w:p>
        </w:tc>
        <w:tc>
          <w:tcPr>
            <w:tcW w:w="1108" w:type="dxa"/>
            <w:tcBorders>
              <w:tl2br w:val="nil"/>
              <w:tr2bl w:val="nil"/>
            </w:tcBorders>
            <w:shd w:val="clear" w:color="auto" w:fill="auto"/>
            <w:vAlign w:val="center"/>
          </w:tcPr>
          <w:p w14:paraId="202CA1C8">
            <w:pPr>
              <w:jc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w:t>
            </w:r>
          </w:p>
        </w:tc>
        <w:tc>
          <w:tcPr>
            <w:tcW w:w="990" w:type="dxa"/>
            <w:tcBorders>
              <w:tl2br w:val="nil"/>
              <w:tr2bl w:val="nil"/>
            </w:tcBorders>
            <w:shd w:val="clear" w:color="auto" w:fill="auto"/>
            <w:vAlign w:val="center"/>
          </w:tcPr>
          <w:p w14:paraId="7AAB2662">
            <w:pPr>
              <w:jc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w:t>
            </w:r>
          </w:p>
        </w:tc>
        <w:tc>
          <w:tcPr>
            <w:tcW w:w="1155" w:type="dxa"/>
            <w:tcBorders>
              <w:tl2br w:val="nil"/>
              <w:tr2bl w:val="nil"/>
            </w:tcBorders>
            <w:shd w:val="clear" w:color="auto" w:fill="auto"/>
            <w:vAlign w:val="center"/>
          </w:tcPr>
          <w:p w14:paraId="4C200F11">
            <w:pPr>
              <w:jc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w:t>
            </w:r>
          </w:p>
        </w:tc>
        <w:tc>
          <w:tcPr>
            <w:tcW w:w="1452" w:type="dxa"/>
            <w:tcBorders>
              <w:tl2br w:val="nil"/>
              <w:tr2bl w:val="nil"/>
            </w:tcBorders>
            <w:shd w:val="clear" w:color="auto" w:fill="auto"/>
            <w:vAlign w:val="center"/>
          </w:tcPr>
          <w:p w14:paraId="6DD24579">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xml:space="preserve">瞬时采样 </w:t>
            </w:r>
          </w:p>
          <w:p w14:paraId="5734B3AA">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1个瞬时样</w:t>
            </w:r>
          </w:p>
        </w:tc>
        <w:tc>
          <w:tcPr>
            <w:tcW w:w="738" w:type="dxa"/>
            <w:tcBorders>
              <w:tl2br w:val="nil"/>
              <w:tr2bl w:val="nil"/>
            </w:tcBorders>
            <w:shd w:val="clear" w:color="auto" w:fill="auto"/>
            <w:vAlign w:val="center"/>
          </w:tcPr>
          <w:p w14:paraId="7F854FF8">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1次/月</w:t>
            </w:r>
          </w:p>
        </w:tc>
        <w:tc>
          <w:tcPr>
            <w:tcW w:w="1666" w:type="dxa"/>
            <w:tcBorders>
              <w:tl2br w:val="nil"/>
              <w:tr2bl w:val="nil"/>
            </w:tcBorders>
            <w:shd w:val="clear" w:color="auto" w:fill="auto"/>
            <w:vAlign w:val="center"/>
          </w:tcPr>
          <w:p w14:paraId="26AEAC40">
            <w:pP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《水质 氨氮的测定 纳氏试剂分光光度法》</w:t>
            </w:r>
          </w:p>
          <w:p w14:paraId="2F44CB6F">
            <w:pP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HJ535-2009</w:t>
            </w:r>
          </w:p>
        </w:tc>
        <w:tc>
          <w:tcPr>
            <w:tcW w:w="1080" w:type="dxa"/>
            <w:tcBorders>
              <w:tl2br w:val="nil"/>
              <w:tr2bl w:val="nil"/>
            </w:tcBorders>
            <w:shd w:val="clear" w:color="auto" w:fill="auto"/>
            <w:vAlign w:val="center"/>
          </w:tcPr>
          <w:p w14:paraId="4FFB8EFE">
            <w:pPr>
              <w:jc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紫外可见分光光度计</w:t>
            </w:r>
          </w:p>
        </w:tc>
        <w:tc>
          <w:tcPr>
            <w:tcW w:w="1275" w:type="dxa"/>
            <w:tcBorders>
              <w:tl2br w:val="nil"/>
              <w:tr2bl w:val="nil"/>
            </w:tcBorders>
            <w:shd w:val="clear" w:color="auto" w:fill="auto"/>
            <w:vAlign w:val="center"/>
          </w:tcPr>
          <w:p w14:paraId="211BCDA6">
            <w:pPr>
              <w:jc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w:t>
            </w:r>
          </w:p>
        </w:tc>
        <w:tc>
          <w:tcPr>
            <w:tcW w:w="1620" w:type="dxa"/>
            <w:tcBorders>
              <w:tl2br w:val="nil"/>
              <w:tr2bl w:val="nil"/>
            </w:tcBorders>
            <w:shd w:val="clear" w:color="auto" w:fill="auto"/>
            <w:vAlign w:val="center"/>
          </w:tcPr>
          <w:p w14:paraId="1C14C8A9">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下雨时开展手工监测</w:t>
            </w:r>
          </w:p>
        </w:tc>
      </w:tr>
      <w:tr w14:paraId="52A960F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340" w:hRule="exact"/>
        </w:trPr>
        <w:tc>
          <w:tcPr>
            <w:tcW w:w="525" w:type="dxa"/>
            <w:tcBorders>
              <w:tl2br w:val="nil"/>
              <w:tr2bl w:val="nil"/>
            </w:tcBorders>
            <w:shd w:val="clear" w:color="auto" w:fill="auto"/>
            <w:vAlign w:val="center"/>
          </w:tcPr>
          <w:p w14:paraId="5D8D3A6F">
            <w:pPr>
              <w:widowControl/>
              <w:jc w:val="center"/>
              <w:textAlignment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kern w:val="0"/>
                <w:sz w:val="20"/>
                <w:szCs w:val="20"/>
                <w:highlight w:val="none"/>
              </w:rPr>
              <w:t>3</w:t>
            </w:r>
            <w:r>
              <w:rPr>
                <w:rFonts w:hint="eastAsia" w:ascii="宋体" w:hAnsi="宋体" w:eastAsia="宋体" w:cs="宋体"/>
                <w:color w:val="auto"/>
                <w:kern w:val="0"/>
                <w:sz w:val="20"/>
                <w:szCs w:val="20"/>
                <w:highlight w:val="none"/>
                <w:lang w:val="en-US" w:eastAsia="zh-CN"/>
              </w:rPr>
              <w:t>0</w:t>
            </w:r>
          </w:p>
        </w:tc>
        <w:tc>
          <w:tcPr>
            <w:tcW w:w="844" w:type="dxa"/>
            <w:tcBorders>
              <w:tl2br w:val="nil"/>
              <w:tr2bl w:val="nil"/>
            </w:tcBorders>
            <w:shd w:val="clear" w:color="auto" w:fill="auto"/>
            <w:vAlign w:val="center"/>
          </w:tcPr>
          <w:p w14:paraId="65C0B810">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雨水</w:t>
            </w:r>
          </w:p>
        </w:tc>
        <w:tc>
          <w:tcPr>
            <w:tcW w:w="900" w:type="dxa"/>
            <w:tcBorders>
              <w:tl2br w:val="nil"/>
              <w:tr2bl w:val="nil"/>
            </w:tcBorders>
            <w:shd w:val="clear" w:color="auto" w:fill="auto"/>
            <w:vAlign w:val="center"/>
          </w:tcPr>
          <w:p w14:paraId="3BB1D334">
            <w:pPr>
              <w:widowControl/>
              <w:jc w:val="center"/>
              <w:textAlignment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kern w:val="0"/>
                <w:sz w:val="20"/>
                <w:szCs w:val="20"/>
                <w:highlight w:val="none"/>
                <w:lang w:val="en-US" w:eastAsia="zh-CN"/>
              </w:rPr>
              <w:t>YS</w:t>
            </w:r>
            <w:r>
              <w:rPr>
                <w:rFonts w:hint="eastAsia" w:ascii="宋体" w:hAnsi="宋体" w:eastAsia="宋体" w:cs="宋体"/>
                <w:color w:val="auto"/>
                <w:kern w:val="0"/>
                <w:sz w:val="20"/>
                <w:szCs w:val="20"/>
                <w:highlight w:val="none"/>
              </w:rPr>
              <w:t>00</w:t>
            </w:r>
            <w:r>
              <w:rPr>
                <w:rFonts w:hint="eastAsia" w:ascii="宋体" w:hAnsi="宋体" w:eastAsia="宋体" w:cs="宋体"/>
                <w:color w:val="auto"/>
                <w:kern w:val="0"/>
                <w:sz w:val="20"/>
                <w:szCs w:val="20"/>
                <w:highlight w:val="none"/>
                <w:lang w:val="en-US" w:eastAsia="zh-CN"/>
              </w:rPr>
              <w:t>1</w:t>
            </w:r>
          </w:p>
        </w:tc>
        <w:tc>
          <w:tcPr>
            <w:tcW w:w="1125" w:type="dxa"/>
            <w:tcBorders>
              <w:tl2br w:val="nil"/>
              <w:tr2bl w:val="nil"/>
            </w:tcBorders>
            <w:shd w:val="clear" w:color="auto" w:fill="auto"/>
            <w:vAlign w:val="center"/>
          </w:tcPr>
          <w:p w14:paraId="5E685C33">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雨</w:t>
            </w:r>
            <w:r>
              <w:rPr>
                <w:rStyle w:val="37"/>
                <w:rFonts w:hint="default"/>
                <w:color w:val="auto"/>
                <w:sz w:val="20"/>
                <w:szCs w:val="20"/>
                <w:highlight w:val="none"/>
              </w:rPr>
              <w:t>水排放口</w:t>
            </w:r>
          </w:p>
        </w:tc>
        <w:tc>
          <w:tcPr>
            <w:tcW w:w="993" w:type="dxa"/>
            <w:tcBorders>
              <w:tl2br w:val="nil"/>
              <w:tr2bl w:val="nil"/>
            </w:tcBorders>
            <w:shd w:val="clear" w:color="auto" w:fill="auto"/>
            <w:vAlign w:val="center"/>
          </w:tcPr>
          <w:p w14:paraId="35B0AB08">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悬浮物</w:t>
            </w:r>
          </w:p>
        </w:tc>
        <w:tc>
          <w:tcPr>
            <w:tcW w:w="636" w:type="dxa"/>
            <w:tcBorders>
              <w:tl2br w:val="nil"/>
              <w:tr2bl w:val="nil"/>
            </w:tcBorders>
            <w:shd w:val="clear" w:color="auto" w:fill="auto"/>
            <w:vAlign w:val="center"/>
          </w:tcPr>
          <w:p w14:paraId="3F3B046D">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手工</w:t>
            </w:r>
          </w:p>
        </w:tc>
        <w:tc>
          <w:tcPr>
            <w:tcW w:w="1859" w:type="dxa"/>
            <w:tcBorders>
              <w:tl2br w:val="nil"/>
              <w:tr2bl w:val="nil"/>
            </w:tcBorders>
            <w:shd w:val="clear" w:color="auto" w:fill="auto"/>
            <w:vAlign w:val="center"/>
          </w:tcPr>
          <w:p w14:paraId="61A14AE1">
            <w:pP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《污水综合排放标准（GB 8978-1996 ）》中表4其他排污单位的一级标准</w:t>
            </w:r>
          </w:p>
        </w:tc>
        <w:tc>
          <w:tcPr>
            <w:tcW w:w="1103" w:type="dxa"/>
            <w:tcBorders>
              <w:tl2br w:val="nil"/>
              <w:tr2bl w:val="nil"/>
            </w:tcBorders>
            <w:shd w:val="clear" w:color="auto" w:fill="auto"/>
            <w:vAlign w:val="center"/>
          </w:tcPr>
          <w:p w14:paraId="244DE6CC">
            <w:pP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≤70mg/L</w:t>
            </w:r>
          </w:p>
        </w:tc>
        <w:tc>
          <w:tcPr>
            <w:tcW w:w="1172" w:type="dxa"/>
            <w:tcBorders>
              <w:tl2br w:val="nil"/>
              <w:tr2bl w:val="nil"/>
            </w:tcBorders>
            <w:shd w:val="clear" w:color="auto" w:fill="auto"/>
            <w:vAlign w:val="center"/>
          </w:tcPr>
          <w:p w14:paraId="6995A6B0">
            <w:pP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5mg/L</w:t>
            </w:r>
          </w:p>
        </w:tc>
        <w:tc>
          <w:tcPr>
            <w:tcW w:w="559" w:type="dxa"/>
            <w:tcBorders>
              <w:tl2br w:val="nil"/>
              <w:tr2bl w:val="nil"/>
            </w:tcBorders>
            <w:shd w:val="clear" w:color="auto" w:fill="auto"/>
            <w:vAlign w:val="center"/>
          </w:tcPr>
          <w:p w14:paraId="45BFDE73">
            <w:pPr>
              <w:jc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w:t>
            </w:r>
          </w:p>
        </w:tc>
        <w:tc>
          <w:tcPr>
            <w:tcW w:w="1108" w:type="dxa"/>
            <w:tcBorders>
              <w:tl2br w:val="nil"/>
              <w:tr2bl w:val="nil"/>
            </w:tcBorders>
            <w:shd w:val="clear" w:color="auto" w:fill="auto"/>
            <w:vAlign w:val="center"/>
          </w:tcPr>
          <w:p w14:paraId="5B720568">
            <w:pPr>
              <w:jc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w:t>
            </w:r>
          </w:p>
        </w:tc>
        <w:tc>
          <w:tcPr>
            <w:tcW w:w="990" w:type="dxa"/>
            <w:tcBorders>
              <w:tl2br w:val="nil"/>
              <w:tr2bl w:val="nil"/>
            </w:tcBorders>
            <w:shd w:val="clear" w:color="auto" w:fill="auto"/>
            <w:vAlign w:val="center"/>
          </w:tcPr>
          <w:p w14:paraId="342CB779">
            <w:pPr>
              <w:jc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w:t>
            </w:r>
          </w:p>
        </w:tc>
        <w:tc>
          <w:tcPr>
            <w:tcW w:w="1155" w:type="dxa"/>
            <w:tcBorders>
              <w:tl2br w:val="nil"/>
              <w:tr2bl w:val="nil"/>
            </w:tcBorders>
            <w:shd w:val="clear" w:color="auto" w:fill="auto"/>
            <w:vAlign w:val="center"/>
          </w:tcPr>
          <w:p w14:paraId="0CCB3A7C">
            <w:pPr>
              <w:jc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w:t>
            </w:r>
          </w:p>
        </w:tc>
        <w:tc>
          <w:tcPr>
            <w:tcW w:w="1452" w:type="dxa"/>
            <w:tcBorders>
              <w:tl2br w:val="nil"/>
              <w:tr2bl w:val="nil"/>
            </w:tcBorders>
            <w:shd w:val="clear" w:color="auto" w:fill="auto"/>
            <w:vAlign w:val="center"/>
          </w:tcPr>
          <w:p w14:paraId="65590041">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xml:space="preserve">瞬时采样 </w:t>
            </w:r>
          </w:p>
          <w:p w14:paraId="6FFDBEEA">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1个瞬时样</w:t>
            </w:r>
          </w:p>
        </w:tc>
        <w:tc>
          <w:tcPr>
            <w:tcW w:w="738" w:type="dxa"/>
            <w:tcBorders>
              <w:tl2br w:val="nil"/>
              <w:tr2bl w:val="nil"/>
            </w:tcBorders>
            <w:shd w:val="clear" w:color="auto" w:fill="auto"/>
            <w:vAlign w:val="center"/>
          </w:tcPr>
          <w:p w14:paraId="139693CC">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1次/月</w:t>
            </w:r>
          </w:p>
        </w:tc>
        <w:tc>
          <w:tcPr>
            <w:tcW w:w="1666" w:type="dxa"/>
            <w:tcBorders>
              <w:tl2br w:val="nil"/>
              <w:tr2bl w:val="nil"/>
            </w:tcBorders>
            <w:shd w:val="clear" w:color="auto" w:fill="auto"/>
            <w:vAlign w:val="center"/>
          </w:tcPr>
          <w:p w14:paraId="08955E64">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《水质 悬浮物的测定 重量法》</w:t>
            </w:r>
          </w:p>
          <w:p w14:paraId="2BC062D0">
            <w:pPr>
              <w:widowControl/>
              <w:jc w:val="center"/>
              <w:textAlignment w:val="center"/>
              <w:rPr>
                <w:rFonts w:ascii="宋体" w:hAnsi="宋体" w:eastAsia="宋体" w:cs="宋体"/>
                <w:color w:val="auto"/>
                <w:sz w:val="20"/>
                <w:szCs w:val="20"/>
                <w:highlight w:val="none"/>
              </w:rPr>
            </w:pPr>
            <w:r>
              <w:rPr>
                <w:rStyle w:val="32"/>
                <w:rFonts w:hint="eastAsia" w:ascii="宋体" w:hAnsi="宋体" w:eastAsia="宋体" w:cs="宋体"/>
                <w:color w:val="auto"/>
                <w:sz w:val="20"/>
                <w:szCs w:val="20"/>
                <w:highlight w:val="none"/>
              </w:rPr>
              <w:t>GB/T 11901-1989</w:t>
            </w:r>
          </w:p>
        </w:tc>
        <w:tc>
          <w:tcPr>
            <w:tcW w:w="1080" w:type="dxa"/>
            <w:tcBorders>
              <w:tl2br w:val="nil"/>
              <w:tr2bl w:val="nil"/>
            </w:tcBorders>
            <w:shd w:val="clear" w:color="auto" w:fill="auto"/>
            <w:vAlign w:val="center"/>
          </w:tcPr>
          <w:p w14:paraId="5B786AFA">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b w:val="0"/>
                <w:bCs w:val="0"/>
                <w:i w:val="0"/>
                <w:color w:val="auto"/>
                <w:kern w:val="0"/>
                <w:sz w:val="20"/>
                <w:szCs w:val="20"/>
                <w:highlight w:val="none"/>
                <w:u w:val="none"/>
                <w:lang w:val="en-US" w:eastAsia="zh-CN" w:bidi="ar"/>
              </w:rPr>
              <w:t>万分之一天平</w:t>
            </w:r>
          </w:p>
        </w:tc>
        <w:tc>
          <w:tcPr>
            <w:tcW w:w="1275" w:type="dxa"/>
            <w:tcBorders>
              <w:tl2br w:val="nil"/>
              <w:tr2bl w:val="nil"/>
            </w:tcBorders>
            <w:shd w:val="clear" w:color="auto" w:fill="auto"/>
            <w:vAlign w:val="center"/>
          </w:tcPr>
          <w:p w14:paraId="0B5A015F">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w:t>
            </w:r>
          </w:p>
        </w:tc>
        <w:tc>
          <w:tcPr>
            <w:tcW w:w="1620" w:type="dxa"/>
            <w:tcBorders>
              <w:tl2br w:val="nil"/>
              <w:tr2bl w:val="nil"/>
            </w:tcBorders>
            <w:shd w:val="clear" w:color="auto" w:fill="auto"/>
            <w:vAlign w:val="center"/>
          </w:tcPr>
          <w:p w14:paraId="7ABC3C53">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下雨时开展手工监测</w:t>
            </w:r>
          </w:p>
        </w:tc>
      </w:tr>
      <w:tr w14:paraId="6276459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325" w:hRule="atLeast"/>
        </w:trPr>
        <w:tc>
          <w:tcPr>
            <w:tcW w:w="525" w:type="dxa"/>
            <w:tcBorders>
              <w:tl2br w:val="nil"/>
              <w:tr2bl w:val="nil"/>
            </w:tcBorders>
            <w:shd w:val="clear" w:color="auto" w:fill="auto"/>
            <w:vAlign w:val="center"/>
          </w:tcPr>
          <w:p w14:paraId="07665767">
            <w:pPr>
              <w:widowControl/>
              <w:jc w:val="center"/>
              <w:textAlignment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kern w:val="0"/>
                <w:sz w:val="20"/>
                <w:szCs w:val="20"/>
                <w:highlight w:val="none"/>
              </w:rPr>
              <w:t>3</w:t>
            </w:r>
            <w:r>
              <w:rPr>
                <w:rFonts w:hint="eastAsia" w:ascii="宋体" w:hAnsi="宋体" w:eastAsia="宋体" w:cs="宋体"/>
                <w:color w:val="auto"/>
                <w:kern w:val="0"/>
                <w:sz w:val="20"/>
                <w:szCs w:val="20"/>
                <w:highlight w:val="none"/>
                <w:lang w:val="en-US" w:eastAsia="zh-CN"/>
              </w:rPr>
              <w:t>1</w:t>
            </w:r>
          </w:p>
        </w:tc>
        <w:tc>
          <w:tcPr>
            <w:tcW w:w="844" w:type="dxa"/>
            <w:tcBorders>
              <w:tl2br w:val="nil"/>
              <w:tr2bl w:val="nil"/>
            </w:tcBorders>
            <w:shd w:val="clear" w:color="auto" w:fill="auto"/>
            <w:vAlign w:val="center"/>
          </w:tcPr>
          <w:p w14:paraId="6748D2E8">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雨水</w:t>
            </w:r>
          </w:p>
        </w:tc>
        <w:tc>
          <w:tcPr>
            <w:tcW w:w="900" w:type="dxa"/>
            <w:tcBorders>
              <w:tl2br w:val="nil"/>
              <w:tr2bl w:val="nil"/>
            </w:tcBorders>
            <w:shd w:val="clear" w:color="auto" w:fill="auto"/>
            <w:vAlign w:val="center"/>
          </w:tcPr>
          <w:p w14:paraId="4BC16AEF">
            <w:pPr>
              <w:widowControl/>
              <w:jc w:val="center"/>
              <w:textAlignment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kern w:val="0"/>
                <w:sz w:val="20"/>
                <w:szCs w:val="20"/>
                <w:highlight w:val="none"/>
                <w:lang w:val="en-US" w:eastAsia="zh-CN"/>
              </w:rPr>
              <w:t>YS</w:t>
            </w:r>
            <w:r>
              <w:rPr>
                <w:rFonts w:hint="eastAsia" w:ascii="宋体" w:hAnsi="宋体" w:eastAsia="宋体" w:cs="宋体"/>
                <w:color w:val="auto"/>
                <w:kern w:val="0"/>
                <w:sz w:val="20"/>
                <w:szCs w:val="20"/>
                <w:highlight w:val="none"/>
              </w:rPr>
              <w:t>00</w:t>
            </w:r>
            <w:r>
              <w:rPr>
                <w:rFonts w:hint="eastAsia" w:ascii="宋体" w:hAnsi="宋体" w:eastAsia="宋体" w:cs="宋体"/>
                <w:color w:val="auto"/>
                <w:kern w:val="0"/>
                <w:sz w:val="20"/>
                <w:szCs w:val="20"/>
                <w:highlight w:val="none"/>
                <w:lang w:val="en-US" w:eastAsia="zh-CN"/>
              </w:rPr>
              <w:t>1</w:t>
            </w:r>
          </w:p>
        </w:tc>
        <w:tc>
          <w:tcPr>
            <w:tcW w:w="1125" w:type="dxa"/>
            <w:tcBorders>
              <w:tl2br w:val="nil"/>
              <w:tr2bl w:val="nil"/>
            </w:tcBorders>
            <w:shd w:val="clear" w:color="auto" w:fill="auto"/>
            <w:vAlign w:val="center"/>
          </w:tcPr>
          <w:p w14:paraId="5B1D8CB1">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雨</w:t>
            </w:r>
            <w:r>
              <w:rPr>
                <w:rStyle w:val="37"/>
                <w:rFonts w:hint="default"/>
                <w:color w:val="auto"/>
                <w:sz w:val="20"/>
                <w:szCs w:val="20"/>
                <w:highlight w:val="none"/>
              </w:rPr>
              <w:t>水排放口</w:t>
            </w:r>
          </w:p>
        </w:tc>
        <w:tc>
          <w:tcPr>
            <w:tcW w:w="993" w:type="dxa"/>
            <w:tcBorders>
              <w:tl2br w:val="nil"/>
              <w:tr2bl w:val="nil"/>
            </w:tcBorders>
            <w:shd w:val="clear" w:color="auto" w:fill="auto"/>
            <w:vAlign w:val="center"/>
          </w:tcPr>
          <w:p w14:paraId="2ACB0E7C">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化学需氧量</w:t>
            </w:r>
          </w:p>
        </w:tc>
        <w:tc>
          <w:tcPr>
            <w:tcW w:w="636" w:type="dxa"/>
            <w:tcBorders>
              <w:tl2br w:val="nil"/>
              <w:tr2bl w:val="nil"/>
            </w:tcBorders>
            <w:shd w:val="clear" w:color="auto" w:fill="auto"/>
            <w:vAlign w:val="center"/>
          </w:tcPr>
          <w:p w14:paraId="603C89C7">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手工</w:t>
            </w:r>
          </w:p>
        </w:tc>
        <w:tc>
          <w:tcPr>
            <w:tcW w:w="1859" w:type="dxa"/>
            <w:tcBorders>
              <w:tl2br w:val="nil"/>
              <w:tr2bl w:val="nil"/>
            </w:tcBorders>
            <w:shd w:val="clear" w:color="auto" w:fill="auto"/>
            <w:vAlign w:val="center"/>
          </w:tcPr>
          <w:p w14:paraId="7D5F715D">
            <w:pP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《污水综合排放标准（GB 8978-1996 ）》中表4其他排污单位的一级标准</w:t>
            </w:r>
          </w:p>
        </w:tc>
        <w:tc>
          <w:tcPr>
            <w:tcW w:w="1103" w:type="dxa"/>
            <w:tcBorders>
              <w:tl2br w:val="nil"/>
              <w:tr2bl w:val="nil"/>
            </w:tcBorders>
            <w:shd w:val="clear" w:color="auto" w:fill="auto"/>
            <w:vAlign w:val="center"/>
          </w:tcPr>
          <w:p w14:paraId="587DF236">
            <w:pP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≤100mg/L</w:t>
            </w:r>
          </w:p>
        </w:tc>
        <w:tc>
          <w:tcPr>
            <w:tcW w:w="1172" w:type="dxa"/>
            <w:tcBorders>
              <w:tl2br w:val="nil"/>
              <w:tr2bl w:val="nil"/>
            </w:tcBorders>
            <w:shd w:val="clear" w:color="auto" w:fill="auto"/>
            <w:vAlign w:val="center"/>
          </w:tcPr>
          <w:p w14:paraId="78E1E2BF">
            <w:pP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4mg/L</w:t>
            </w:r>
          </w:p>
        </w:tc>
        <w:tc>
          <w:tcPr>
            <w:tcW w:w="559" w:type="dxa"/>
            <w:tcBorders>
              <w:tl2br w:val="nil"/>
              <w:tr2bl w:val="nil"/>
            </w:tcBorders>
            <w:shd w:val="clear" w:color="auto" w:fill="auto"/>
            <w:vAlign w:val="center"/>
          </w:tcPr>
          <w:p w14:paraId="3B2DCF01">
            <w:pPr>
              <w:jc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w:t>
            </w:r>
          </w:p>
        </w:tc>
        <w:tc>
          <w:tcPr>
            <w:tcW w:w="1108" w:type="dxa"/>
            <w:tcBorders>
              <w:tl2br w:val="nil"/>
              <w:tr2bl w:val="nil"/>
            </w:tcBorders>
            <w:shd w:val="clear" w:color="auto" w:fill="auto"/>
            <w:vAlign w:val="center"/>
          </w:tcPr>
          <w:p w14:paraId="2CD3D1A7">
            <w:pPr>
              <w:jc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w:t>
            </w:r>
          </w:p>
        </w:tc>
        <w:tc>
          <w:tcPr>
            <w:tcW w:w="990" w:type="dxa"/>
            <w:tcBorders>
              <w:tl2br w:val="nil"/>
              <w:tr2bl w:val="nil"/>
            </w:tcBorders>
            <w:shd w:val="clear" w:color="auto" w:fill="auto"/>
            <w:vAlign w:val="center"/>
          </w:tcPr>
          <w:p w14:paraId="239B2DC3">
            <w:pPr>
              <w:jc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w:t>
            </w:r>
          </w:p>
        </w:tc>
        <w:tc>
          <w:tcPr>
            <w:tcW w:w="1155" w:type="dxa"/>
            <w:tcBorders>
              <w:tl2br w:val="nil"/>
              <w:tr2bl w:val="nil"/>
            </w:tcBorders>
            <w:shd w:val="clear" w:color="auto" w:fill="auto"/>
            <w:vAlign w:val="center"/>
          </w:tcPr>
          <w:p w14:paraId="206B1A7A">
            <w:pPr>
              <w:jc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w:t>
            </w:r>
          </w:p>
        </w:tc>
        <w:tc>
          <w:tcPr>
            <w:tcW w:w="1452" w:type="dxa"/>
            <w:tcBorders>
              <w:tl2br w:val="nil"/>
              <w:tr2bl w:val="nil"/>
            </w:tcBorders>
            <w:shd w:val="clear" w:color="auto" w:fill="auto"/>
            <w:vAlign w:val="center"/>
          </w:tcPr>
          <w:p w14:paraId="3EB12321">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xml:space="preserve">瞬时采样 </w:t>
            </w:r>
          </w:p>
          <w:p w14:paraId="3FFE2C29">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1个瞬时样</w:t>
            </w:r>
          </w:p>
        </w:tc>
        <w:tc>
          <w:tcPr>
            <w:tcW w:w="738" w:type="dxa"/>
            <w:tcBorders>
              <w:tl2br w:val="nil"/>
              <w:tr2bl w:val="nil"/>
            </w:tcBorders>
            <w:shd w:val="clear" w:color="auto" w:fill="auto"/>
            <w:vAlign w:val="center"/>
          </w:tcPr>
          <w:p w14:paraId="670DAEAA">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1次/月</w:t>
            </w:r>
          </w:p>
        </w:tc>
        <w:tc>
          <w:tcPr>
            <w:tcW w:w="1666" w:type="dxa"/>
            <w:tcBorders>
              <w:tl2br w:val="nil"/>
              <w:tr2bl w:val="nil"/>
            </w:tcBorders>
            <w:shd w:val="clear" w:color="auto" w:fill="auto"/>
            <w:vAlign w:val="center"/>
          </w:tcPr>
          <w:p w14:paraId="3488068F">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《水质 化学需氧量的测定 重铬酸盐法》</w:t>
            </w:r>
          </w:p>
          <w:p w14:paraId="34463D36">
            <w:pPr>
              <w:widowControl/>
              <w:jc w:val="center"/>
              <w:textAlignment w:val="center"/>
              <w:rPr>
                <w:rFonts w:ascii="宋体" w:hAnsi="宋体" w:eastAsia="宋体" w:cs="宋体"/>
                <w:color w:val="auto"/>
                <w:sz w:val="20"/>
                <w:szCs w:val="20"/>
                <w:highlight w:val="none"/>
              </w:rPr>
            </w:pPr>
            <w:r>
              <w:rPr>
                <w:rStyle w:val="36"/>
                <w:rFonts w:hint="eastAsia" w:ascii="宋体" w:hAnsi="宋体" w:eastAsia="宋体" w:cs="宋体"/>
                <w:color w:val="auto"/>
                <w:sz w:val="20"/>
                <w:szCs w:val="20"/>
                <w:highlight w:val="none"/>
              </w:rPr>
              <w:t>HJ 828-2017</w:t>
            </w:r>
          </w:p>
        </w:tc>
        <w:tc>
          <w:tcPr>
            <w:tcW w:w="1080" w:type="dxa"/>
            <w:tcBorders>
              <w:tl2br w:val="nil"/>
              <w:tr2bl w:val="nil"/>
            </w:tcBorders>
            <w:shd w:val="clear" w:color="auto" w:fill="auto"/>
            <w:vAlign w:val="center"/>
          </w:tcPr>
          <w:p w14:paraId="6DA48DB3">
            <w:pPr>
              <w:widowControl/>
              <w:jc w:val="center"/>
              <w:textAlignment w:val="center"/>
              <w:rPr>
                <w:rFonts w:hint="eastAsia" w:ascii="宋体" w:hAnsi="宋体" w:eastAsia="宋体" w:cs="宋体"/>
                <w:color w:val="auto"/>
                <w:kern w:val="0"/>
                <w:sz w:val="20"/>
                <w:szCs w:val="20"/>
                <w:highlight w:val="none"/>
                <w:lang w:val="en-US" w:eastAsia="zh-CN"/>
              </w:rPr>
            </w:pPr>
            <w:r>
              <w:rPr>
                <w:rStyle w:val="33"/>
                <w:rFonts w:hint="eastAsia" w:ascii="宋体" w:hAnsi="宋体" w:eastAsia="宋体" w:cs="宋体"/>
                <w:color w:val="auto"/>
                <w:sz w:val="20"/>
                <w:szCs w:val="20"/>
                <w:highlight w:val="none"/>
                <w:lang w:bidi="ar"/>
              </w:rPr>
              <w:t>标准 COD消解仪</w:t>
            </w:r>
          </w:p>
        </w:tc>
        <w:tc>
          <w:tcPr>
            <w:tcW w:w="1275" w:type="dxa"/>
            <w:tcBorders>
              <w:tl2br w:val="nil"/>
              <w:tr2bl w:val="nil"/>
            </w:tcBorders>
            <w:shd w:val="clear" w:color="auto" w:fill="auto"/>
            <w:vAlign w:val="center"/>
          </w:tcPr>
          <w:p w14:paraId="55D27507">
            <w:pPr>
              <w:widowControl/>
              <w:jc w:val="center"/>
              <w:textAlignment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w:t>
            </w:r>
          </w:p>
        </w:tc>
        <w:tc>
          <w:tcPr>
            <w:tcW w:w="1620" w:type="dxa"/>
            <w:tcBorders>
              <w:tl2br w:val="nil"/>
              <w:tr2bl w:val="nil"/>
            </w:tcBorders>
            <w:shd w:val="clear" w:color="auto" w:fill="auto"/>
            <w:vAlign w:val="center"/>
          </w:tcPr>
          <w:p w14:paraId="5B410126">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下雨时开展手工监测</w:t>
            </w:r>
          </w:p>
        </w:tc>
      </w:tr>
      <w:tr w14:paraId="2308999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325" w:hRule="atLeast"/>
        </w:trPr>
        <w:tc>
          <w:tcPr>
            <w:tcW w:w="20800" w:type="dxa"/>
            <w:gridSpan w:val="19"/>
            <w:tcBorders>
              <w:tl2br w:val="nil"/>
              <w:tr2bl w:val="nil"/>
            </w:tcBorders>
            <w:shd w:val="clear" w:color="auto" w:fill="auto"/>
            <w:vAlign w:val="center"/>
          </w:tcPr>
          <w:p w14:paraId="55629C63">
            <w:pPr>
              <w:widowControl/>
              <w:jc w:val="left"/>
              <w:textAlignment w:val="center"/>
              <w:rPr>
                <w:rFonts w:hint="eastAsia" w:ascii="宋体" w:hAnsi="宋体" w:eastAsia="宋体" w:cs="宋体"/>
                <w:color w:val="auto"/>
                <w:kern w:val="0"/>
                <w:sz w:val="20"/>
                <w:szCs w:val="20"/>
                <w:highlight w:val="none"/>
              </w:rPr>
            </w:pPr>
            <w:r>
              <w:rPr>
                <w:rFonts w:hint="eastAsia" w:ascii="宋体" w:hAnsi="宋体" w:eastAsia="宋体" w:cs="宋体"/>
                <w:color w:val="000000"/>
                <w:kern w:val="0"/>
                <w:sz w:val="24"/>
                <w:szCs w:val="24"/>
              </w:rPr>
              <w:t>注：雨水排放口有流动水排放时按月监测，如监测一年无异常情况，可放宽至每季度开展一次监测</w:t>
            </w:r>
          </w:p>
        </w:tc>
      </w:tr>
    </w:tbl>
    <w:p w14:paraId="408DB0A0">
      <w:pPr>
        <w:adjustRightInd w:val="0"/>
        <w:snapToGrid w:val="0"/>
        <w:spacing w:beforeLines="80"/>
        <w:jc w:val="left"/>
        <w:rPr>
          <w:rFonts w:hint="default" w:ascii="宋体" w:hAnsi="宋体" w:eastAsia="宋体" w:cs="宋体"/>
          <w:color w:val="FF0000"/>
          <w:sz w:val="28"/>
          <w:szCs w:val="28"/>
          <w:lang w:val="en-US"/>
        </w:rPr>
        <w:sectPr>
          <w:pgSz w:w="23811" w:h="16838" w:orient="landscape"/>
          <w:pgMar w:top="1803" w:right="1440" w:bottom="1803" w:left="1440" w:header="851" w:footer="992" w:gutter="0"/>
          <w:cols w:space="0" w:num="1"/>
          <w:docGrid w:type="lines" w:linePitch="319" w:charSpace="0"/>
        </w:sect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green"/>
          <w:lang w:val="en-US" w:eastAsia="zh-CN"/>
        </w:rPr>
        <w:t xml:space="preserve">                                                                                                                                                                                                                                                                                                                                                                                                                                                                                                                                                                                                                                                                                                                                                                                                                                                                                                                                                                          </w:t>
      </w:r>
    </w:p>
    <w:p w14:paraId="52CC69B2">
      <w:pPr>
        <w:pStyle w:val="10"/>
        <w:spacing w:before="0" w:after="0" w:line="240" w:lineRule="auto"/>
        <w:jc w:val="both"/>
        <w:rPr>
          <w:rFonts w:ascii="宋体" w:hAnsi="宋体" w:eastAsia="宋体" w:cs="宋体"/>
          <w:b w:val="0"/>
          <w:bCs w:val="0"/>
          <w:sz w:val="28"/>
          <w:szCs w:val="28"/>
        </w:rPr>
      </w:pPr>
      <w:bookmarkStart w:id="2" w:name="SCLZXJCINFO"/>
      <w:r>
        <w:rPr>
          <w:rFonts w:hint="eastAsia" w:ascii="宋体" w:hAnsi="宋体" w:eastAsia="宋体" w:cs="宋体"/>
          <w:b w:val="0"/>
          <w:bCs w:val="0"/>
          <w:sz w:val="28"/>
          <w:szCs w:val="28"/>
          <w:lang w:val="en-US" w:eastAsia="zh-CN"/>
        </w:rPr>
        <w:t>3</w:t>
      </w:r>
      <w:r>
        <w:rPr>
          <w:rFonts w:hint="eastAsia" w:ascii="宋体" w:hAnsi="宋体" w:eastAsia="宋体" w:cs="宋体"/>
          <w:b w:val="0"/>
          <w:bCs w:val="0"/>
          <w:sz w:val="28"/>
          <w:szCs w:val="28"/>
        </w:rPr>
        <w:t>、污泥监测方案</w:t>
      </w:r>
    </w:p>
    <w:tbl>
      <w:tblPr>
        <w:tblStyle w:val="15"/>
        <w:tblW w:w="10217" w:type="dxa"/>
        <w:tblInd w:w="-8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7"/>
        <w:gridCol w:w="2750"/>
        <w:gridCol w:w="1400"/>
        <w:gridCol w:w="2516"/>
        <w:gridCol w:w="1784"/>
      </w:tblGrid>
      <w:tr w14:paraId="21B6E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7" w:type="dxa"/>
          </w:tcPr>
          <w:p w14:paraId="3B87534C">
            <w:pPr>
              <w:rPr>
                <w:rFonts w:ascii="宋体" w:hAnsi="宋体" w:eastAsia="宋体" w:cs="宋体"/>
                <w:color w:val="auto"/>
                <w:sz w:val="24"/>
                <w:szCs w:val="24"/>
              </w:rPr>
            </w:pPr>
            <w:r>
              <w:rPr>
                <w:rFonts w:hint="eastAsia" w:ascii="宋体" w:hAnsi="宋体" w:eastAsia="宋体" w:cs="宋体"/>
                <w:color w:val="auto"/>
                <w:sz w:val="24"/>
                <w:szCs w:val="24"/>
              </w:rPr>
              <w:t>监测指标</w:t>
            </w:r>
          </w:p>
        </w:tc>
        <w:tc>
          <w:tcPr>
            <w:tcW w:w="2750" w:type="dxa"/>
          </w:tcPr>
          <w:p w14:paraId="776EA62E">
            <w:pPr>
              <w:rPr>
                <w:rFonts w:ascii="宋体" w:hAnsi="宋体" w:eastAsia="宋体" w:cs="宋体"/>
                <w:color w:val="auto"/>
                <w:sz w:val="24"/>
                <w:szCs w:val="24"/>
              </w:rPr>
            </w:pPr>
            <w:r>
              <w:rPr>
                <w:rFonts w:hint="eastAsia" w:ascii="宋体" w:hAnsi="宋体" w:eastAsia="宋体" w:cs="宋体"/>
                <w:color w:val="auto"/>
                <w:sz w:val="24"/>
                <w:szCs w:val="24"/>
              </w:rPr>
              <w:t>监测频次</w:t>
            </w:r>
          </w:p>
        </w:tc>
        <w:tc>
          <w:tcPr>
            <w:tcW w:w="1400" w:type="dxa"/>
          </w:tcPr>
          <w:p w14:paraId="1F57D7EA">
            <w:pPr>
              <w:rPr>
                <w:rFonts w:ascii="宋体" w:hAnsi="宋体" w:eastAsia="宋体" w:cs="宋体"/>
                <w:color w:val="auto"/>
                <w:sz w:val="24"/>
                <w:szCs w:val="24"/>
              </w:rPr>
            </w:pPr>
            <w:r>
              <w:rPr>
                <w:rFonts w:hint="eastAsia" w:ascii="宋体" w:hAnsi="宋体" w:eastAsia="宋体" w:cs="宋体"/>
                <w:color w:val="auto"/>
                <w:sz w:val="24"/>
                <w:szCs w:val="24"/>
              </w:rPr>
              <w:t>监测方式</w:t>
            </w:r>
          </w:p>
        </w:tc>
        <w:tc>
          <w:tcPr>
            <w:tcW w:w="2516" w:type="dxa"/>
          </w:tcPr>
          <w:p w14:paraId="0DE82311">
            <w:pPr>
              <w:rPr>
                <w:rFonts w:ascii="宋体" w:hAnsi="宋体" w:eastAsia="宋体" w:cs="宋体"/>
                <w:color w:val="auto"/>
                <w:sz w:val="24"/>
                <w:szCs w:val="24"/>
              </w:rPr>
            </w:pPr>
            <w:r>
              <w:rPr>
                <w:rFonts w:hint="eastAsia" w:ascii="宋体" w:hAnsi="宋体" w:eastAsia="宋体" w:cs="宋体"/>
                <w:color w:val="auto"/>
                <w:sz w:val="24"/>
                <w:szCs w:val="24"/>
              </w:rPr>
              <w:t>监测方法</w:t>
            </w:r>
          </w:p>
        </w:tc>
        <w:tc>
          <w:tcPr>
            <w:tcW w:w="1784" w:type="dxa"/>
          </w:tcPr>
          <w:p w14:paraId="73B61A7C">
            <w:pPr>
              <w:rPr>
                <w:rFonts w:ascii="宋体" w:hAnsi="宋体" w:eastAsia="宋体" w:cs="宋体"/>
                <w:color w:val="auto"/>
                <w:sz w:val="24"/>
                <w:szCs w:val="24"/>
              </w:rPr>
            </w:pPr>
            <w:r>
              <w:rPr>
                <w:rFonts w:hint="eastAsia" w:ascii="宋体" w:hAnsi="宋体" w:eastAsia="宋体" w:cs="宋体"/>
                <w:color w:val="auto"/>
                <w:sz w:val="24"/>
                <w:szCs w:val="24"/>
              </w:rPr>
              <w:t>检测设备</w:t>
            </w:r>
          </w:p>
        </w:tc>
      </w:tr>
      <w:tr w14:paraId="5E828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7" w:type="dxa"/>
            <w:vAlign w:val="top"/>
          </w:tcPr>
          <w:p w14:paraId="026ED8AC">
            <w:pPr>
              <w:rPr>
                <w:rFonts w:ascii="宋体" w:hAnsi="宋体" w:eastAsia="宋体" w:cs="宋体"/>
                <w:color w:val="auto"/>
                <w:sz w:val="24"/>
                <w:szCs w:val="24"/>
              </w:rPr>
            </w:pPr>
            <w:r>
              <w:rPr>
                <w:rFonts w:hint="eastAsia" w:ascii="宋体" w:hAnsi="宋体" w:eastAsia="宋体" w:cs="宋体"/>
                <w:color w:val="auto"/>
                <w:sz w:val="24"/>
                <w:szCs w:val="24"/>
              </w:rPr>
              <w:t>含水</w:t>
            </w:r>
            <w:r>
              <w:rPr>
                <w:rFonts w:hint="eastAsia" w:ascii="宋体" w:hAnsi="宋体" w:eastAsia="宋体" w:cs="宋体"/>
                <w:color w:val="auto"/>
                <w:sz w:val="24"/>
                <w:szCs w:val="24"/>
                <w:lang w:val="en-US" w:eastAsia="zh-CN"/>
              </w:rPr>
              <w:t>率</w:t>
            </w:r>
            <w:r>
              <w:rPr>
                <w:rFonts w:hint="eastAsia" w:ascii="宋体" w:hAnsi="宋体" w:eastAsia="宋体" w:cs="宋体"/>
                <w:color w:val="auto"/>
                <w:sz w:val="24"/>
                <w:szCs w:val="24"/>
              </w:rPr>
              <w:t>（</w:t>
            </w:r>
            <w:r>
              <w:rPr>
                <w:rFonts w:hint="eastAsia" w:ascii="微软雅黑" w:hAnsi="微软雅黑" w:eastAsia="微软雅黑" w:cs="微软雅黑"/>
                <w:color w:val="auto"/>
                <w:sz w:val="24"/>
                <w:szCs w:val="24"/>
              </w:rPr>
              <w:t>&lt;</w:t>
            </w:r>
            <w:r>
              <w:rPr>
                <w:rFonts w:hint="eastAsia" w:ascii="宋体" w:hAnsi="宋体" w:eastAsia="宋体" w:cs="宋体"/>
                <w:color w:val="auto"/>
                <w:sz w:val="24"/>
                <w:szCs w:val="24"/>
                <w:lang w:val="en-US" w:eastAsia="zh-CN"/>
              </w:rPr>
              <w:t>60</w:t>
            </w:r>
            <w:r>
              <w:rPr>
                <w:rFonts w:hint="eastAsia" w:ascii="宋体" w:hAnsi="宋体" w:eastAsia="宋体" w:cs="宋体"/>
                <w:color w:val="auto"/>
                <w:sz w:val="24"/>
                <w:szCs w:val="24"/>
              </w:rPr>
              <w:t>%）</w:t>
            </w:r>
          </w:p>
        </w:tc>
        <w:tc>
          <w:tcPr>
            <w:tcW w:w="2750" w:type="dxa"/>
            <w:vAlign w:val="top"/>
          </w:tcPr>
          <w:p w14:paraId="68AEFAEB">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1次/日</w:t>
            </w:r>
          </w:p>
          <w:p w14:paraId="4663B029">
            <w:pP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(脱泥当日检测1次)</w:t>
            </w:r>
          </w:p>
        </w:tc>
        <w:tc>
          <w:tcPr>
            <w:tcW w:w="1400" w:type="dxa"/>
            <w:vAlign w:val="top"/>
          </w:tcPr>
          <w:p w14:paraId="7AD85F8C">
            <w:pPr>
              <w:rPr>
                <w:rFonts w:ascii="宋体" w:hAnsi="宋体" w:eastAsia="宋体" w:cs="宋体"/>
                <w:color w:val="auto"/>
                <w:sz w:val="24"/>
                <w:szCs w:val="24"/>
              </w:rPr>
            </w:pPr>
            <w:r>
              <w:rPr>
                <w:rFonts w:hint="eastAsia" w:ascii="宋体" w:hAnsi="宋体" w:eastAsia="宋体" w:cs="宋体"/>
                <w:color w:val="auto"/>
                <w:sz w:val="24"/>
                <w:szCs w:val="24"/>
              </w:rPr>
              <w:t>手工</w:t>
            </w:r>
          </w:p>
        </w:tc>
        <w:tc>
          <w:tcPr>
            <w:tcW w:w="2516" w:type="dxa"/>
            <w:vAlign w:val="center"/>
          </w:tcPr>
          <w:p w14:paraId="5BD8BF6D">
            <w:pPr>
              <w:jc w:val="center"/>
              <w:rPr>
                <w:rFonts w:ascii="宋体" w:hAnsi="宋体" w:eastAsia="宋体" w:cs="宋体"/>
                <w:color w:val="auto"/>
                <w:sz w:val="24"/>
                <w:szCs w:val="24"/>
              </w:rPr>
            </w:pPr>
            <w:r>
              <w:rPr>
                <w:rFonts w:hint="eastAsia" w:ascii="宋体" w:hAnsi="宋体" w:eastAsia="宋体" w:cs="宋体"/>
                <w:color w:val="auto"/>
                <w:sz w:val="24"/>
                <w:szCs w:val="24"/>
                <w:highlight w:val="none"/>
              </w:rPr>
              <w:t>重量法CJ/T 221-</w:t>
            </w:r>
            <w:r>
              <w:rPr>
                <w:rFonts w:hint="eastAsia" w:ascii="宋体" w:hAnsi="宋体" w:eastAsia="宋体" w:cs="宋体"/>
                <w:color w:val="auto"/>
                <w:sz w:val="24"/>
                <w:szCs w:val="24"/>
                <w:highlight w:val="none"/>
                <w:lang w:val="en-US" w:eastAsia="zh-CN"/>
              </w:rPr>
              <w:t>2023</w:t>
            </w:r>
          </w:p>
        </w:tc>
        <w:tc>
          <w:tcPr>
            <w:tcW w:w="1784" w:type="dxa"/>
            <w:vAlign w:val="center"/>
          </w:tcPr>
          <w:p w14:paraId="399119B5">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万</w:t>
            </w:r>
            <w:r>
              <w:rPr>
                <w:rFonts w:hint="eastAsia" w:ascii="宋体" w:hAnsi="宋体" w:eastAsia="宋体" w:cs="宋体"/>
                <w:color w:val="auto"/>
                <w:sz w:val="24"/>
                <w:szCs w:val="24"/>
                <w:highlight w:val="none"/>
              </w:rPr>
              <w:t>分之一电子天平</w:t>
            </w:r>
          </w:p>
        </w:tc>
      </w:tr>
    </w:tbl>
    <w:p w14:paraId="1AC2429A"/>
    <w:p w14:paraId="663D904F">
      <w:pPr>
        <w:pStyle w:val="10"/>
        <w:numPr>
          <w:ilvl w:val="0"/>
          <w:numId w:val="0"/>
        </w:numPr>
        <w:spacing w:before="0" w:after="0" w:line="240" w:lineRule="auto"/>
        <w:jc w:val="both"/>
        <w:rPr>
          <w:rFonts w:ascii="宋体" w:hAnsi="宋体" w:eastAsia="宋体" w:cs="宋体"/>
          <w:b w:val="0"/>
          <w:bCs w:val="0"/>
          <w:sz w:val="28"/>
          <w:szCs w:val="28"/>
          <w:highlight w:val="yellow"/>
        </w:rPr>
      </w:pPr>
      <w:r>
        <w:rPr>
          <w:rFonts w:hint="eastAsia" w:ascii="宋体" w:hAnsi="宋体" w:eastAsia="宋体" w:cs="宋体"/>
          <w:b w:val="0"/>
          <w:bCs w:val="0"/>
          <w:sz w:val="28"/>
          <w:szCs w:val="28"/>
          <w:lang w:val="en-US" w:eastAsia="zh-CN"/>
        </w:rPr>
        <w:t>4、</w:t>
      </w:r>
      <w:r>
        <w:rPr>
          <w:rFonts w:hint="eastAsia" w:ascii="宋体" w:hAnsi="宋体" w:eastAsia="宋体" w:cs="宋体"/>
          <w:b w:val="0"/>
          <w:bCs w:val="0"/>
          <w:sz w:val="28"/>
          <w:szCs w:val="28"/>
        </w:rPr>
        <w:t>周边环境监测方案</w:t>
      </w:r>
    </w:p>
    <w:tbl>
      <w:tblPr>
        <w:tblStyle w:val="15"/>
        <w:tblpPr w:leftFromText="180" w:rightFromText="180" w:vertAnchor="text" w:horzAnchor="page" w:tblpX="676" w:tblpY="155"/>
        <w:tblOverlap w:val="never"/>
        <w:tblW w:w="10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1"/>
        <w:gridCol w:w="871"/>
        <w:gridCol w:w="1269"/>
        <w:gridCol w:w="953"/>
        <w:gridCol w:w="1002"/>
        <w:gridCol w:w="2736"/>
        <w:gridCol w:w="2163"/>
      </w:tblGrid>
      <w:tr w14:paraId="65B05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blHeader/>
        </w:trPr>
        <w:tc>
          <w:tcPr>
            <w:tcW w:w="1991" w:type="dxa"/>
            <w:vAlign w:val="center"/>
          </w:tcPr>
          <w:p w14:paraId="596044B5">
            <w:pPr>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监测点位</w:t>
            </w:r>
          </w:p>
        </w:tc>
        <w:tc>
          <w:tcPr>
            <w:tcW w:w="871" w:type="dxa"/>
            <w:vAlign w:val="center"/>
          </w:tcPr>
          <w:p w14:paraId="56F92052">
            <w:pPr>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监测指标</w:t>
            </w:r>
          </w:p>
        </w:tc>
        <w:tc>
          <w:tcPr>
            <w:tcW w:w="1269" w:type="dxa"/>
            <w:vAlign w:val="center"/>
          </w:tcPr>
          <w:p w14:paraId="709D34E5">
            <w:pPr>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排放限值</w:t>
            </w:r>
          </w:p>
        </w:tc>
        <w:tc>
          <w:tcPr>
            <w:tcW w:w="953" w:type="dxa"/>
            <w:vAlign w:val="center"/>
          </w:tcPr>
          <w:p w14:paraId="7ED2D9A5">
            <w:pPr>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监测方式</w:t>
            </w:r>
          </w:p>
        </w:tc>
        <w:tc>
          <w:tcPr>
            <w:tcW w:w="1002" w:type="dxa"/>
            <w:vAlign w:val="center"/>
          </w:tcPr>
          <w:p w14:paraId="47BC85FE">
            <w:pPr>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监测频次</w:t>
            </w:r>
          </w:p>
        </w:tc>
        <w:tc>
          <w:tcPr>
            <w:tcW w:w="2736" w:type="dxa"/>
            <w:vAlign w:val="center"/>
          </w:tcPr>
          <w:p w14:paraId="3F1E08D2">
            <w:pPr>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监测仪器</w:t>
            </w:r>
          </w:p>
        </w:tc>
        <w:tc>
          <w:tcPr>
            <w:tcW w:w="2163" w:type="dxa"/>
            <w:vAlign w:val="center"/>
          </w:tcPr>
          <w:p w14:paraId="0B73A364">
            <w:pPr>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监测方法</w:t>
            </w:r>
          </w:p>
        </w:tc>
      </w:tr>
      <w:tr w14:paraId="03AF5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91" w:type="dxa"/>
            <w:vAlign w:val="center"/>
          </w:tcPr>
          <w:p w14:paraId="226C8628">
            <w:pPr>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地表水（入河排</w:t>
            </w:r>
            <w:r>
              <w:rPr>
                <w:rFonts w:ascii="宋体" w:hAnsi="宋体" w:eastAsia="宋体" w:cs="Times New Roman"/>
                <w:color w:val="auto"/>
                <w:kern w:val="0"/>
                <w:sz w:val="20"/>
                <w:szCs w:val="20"/>
                <w:highlight w:val="none"/>
              </w:rPr>
              <w:t>污口</w:t>
            </w:r>
            <w:r>
              <w:rPr>
                <w:rFonts w:hint="eastAsia" w:ascii="宋体" w:hAnsi="宋体" w:eastAsia="宋体" w:cs="Times New Roman"/>
                <w:color w:val="auto"/>
                <w:kern w:val="0"/>
                <w:sz w:val="20"/>
                <w:szCs w:val="20"/>
                <w:highlight w:val="none"/>
                <w:lang w:val="en-US" w:eastAsia="zh-CN"/>
              </w:rPr>
              <w:t>赣江</w:t>
            </w:r>
            <w:r>
              <w:rPr>
                <w:rFonts w:hint="eastAsia" w:ascii="宋体" w:hAnsi="宋体" w:eastAsia="宋体" w:cs="Times New Roman"/>
                <w:color w:val="auto"/>
                <w:kern w:val="0"/>
                <w:sz w:val="20"/>
                <w:szCs w:val="20"/>
                <w:highlight w:val="none"/>
              </w:rPr>
              <w:t>）</w:t>
            </w:r>
            <w:r>
              <w:rPr>
                <w:rFonts w:ascii="宋体" w:hAnsi="宋体" w:eastAsia="宋体" w:cs="Times New Roman"/>
                <w:color w:val="auto"/>
                <w:kern w:val="0"/>
                <w:sz w:val="20"/>
                <w:szCs w:val="20"/>
                <w:highlight w:val="none"/>
              </w:rPr>
              <w:t>上游0.5km</w:t>
            </w:r>
          </w:p>
        </w:tc>
        <w:tc>
          <w:tcPr>
            <w:tcW w:w="871" w:type="dxa"/>
            <w:vAlign w:val="center"/>
          </w:tcPr>
          <w:p w14:paraId="69A2ED23">
            <w:pPr>
              <w:widowControl/>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pH值</w:t>
            </w:r>
          </w:p>
        </w:tc>
        <w:tc>
          <w:tcPr>
            <w:tcW w:w="1269" w:type="dxa"/>
            <w:vAlign w:val="center"/>
          </w:tcPr>
          <w:p w14:paraId="4EDA2DB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b w:val="0"/>
                <w:bCs w:val="0"/>
                <w:i w:val="0"/>
                <w:iCs w:val="0"/>
                <w:color w:val="auto"/>
                <w:kern w:val="0"/>
                <w:sz w:val="20"/>
                <w:szCs w:val="20"/>
                <w:highlight w:val="none"/>
                <w:u w:val="none"/>
                <w:lang w:val="en-US" w:eastAsia="zh-CN" w:bidi="ar"/>
              </w:rPr>
              <w:t>6-9</w:t>
            </w:r>
          </w:p>
        </w:tc>
        <w:tc>
          <w:tcPr>
            <w:tcW w:w="953" w:type="dxa"/>
            <w:vAlign w:val="center"/>
          </w:tcPr>
          <w:p w14:paraId="77DF3306">
            <w:pPr>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手工</w:t>
            </w:r>
          </w:p>
        </w:tc>
        <w:tc>
          <w:tcPr>
            <w:tcW w:w="1002" w:type="dxa"/>
            <w:vAlign w:val="center"/>
          </w:tcPr>
          <w:p w14:paraId="5319BCB8">
            <w:pPr>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3次/年</w:t>
            </w:r>
          </w:p>
        </w:tc>
        <w:tc>
          <w:tcPr>
            <w:tcW w:w="2736" w:type="dxa"/>
            <w:vAlign w:val="center"/>
          </w:tcPr>
          <w:p w14:paraId="462B4C81">
            <w:pPr>
              <w:widowControl/>
              <w:jc w:val="center"/>
              <w:textAlignment w:val="center"/>
              <w:rPr>
                <w:rFonts w:hint="eastAsia" w:ascii="宋体" w:hAnsi="宋体" w:eastAsia="宋体" w:cs="宋体"/>
                <w:color w:val="auto"/>
                <w:kern w:val="0"/>
                <w:sz w:val="20"/>
                <w:szCs w:val="20"/>
                <w:highlight w:val="none"/>
              </w:rPr>
            </w:pPr>
            <w:r>
              <w:rPr>
                <w:rFonts w:hint="eastAsia" w:ascii="Times New Roman" w:hAnsi="Times New Roman" w:eastAsia="宋体"/>
                <w:color w:val="auto"/>
                <w:sz w:val="20"/>
                <w:szCs w:val="20"/>
                <w:highlight w:val="none"/>
                <w:lang w:val="en-US" w:eastAsia="zh-CN"/>
              </w:rPr>
              <w:t>PH计PHS-25型</w:t>
            </w:r>
          </w:p>
        </w:tc>
        <w:tc>
          <w:tcPr>
            <w:tcW w:w="2163" w:type="dxa"/>
            <w:vAlign w:val="center"/>
          </w:tcPr>
          <w:p w14:paraId="3543892B">
            <w:pPr>
              <w:jc w:val="center"/>
              <w:rPr>
                <w:rFonts w:ascii="宋体" w:hAnsi="宋体" w:eastAsia="宋体" w:cs="Times New Roman"/>
                <w:color w:val="auto"/>
                <w:kern w:val="0"/>
                <w:sz w:val="20"/>
                <w:szCs w:val="20"/>
                <w:highlight w:val="none"/>
              </w:rPr>
            </w:pPr>
            <w:r>
              <w:rPr>
                <w:rFonts w:hint="eastAsia" w:ascii="宋体" w:hAnsi="宋体" w:eastAsia="宋体" w:cs="Times New Roman"/>
                <w:color w:val="auto"/>
                <w:kern w:val="0"/>
                <w:sz w:val="20"/>
                <w:szCs w:val="20"/>
                <w:highlight w:val="none"/>
              </w:rPr>
              <w:t>水质 pH值的测定 电极法</w:t>
            </w:r>
          </w:p>
          <w:p w14:paraId="7014B807">
            <w:pPr>
              <w:widowControl/>
              <w:jc w:val="center"/>
              <w:textAlignment w:val="center"/>
              <w:rPr>
                <w:rFonts w:hint="eastAsia" w:ascii="宋体" w:hAnsi="宋体" w:eastAsia="宋体" w:cs="宋体"/>
                <w:color w:val="auto"/>
                <w:kern w:val="0"/>
                <w:sz w:val="20"/>
                <w:szCs w:val="20"/>
                <w:highlight w:val="none"/>
              </w:rPr>
            </w:pPr>
            <w:r>
              <w:rPr>
                <w:rFonts w:hint="eastAsia" w:ascii="宋体" w:hAnsi="宋体" w:eastAsia="宋体" w:cs="Times New Roman"/>
                <w:color w:val="auto"/>
                <w:kern w:val="0"/>
                <w:sz w:val="20"/>
                <w:szCs w:val="20"/>
                <w:highlight w:val="none"/>
              </w:rPr>
              <w:t>HJ 1147-2020</w:t>
            </w:r>
          </w:p>
        </w:tc>
      </w:tr>
      <w:tr w14:paraId="4A62A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91" w:type="dxa"/>
            <w:vAlign w:val="center"/>
          </w:tcPr>
          <w:p w14:paraId="353B7685">
            <w:pPr>
              <w:jc w:val="center"/>
              <w:rPr>
                <w:rFonts w:ascii="宋体" w:hAnsi="宋体" w:eastAsia="宋体" w:cs="Times New Roman"/>
                <w:color w:val="auto"/>
                <w:kern w:val="0"/>
                <w:sz w:val="20"/>
                <w:szCs w:val="20"/>
                <w:highlight w:val="none"/>
              </w:rPr>
            </w:pPr>
            <w:r>
              <w:rPr>
                <w:rFonts w:hint="eastAsia" w:ascii="宋体" w:hAnsi="宋体" w:eastAsia="宋体" w:cs="宋体"/>
                <w:color w:val="auto"/>
                <w:kern w:val="0"/>
                <w:sz w:val="20"/>
                <w:szCs w:val="20"/>
                <w:highlight w:val="none"/>
              </w:rPr>
              <w:t>地表水（入河排</w:t>
            </w:r>
            <w:r>
              <w:rPr>
                <w:rFonts w:ascii="宋体" w:hAnsi="宋体" w:eastAsia="宋体" w:cs="Times New Roman"/>
                <w:color w:val="auto"/>
                <w:kern w:val="0"/>
                <w:sz w:val="20"/>
                <w:szCs w:val="20"/>
                <w:highlight w:val="none"/>
              </w:rPr>
              <w:t>污口</w:t>
            </w:r>
            <w:r>
              <w:rPr>
                <w:rFonts w:hint="eastAsia" w:ascii="宋体" w:hAnsi="宋体" w:eastAsia="宋体" w:cs="Times New Roman"/>
                <w:color w:val="auto"/>
                <w:kern w:val="0"/>
                <w:sz w:val="20"/>
                <w:szCs w:val="20"/>
                <w:highlight w:val="none"/>
                <w:lang w:val="en-US" w:eastAsia="zh-CN"/>
              </w:rPr>
              <w:t>赣江</w:t>
            </w:r>
            <w:r>
              <w:rPr>
                <w:rFonts w:hint="eastAsia" w:ascii="宋体" w:hAnsi="宋体" w:eastAsia="宋体" w:cs="Times New Roman"/>
                <w:color w:val="auto"/>
                <w:kern w:val="0"/>
                <w:sz w:val="20"/>
                <w:szCs w:val="20"/>
                <w:highlight w:val="none"/>
              </w:rPr>
              <w:t>）</w:t>
            </w:r>
            <w:r>
              <w:rPr>
                <w:rFonts w:ascii="宋体" w:hAnsi="宋体" w:eastAsia="宋体" w:cs="Times New Roman"/>
                <w:color w:val="auto"/>
                <w:kern w:val="0"/>
                <w:sz w:val="20"/>
                <w:szCs w:val="20"/>
                <w:highlight w:val="none"/>
              </w:rPr>
              <w:t>上游0.5km</w:t>
            </w:r>
          </w:p>
        </w:tc>
        <w:tc>
          <w:tcPr>
            <w:tcW w:w="871" w:type="dxa"/>
            <w:vAlign w:val="center"/>
          </w:tcPr>
          <w:p w14:paraId="06D98444">
            <w:pPr>
              <w:widowControl/>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悬浮物</w:t>
            </w:r>
          </w:p>
        </w:tc>
        <w:tc>
          <w:tcPr>
            <w:tcW w:w="1269" w:type="dxa"/>
            <w:vAlign w:val="center"/>
          </w:tcPr>
          <w:p w14:paraId="6E5CB79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b w:val="0"/>
                <w:bCs w:val="0"/>
                <w:i w:val="0"/>
                <w:iCs w:val="0"/>
                <w:color w:val="auto"/>
                <w:kern w:val="0"/>
                <w:sz w:val="20"/>
                <w:szCs w:val="20"/>
                <w:highlight w:val="none"/>
                <w:u w:val="none"/>
                <w:lang w:val="en-US" w:eastAsia="zh-CN" w:bidi="ar"/>
              </w:rPr>
              <w:t>/</w:t>
            </w:r>
          </w:p>
        </w:tc>
        <w:tc>
          <w:tcPr>
            <w:tcW w:w="953" w:type="dxa"/>
            <w:vAlign w:val="center"/>
          </w:tcPr>
          <w:p w14:paraId="46ADB965">
            <w:pPr>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手工</w:t>
            </w:r>
          </w:p>
        </w:tc>
        <w:tc>
          <w:tcPr>
            <w:tcW w:w="1002" w:type="dxa"/>
            <w:vAlign w:val="center"/>
          </w:tcPr>
          <w:p w14:paraId="62F0566A">
            <w:pPr>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3次/年</w:t>
            </w:r>
          </w:p>
        </w:tc>
        <w:tc>
          <w:tcPr>
            <w:tcW w:w="2736" w:type="dxa"/>
            <w:vAlign w:val="center"/>
          </w:tcPr>
          <w:p w14:paraId="3AFF9B99">
            <w:pPr>
              <w:widowControl/>
              <w:jc w:val="center"/>
              <w:textAlignment w:val="center"/>
              <w:rPr>
                <w:rFonts w:hint="eastAsia" w:ascii="宋体" w:hAnsi="宋体" w:eastAsia="宋体" w:cs="宋体"/>
                <w:color w:val="auto"/>
                <w:kern w:val="0"/>
                <w:sz w:val="20"/>
                <w:szCs w:val="20"/>
                <w:highlight w:val="none"/>
              </w:rPr>
            </w:pPr>
            <w:r>
              <w:rPr>
                <w:rFonts w:hint="eastAsia" w:ascii="Times New Roman" w:hAnsi="Times New Roman"/>
                <w:color w:val="auto"/>
                <w:sz w:val="20"/>
                <w:szCs w:val="20"/>
                <w:highlight w:val="none"/>
              </w:rPr>
              <w:t>电子天平</w:t>
            </w:r>
            <w:r>
              <w:rPr>
                <w:rFonts w:hint="eastAsia" w:ascii="Times New Roman" w:hAnsi="Times New Roman"/>
                <w:color w:val="auto"/>
                <w:sz w:val="20"/>
                <w:szCs w:val="20"/>
                <w:highlight w:val="none"/>
                <w:lang w:eastAsia="zh-CN"/>
              </w:rPr>
              <w:t>（</w:t>
            </w:r>
            <w:r>
              <w:rPr>
                <w:rFonts w:hint="eastAsia" w:ascii="Times New Roman" w:hAnsi="Times New Roman"/>
                <w:color w:val="auto"/>
                <w:sz w:val="20"/>
                <w:szCs w:val="20"/>
                <w:highlight w:val="none"/>
                <w:lang w:val="en-US" w:eastAsia="zh-CN"/>
              </w:rPr>
              <w:t>万分之一）FA2104</w:t>
            </w:r>
          </w:p>
        </w:tc>
        <w:tc>
          <w:tcPr>
            <w:tcW w:w="2163" w:type="dxa"/>
            <w:vAlign w:val="center"/>
          </w:tcPr>
          <w:p w14:paraId="597059A7">
            <w:pPr>
              <w:jc w:val="center"/>
              <w:rPr>
                <w:rFonts w:ascii="宋体" w:hAnsi="宋体" w:eastAsia="宋体" w:cs="Times New Roman"/>
                <w:color w:val="auto"/>
                <w:kern w:val="0"/>
                <w:sz w:val="20"/>
                <w:szCs w:val="20"/>
                <w:highlight w:val="none"/>
              </w:rPr>
            </w:pPr>
            <w:r>
              <w:rPr>
                <w:rFonts w:hint="eastAsia" w:ascii="宋体" w:hAnsi="宋体" w:eastAsia="宋体" w:cs="Times New Roman"/>
                <w:color w:val="auto"/>
                <w:kern w:val="0"/>
                <w:sz w:val="20"/>
                <w:szCs w:val="20"/>
                <w:highlight w:val="none"/>
              </w:rPr>
              <w:t>水质 悬浮物的测定 重量法</w:t>
            </w:r>
          </w:p>
          <w:p w14:paraId="546F67CA">
            <w:pPr>
              <w:widowControl/>
              <w:jc w:val="center"/>
              <w:textAlignment w:val="center"/>
              <w:rPr>
                <w:rFonts w:hint="eastAsia" w:ascii="宋体" w:hAnsi="宋体" w:eastAsia="宋体" w:cs="宋体"/>
                <w:color w:val="auto"/>
                <w:kern w:val="0"/>
                <w:sz w:val="20"/>
                <w:szCs w:val="20"/>
                <w:highlight w:val="none"/>
              </w:rPr>
            </w:pPr>
            <w:r>
              <w:rPr>
                <w:rFonts w:hint="eastAsia" w:ascii="宋体" w:hAnsi="宋体" w:eastAsia="宋体" w:cs="Times New Roman"/>
                <w:color w:val="auto"/>
                <w:kern w:val="0"/>
                <w:sz w:val="20"/>
                <w:szCs w:val="20"/>
                <w:highlight w:val="none"/>
              </w:rPr>
              <w:t xml:space="preserve">GB </w:t>
            </w:r>
            <w:r>
              <w:rPr>
                <w:rFonts w:ascii="宋体" w:hAnsi="宋体" w:eastAsia="宋体" w:cs="Times New Roman"/>
                <w:color w:val="auto"/>
                <w:kern w:val="0"/>
                <w:sz w:val="20"/>
                <w:szCs w:val="20"/>
                <w:highlight w:val="none"/>
              </w:rPr>
              <w:t>1</w:t>
            </w:r>
            <w:r>
              <w:rPr>
                <w:rFonts w:hint="eastAsia" w:ascii="宋体" w:hAnsi="宋体" w:eastAsia="宋体" w:cs="Times New Roman"/>
                <w:color w:val="auto"/>
                <w:kern w:val="0"/>
                <w:sz w:val="20"/>
                <w:szCs w:val="20"/>
                <w:highlight w:val="none"/>
              </w:rPr>
              <w:t>1901-89</w:t>
            </w:r>
          </w:p>
        </w:tc>
      </w:tr>
      <w:tr w14:paraId="5A3C0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91" w:type="dxa"/>
            <w:vAlign w:val="center"/>
          </w:tcPr>
          <w:p w14:paraId="010D6862">
            <w:pPr>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地表水（入河排</w:t>
            </w:r>
            <w:r>
              <w:rPr>
                <w:rFonts w:ascii="宋体" w:hAnsi="宋体" w:eastAsia="宋体" w:cs="Times New Roman"/>
                <w:color w:val="auto"/>
                <w:kern w:val="0"/>
                <w:sz w:val="20"/>
                <w:szCs w:val="20"/>
                <w:highlight w:val="none"/>
              </w:rPr>
              <w:t>污口</w:t>
            </w:r>
            <w:r>
              <w:rPr>
                <w:rFonts w:hint="eastAsia" w:ascii="宋体" w:hAnsi="宋体" w:eastAsia="宋体" w:cs="Times New Roman"/>
                <w:color w:val="auto"/>
                <w:kern w:val="0"/>
                <w:sz w:val="20"/>
                <w:szCs w:val="20"/>
                <w:highlight w:val="none"/>
                <w:lang w:val="en-US" w:eastAsia="zh-CN"/>
              </w:rPr>
              <w:t>赣江</w:t>
            </w:r>
            <w:r>
              <w:rPr>
                <w:rFonts w:hint="eastAsia" w:ascii="宋体" w:hAnsi="宋体" w:eastAsia="宋体" w:cs="Times New Roman"/>
                <w:color w:val="auto"/>
                <w:kern w:val="0"/>
                <w:sz w:val="20"/>
                <w:szCs w:val="20"/>
                <w:highlight w:val="none"/>
              </w:rPr>
              <w:t>）</w:t>
            </w:r>
            <w:r>
              <w:rPr>
                <w:rFonts w:ascii="宋体" w:hAnsi="宋体" w:eastAsia="宋体" w:cs="Times New Roman"/>
                <w:color w:val="auto"/>
                <w:kern w:val="0"/>
                <w:sz w:val="20"/>
                <w:szCs w:val="20"/>
                <w:highlight w:val="none"/>
              </w:rPr>
              <w:t>上游0.5km</w:t>
            </w:r>
          </w:p>
        </w:tc>
        <w:tc>
          <w:tcPr>
            <w:tcW w:w="871" w:type="dxa"/>
            <w:vAlign w:val="center"/>
          </w:tcPr>
          <w:p w14:paraId="254073B7">
            <w:pPr>
              <w:widowControl/>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化学需氧量</w:t>
            </w:r>
          </w:p>
        </w:tc>
        <w:tc>
          <w:tcPr>
            <w:tcW w:w="1269" w:type="dxa"/>
            <w:vAlign w:val="center"/>
          </w:tcPr>
          <w:p w14:paraId="5588143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b w:val="0"/>
                <w:bCs w:val="0"/>
                <w:i w:val="0"/>
                <w:iCs w:val="0"/>
                <w:color w:val="auto"/>
                <w:kern w:val="0"/>
                <w:sz w:val="20"/>
                <w:szCs w:val="20"/>
                <w:highlight w:val="none"/>
                <w:u w:val="none"/>
                <w:lang w:val="en-US" w:eastAsia="zh-CN" w:bidi="ar"/>
              </w:rPr>
              <w:t>≤20mg/L</w:t>
            </w:r>
          </w:p>
        </w:tc>
        <w:tc>
          <w:tcPr>
            <w:tcW w:w="953" w:type="dxa"/>
            <w:vAlign w:val="center"/>
          </w:tcPr>
          <w:p w14:paraId="72C5DB0E">
            <w:pPr>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手工</w:t>
            </w:r>
          </w:p>
        </w:tc>
        <w:tc>
          <w:tcPr>
            <w:tcW w:w="1002" w:type="dxa"/>
            <w:vAlign w:val="center"/>
          </w:tcPr>
          <w:p w14:paraId="2513F7B1">
            <w:pPr>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3次/年</w:t>
            </w:r>
          </w:p>
        </w:tc>
        <w:tc>
          <w:tcPr>
            <w:tcW w:w="2736" w:type="dxa"/>
            <w:vAlign w:val="center"/>
          </w:tcPr>
          <w:p w14:paraId="4EC39033">
            <w:pPr>
              <w:widowControl/>
              <w:jc w:val="center"/>
              <w:textAlignment w:val="center"/>
              <w:rPr>
                <w:rFonts w:hint="eastAsia" w:ascii="宋体" w:hAnsi="宋体" w:eastAsia="宋体" w:cs="宋体"/>
                <w:color w:val="auto"/>
                <w:kern w:val="0"/>
                <w:sz w:val="20"/>
                <w:szCs w:val="20"/>
                <w:highlight w:val="none"/>
              </w:rPr>
            </w:pPr>
            <w:r>
              <w:rPr>
                <w:rFonts w:hint="eastAsia" w:ascii="Times New Roman" w:hAnsi="Times New Roman" w:eastAsia="宋体"/>
                <w:color w:val="auto"/>
                <w:sz w:val="20"/>
                <w:szCs w:val="20"/>
                <w:highlight w:val="none"/>
                <w:lang w:val="en-US" w:eastAsia="zh-CN"/>
              </w:rPr>
              <w:t>COD消解仪 HCA-103</w:t>
            </w:r>
          </w:p>
        </w:tc>
        <w:tc>
          <w:tcPr>
            <w:tcW w:w="2163" w:type="dxa"/>
            <w:vAlign w:val="center"/>
          </w:tcPr>
          <w:p w14:paraId="75103DFD">
            <w:pPr>
              <w:jc w:val="center"/>
              <w:rPr>
                <w:rFonts w:ascii="宋体" w:hAnsi="宋体" w:eastAsia="宋体" w:cs="Times New Roman"/>
                <w:color w:val="auto"/>
                <w:kern w:val="0"/>
                <w:sz w:val="20"/>
                <w:szCs w:val="20"/>
                <w:highlight w:val="none"/>
              </w:rPr>
            </w:pPr>
            <w:r>
              <w:rPr>
                <w:rFonts w:hint="eastAsia" w:ascii="宋体" w:hAnsi="宋体" w:eastAsia="宋体" w:cs="Times New Roman"/>
                <w:color w:val="auto"/>
                <w:kern w:val="0"/>
                <w:sz w:val="20"/>
                <w:szCs w:val="20"/>
                <w:highlight w:val="none"/>
              </w:rPr>
              <w:t>水质 化学需氧量的测定 重铬酸盐法</w:t>
            </w:r>
          </w:p>
          <w:p w14:paraId="58C2FD76">
            <w:pPr>
              <w:widowControl/>
              <w:jc w:val="center"/>
              <w:textAlignment w:val="center"/>
              <w:rPr>
                <w:rFonts w:hint="eastAsia" w:ascii="宋体" w:hAnsi="宋体" w:eastAsia="宋体" w:cs="宋体"/>
                <w:color w:val="auto"/>
                <w:kern w:val="0"/>
                <w:sz w:val="20"/>
                <w:szCs w:val="20"/>
                <w:highlight w:val="none"/>
              </w:rPr>
            </w:pPr>
            <w:r>
              <w:rPr>
                <w:rFonts w:hint="eastAsia" w:ascii="宋体" w:hAnsi="宋体" w:eastAsia="宋体" w:cs="Times New Roman"/>
                <w:color w:val="auto"/>
                <w:kern w:val="0"/>
                <w:sz w:val="20"/>
                <w:szCs w:val="20"/>
                <w:highlight w:val="none"/>
              </w:rPr>
              <w:t>HJ 828-2017</w:t>
            </w:r>
          </w:p>
        </w:tc>
      </w:tr>
      <w:tr w14:paraId="6C520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91" w:type="dxa"/>
            <w:vAlign w:val="center"/>
          </w:tcPr>
          <w:p w14:paraId="69409023">
            <w:pPr>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地表水（入河排</w:t>
            </w:r>
            <w:r>
              <w:rPr>
                <w:rFonts w:ascii="宋体" w:hAnsi="宋体" w:eastAsia="宋体" w:cs="Times New Roman"/>
                <w:color w:val="auto"/>
                <w:kern w:val="0"/>
                <w:sz w:val="20"/>
                <w:szCs w:val="20"/>
                <w:highlight w:val="none"/>
              </w:rPr>
              <w:t>污口</w:t>
            </w:r>
            <w:r>
              <w:rPr>
                <w:rFonts w:hint="eastAsia" w:ascii="宋体" w:hAnsi="宋体" w:eastAsia="宋体" w:cs="Times New Roman"/>
                <w:color w:val="auto"/>
                <w:kern w:val="0"/>
                <w:sz w:val="20"/>
                <w:szCs w:val="20"/>
                <w:highlight w:val="none"/>
                <w:lang w:eastAsia="zh-CN"/>
              </w:rPr>
              <w:t>赣江</w:t>
            </w:r>
            <w:r>
              <w:rPr>
                <w:rFonts w:hint="eastAsia" w:ascii="宋体" w:hAnsi="宋体" w:eastAsia="宋体" w:cs="Times New Roman"/>
                <w:color w:val="auto"/>
                <w:kern w:val="0"/>
                <w:sz w:val="20"/>
                <w:szCs w:val="20"/>
                <w:highlight w:val="none"/>
              </w:rPr>
              <w:t>）</w:t>
            </w:r>
            <w:r>
              <w:rPr>
                <w:rFonts w:ascii="宋体" w:hAnsi="宋体" w:eastAsia="宋体" w:cs="Times New Roman"/>
                <w:color w:val="auto"/>
                <w:kern w:val="0"/>
                <w:sz w:val="20"/>
                <w:szCs w:val="20"/>
                <w:highlight w:val="none"/>
              </w:rPr>
              <w:t>上游0.5km</w:t>
            </w:r>
          </w:p>
        </w:tc>
        <w:tc>
          <w:tcPr>
            <w:tcW w:w="871" w:type="dxa"/>
            <w:vAlign w:val="center"/>
          </w:tcPr>
          <w:p w14:paraId="62F1E155">
            <w:pPr>
              <w:widowControl/>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五日生化需氧量</w:t>
            </w:r>
          </w:p>
        </w:tc>
        <w:tc>
          <w:tcPr>
            <w:tcW w:w="1269" w:type="dxa"/>
            <w:vAlign w:val="center"/>
          </w:tcPr>
          <w:p w14:paraId="29063D0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b w:val="0"/>
                <w:bCs w:val="0"/>
                <w:i w:val="0"/>
                <w:iCs w:val="0"/>
                <w:color w:val="auto"/>
                <w:kern w:val="0"/>
                <w:sz w:val="20"/>
                <w:szCs w:val="20"/>
                <w:highlight w:val="none"/>
                <w:u w:val="none"/>
                <w:lang w:val="en-US" w:eastAsia="zh-CN" w:bidi="ar"/>
              </w:rPr>
              <w:t>≤4mg/L</w:t>
            </w:r>
          </w:p>
        </w:tc>
        <w:tc>
          <w:tcPr>
            <w:tcW w:w="953" w:type="dxa"/>
            <w:vAlign w:val="center"/>
          </w:tcPr>
          <w:p w14:paraId="568C11BA">
            <w:pPr>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手工</w:t>
            </w:r>
          </w:p>
        </w:tc>
        <w:tc>
          <w:tcPr>
            <w:tcW w:w="1002" w:type="dxa"/>
            <w:vAlign w:val="center"/>
          </w:tcPr>
          <w:p w14:paraId="0171EE4E">
            <w:pPr>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3次/年</w:t>
            </w:r>
          </w:p>
        </w:tc>
        <w:tc>
          <w:tcPr>
            <w:tcW w:w="2736" w:type="dxa"/>
            <w:vAlign w:val="center"/>
          </w:tcPr>
          <w:p w14:paraId="5703809B">
            <w:pPr>
              <w:widowControl/>
              <w:jc w:val="center"/>
              <w:textAlignment w:val="center"/>
              <w:rPr>
                <w:rFonts w:hint="eastAsia" w:ascii="宋体" w:hAnsi="宋体" w:eastAsia="宋体" w:cs="宋体"/>
                <w:color w:val="auto"/>
                <w:kern w:val="0"/>
                <w:sz w:val="20"/>
                <w:szCs w:val="20"/>
                <w:highlight w:val="none"/>
              </w:rPr>
            </w:pPr>
            <w:r>
              <w:rPr>
                <w:rFonts w:hint="eastAsia" w:ascii="宋体" w:hAnsi="宋体" w:eastAsia="宋体" w:cs="Times New Roman"/>
                <w:color w:val="auto"/>
                <w:kern w:val="0"/>
                <w:sz w:val="20"/>
                <w:szCs w:val="20"/>
                <w:highlight w:val="none"/>
                <w:lang w:val="en-US" w:eastAsia="zh-CN"/>
              </w:rPr>
              <w:t>生化培养箱SHP-250</w:t>
            </w:r>
          </w:p>
        </w:tc>
        <w:tc>
          <w:tcPr>
            <w:tcW w:w="2163" w:type="dxa"/>
            <w:vAlign w:val="center"/>
          </w:tcPr>
          <w:p w14:paraId="6CE9F794">
            <w:pPr>
              <w:widowControl/>
              <w:jc w:val="center"/>
              <w:textAlignment w:val="center"/>
              <w:rPr>
                <w:rFonts w:hint="eastAsia" w:ascii="宋体" w:hAnsi="宋体" w:eastAsia="宋体" w:cs="宋体"/>
                <w:color w:val="auto"/>
                <w:kern w:val="0"/>
                <w:sz w:val="20"/>
                <w:szCs w:val="20"/>
                <w:highlight w:val="none"/>
              </w:rPr>
            </w:pPr>
            <w:r>
              <w:rPr>
                <w:rFonts w:hint="eastAsia" w:ascii="宋体" w:hAnsi="宋体" w:eastAsia="宋体" w:cs="Times New Roman"/>
                <w:color w:val="auto"/>
                <w:kern w:val="0"/>
                <w:sz w:val="20"/>
                <w:szCs w:val="20"/>
                <w:highlight w:val="none"/>
              </w:rPr>
              <w:t>水质 五日生化需氧量的测定 稀释与接种法 HJ 505-2009</w:t>
            </w:r>
          </w:p>
        </w:tc>
      </w:tr>
      <w:tr w14:paraId="25DD3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91" w:type="dxa"/>
            <w:vAlign w:val="center"/>
          </w:tcPr>
          <w:p w14:paraId="1A40EA6E">
            <w:pPr>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地表水（入河排</w:t>
            </w:r>
            <w:r>
              <w:rPr>
                <w:rFonts w:ascii="宋体" w:hAnsi="宋体" w:eastAsia="宋体" w:cs="Times New Roman"/>
                <w:color w:val="auto"/>
                <w:kern w:val="0"/>
                <w:sz w:val="20"/>
                <w:szCs w:val="20"/>
                <w:highlight w:val="none"/>
              </w:rPr>
              <w:t>污口</w:t>
            </w:r>
            <w:r>
              <w:rPr>
                <w:rFonts w:hint="eastAsia" w:ascii="宋体" w:hAnsi="宋体" w:eastAsia="宋体" w:cs="Times New Roman"/>
                <w:color w:val="auto"/>
                <w:kern w:val="0"/>
                <w:sz w:val="20"/>
                <w:szCs w:val="20"/>
                <w:highlight w:val="none"/>
                <w:lang w:eastAsia="zh-CN"/>
              </w:rPr>
              <w:t>赣江</w:t>
            </w:r>
            <w:r>
              <w:rPr>
                <w:rFonts w:hint="eastAsia" w:ascii="宋体" w:hAnsi="宋体" w:eastAsia="宋体" w:cs="Times New Roman"/>
                <w:color w:val="auto"/>
                <w:kern w:val="0"/>
                <w:sz w:val="20"/>
                <w:szCs w:val="20"/>
                <w:highlight w:val="none"/>
              </w:rPr>
              <w:t>）</w:t>
            </w:r>
            <w:r>
              <w:rPr>
                <w:rFonts w:ascii="宋体" w:hAnsi="宋体" w:eastAsia="宋体" w:cs="Times New Roman"/>
                <w:color w:val="auto"/>
                <w:kern w:val="0"/>
                <w:sz w:val="20"/>
                <w:szCs w:val="20"/>
                <w:highlight w:val="none"/>
              </w:rPr>
              <w:t>上游0.5km</w:t>
            </w:r>
          </w:p>
        </w:tc>
        <w:tc>
          <w:tcPr>
            <w:tcW w:w="871" w:type="dxa"/>
            <w:vAlign w:val="center"/>
          </w:tcPr>
          <w:p w14:paraId="025915CD">
            <w:pPr>
              <w:widowControl/>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氨氮</w:t>
            </w:r>
          </w:p>
        </w:tc>
        <w:tc>
          <w:tcPr>
            <w:tcW w:w="1269" w:type="dxa"/>
            <w:vAlign w:val="center"/>
          </w:tcPr>
          <w:p w14:paraId="48BCF7F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b w:val="0"/>
                <w:bCs w:val="0"/>
                <w:i w:val="0"/>
                <w:iCs w:val="0"/>
                <w:color w:val="auto"/>
                <w:kern w:val="0"/>
                <w:sz w:val="20"/>
                <w:szCs w:val="20"/>
                <w:highlight w:val="none"/>
                <w:u w:val="none"/>
                <w:lang w:val="en-US" w:eastAsia="zh-CN" w:bidi="ar"/>
              </w:rPr>
              <w:t>≤1.0mg/L</w:t>
            </w:r>
          </w:p>
        </w:tc>
        <w:tc>
          <w:tcPr>
            <w:tcW w:w="953" w:type="dxa"/>
            <w:vAlign w:val="center"/>
          </w:tcPr>
          <w:p w14:paraId="25CECF06">
            <w:pPr>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手工</w:t>
            </w:r>
          </w:p>
        </w:tc>
        <w:tc>
          <w:tcPr>
            <w:tcW w:w="1002" w:type="dxa"/>
            <w:vAlign w:val="center"/>
          </w:tcPr>
          <w:p w14:paraId="6452D723">
            <w:pPr>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3次/年</w:t>
            </w:r>
          </w:p>
        </w:tc>
        <w:tc>
          <w:tcPr>
            <w:tcW w:w="2736" w:type="dxa"/>
            <w:vAlign w:val="center"/>
          </w:tcPr>
          <w:p w14:paraId="0D481288">
            <w:pPr>
              <w:widowControl/>
              <w:jc w:val="center"/>
              <w:textAlignment w:val="center"/>
              <w:rPr>
                <w:rFonts w:hint="eastAsia" w:ascii="宋体" w:hAnsi="宋体" w:eastAsia="宋体" w:cs="宋体"/>
                <w:color w:val="auto"/>
                <w:kern w:val="0"/>
                <w:sz w:val="20"/>
                <w:szCs w:val="20"/>
                <w:highlight w:val="none"/>
              </w:rPr>
            </w:pPr>
            <w:r>
              <w:rPr>
                <w:rFonts w:hint="eastAsia" w:ascii="Times New Roman" w:hAnsi="Times New Roman"/>
                <w:color w:val="auto"/>
                <w:sz w:val="20"/>
                <w:szCs w:val="20"/>
                <w:highlight w:val="none"/>
              </w:rPr>
              <w:t>紫外分光光度计</w:t>
            </w:r>
            <w:r>
              <w:rPr>
                <w:rFonts w:hint="eastAsia" w:ascii="Times New Roman" w:hAnsi="Times New Roman"/>
                <w:color w:val="auto"/>
                <w:sz w:val="20"/>
                <w:szCs w:val="20"/>
                <w:highlight w:val="none"/>
                <w:lang w:val="en-US" w:eastAsia="zh-CN"/>
              </w:rPr>
              <w:t>UV-5100</w:t>
            </w:r>
          </w:p>
        </w:tc>
        <w:tc>
          <w:tcPr>
            <w:tcW w:w="2163" w:type="dxa"/>
            <w:vAlign w:val="center"/>
          </w:tcPr>
          <w:p w14:paraId="76BF3329">
            <w:pPr>
              <w:jc w:val="center"/>
              <w:rPr>
                <w:rFonts w:ascii="宋体" w:hAnsi="宋体" w:eastAsia="宋体" w:cs="Times New Roman"/>
                <w:color w:val="auto"/>
                <w:kern w:val="0"/>
                <w:sz w:val="20"/>
                <w:szCs w:val="20"/>
                <w:highlight w:val="none"/>
              </w:rPr>
            </w:pPr>
            <w:r>
              <w:rPr>
                <w:rFonts w:hint="eastAsia" w:ascii="宋体" w:hAnsi="宋体" w:eastAsia="宋体" w:cs="Times New Roman"/>
                <w:color w:val="auto"/>
                <w:kern w:val="0"/>
                <w:sz w:val="20"/>
                <w:szCs w:val="20"/>
                <w:highlight w:val="none"/>
              </w:rPr>
              <w:t>水质 氨氮的测定 纳氏试剂分光光度法</w:t>
            </w:r>
          </w:p>
          <w:p w14:paraId="2F686069">
            <w:pPr>
              <w:widowControl/>
              <w:jc w:val="center"/>
              <w:textAlignment w:val="center"/>
              <w:rPr>
                <w:rFonts w:hint="eastAsia" w:ascii="宋体" w:hAnsi="宋体" w:eastAsia="宋体" w:cs="宋体"/>
                <w:color w:val="auto"/>
                <w:kern w:val="0"/>
                <w:sz w:val="20"/>
                <w:szCs w:val="20"/>
                <w:highlight w:val="none"/>
              </w:rPr>
            </w:pPr>
            <w:r>
              <w:rPr>
                <w:rFonts w:hint="eastAsia" w:ascii="宋体" w:hAnsi="宋体" w:eastAsia="宋体" w:cs="Times New Roman"/>
                <w:color w:val="auto"/>
                <w:kern w:val="0"/>
                <w:sz w:val="20"/>
                <w:szCs w:val="20"/>
                <w:highlight w:val="none"/>
              </w:rPr>
              <w:t>HJ 535-2009</w:t>
            </w:r>
          </w:p>
        </w:tc>
      </w:tr>
      <w:tr w14:paraId="0245F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91" w:type="dxa"/>
            <w:vAlign w:val="center"/>
          </w:tcPr>
          <w:p w14:paraId="4895DA28">
            <w:pPr>
              <w:jc w:val="center"/>
              <w:rPr>
                <w:rFonts w:ascii="宋体" w:hAnsi="宋体" w:eastAsia="宋体" w:cs="Times New Roman"/>
                <w:color w:val="auto"/>
                <w:kern w:val="0"/>
                <w:sz w:val="20"/>
                <w:szCs w:val="20"/>
                <w:highlight w:val="none"/>
              </w:rPr>
            </w:pPr>
            <w:r>
              <w:rPr>
                <w:rFonts w:hint="eastAsia" w:ascii="宋体" w:hAnsi="宋体" w:eastAsia="宋体" w:cs="宋体"/>
                <w:color w:val="auto"/>
                <w:kern w:val="0"/>
                <w:sz w:val="20"/>
                <w:szCs w:val="20"/>
                <w:highlight w:val="none"/>
              </w:rPr>
              <w:t>地表水（入河排</w:t>
            </w:r>
            <w:r>
              <w:rPr>
                <w:rFonts w:ascii="宋体" w:hAnsi="宋体" w:eastAsia="宋体" w:cs="Times New Roman"/>
                <w:color w:val="auto"/>
                <w:kern w:val="0"/>
                <w:sz w:val="20"/>
                <w:szCs w:val="20"/>
                <w:highlight w:val="none"/>
              </w:rPr>
              <w:t>污口</w:t>
            </w:r>
            <w:r>
              <w:rPr>
                <w:rFonts w:hint="eastAsia" w:ascii="宋体" w:hAnsi="宋体" w:eastAsia="宋体" w:cs="Times New Roman"/>
                <w:color w:val="auto"/>
                <w:kern w:val="0"/>
                <w:sz w:val="20"/>
                <w:szCs w:val="20"/>
                <w:highlight w:val="none"/>
                <w:lang w:eastAsia="zh-CN"/>
              </w:rPr>
              <w:t>赣江</w:t>
            </w:r>
            <w:r>
              <w:rPr>
                <w:rFonts w:hint="eastAsia" w:ascii="宋体" w:hAnsi="宋体" w:eastAsia="宋体" w:cs="Times New Roman"/>
                <w:color w:val="auto"/>
                <w:kern w:val="0"/>
                <w:sz w:val="20"/>
                <w:szCs w:val="20"/>
                <w:highlight w:val="none"/>
              </w:rPr>
              <w:t>）</w:t>
            </w:r>
            <w:r>
              <w:rPr>
                <w:rFonts w:ascii="宋体" w:hAnsi="宋体" w:eastAsia="宋体" w:cs="Times New Roman"/>
                <w:color w:val="auto"/>
                <w:kern w:val="0"/>
                <w:sz w:val="20"/>
                <w:szCs w:val="20"/>
                <w:highlight w:val="none"/>
              </w:rPr>
              <w:t>上游0.5km</w:t>
            </w:r>
          </w:p>
        </w:tc>
        <w:tc>
          <w:tcPr>
            <w:tcW w:w="871" w:type="dxa"/>
            <w:vAlign w:val="center"/>
          </w:tcPr>
          <w:p w14:paraId="28564D9A">
            <w:pPr>
              <w:widowControl/>
              <w:jc w:val="center"/>
              <w:textAlignment w:val="center"/>
              <w:rPr>
                <w:rFonts w:hint="eastAsia" w:ascii="宋体" w:hAnsi="宋体" w:eastAsia="宋体" w:cs="宋体"/>
                <w:color w:val="auto"/>
                <w:kern w:val="0"/>
                <w:sz w:val="20"/>
                <w:szCs w:val="20"/>
                <w:highlight w:val="none"/>
              </w:rPr>
            </w:pPr>
            <w:r>
              <w:rPr>
                <w:rFonts w:hint="eastAsia" w:ascii="宋体" w:hAnsi="宋体" w:eastAsia="宋体" w:cs="Times New Roman"/>
                <w:color w:val="auto"/>
                <w:spacing w:val="4"/>
                <w:kern w:val="0"/>
                <w:sz w:val="20"/>
                <w:szCs w:val="20"/>
                <w:highlight w:val="none"/>
              </w:rPr>
              <w:t>总磷</w:t>
            </w:r>
          </w:p>
        </w:tc>
        <w:tc>
          <w:tcPr>
            <w:tcW w:w="1269" w:type="dxa"/>
            <w:vAlign w:val="center"/>
          </w:tcPr>
          <w:p w14:paraId="20C94F1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b w:val="0"/>
                <w:bCs w:val="0"/>
                <w:i w:val="0"/>
                <w:iCs w:val="0"/>
                <w:color w:val="auto"/>
                <w:kern w:val="0"/>
                <w:sz w:val="20"/>
                <w:szCs w:val="20"/>
                <w:highlight w:val="none"/>
                <w:u w:val="none"/>
                <w:lang w:val="en-US" w:eastAsia="zh-CN" w:bidi="ar"/>
              </w:rPr>
              <w:t>≤0.2mg/L</w:t>
            </w:r>
          </w:p>
        </w:tc>
        <w:tc>
          <w:tcPr>
            <w:tcW w:w="953" w:type="dxa"/>
            <w:vAlign w:val="center"/>
          </w:tcPr>
          <w:p w14:paraId="14265BDD">
            <w:pPr>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手工</w:t>
            </w:r>
          </w:p>
        </w:tc>
        <w:tc>
          <w:tcPr>
            <w:tcW w:w="1002" w:type="dxa"/>
            <w:vAlign w:val="center"/>
          </w:tcPr>
          <w:p w14:paraId="648731C7">
            <w:pPr>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3次/年</w:t>
            </w:r>
          </w:p>
        </w:tc>
        <w:tc>
          <w:tcPr>
            <w:tcW w:w="2736" w:type="dxa"/>
            <w:vAlign w:val="center"/>
          </w:tcPr>
          <w:p w14:paraId="66F73625">
            <w:pPr>
              <w:jc w:val="center"/>
              <w:rPr>
                <w:rFonts w:hint="eastAsia" w:ascii="宋体" w:hAnsi="宋体" w:eastAsia="宋体" w:cs="宋体"/>
                <w:color w:val="auto"/>
                <w:kern w:val="0"/>
                <w:sz w:val="20"/>
                <w:szCs w:val="20"/>
                <w:highlight w:val="none"/>
              </w:rPr>
            </w:pPr>
            <w:r>
              <w:rPr>
                <w:rFonts w:hint="eastAsia" w:ascii="Times New Roman" w:hAnsi="Times New Roman"/>
                <w:color w:val="auto"/>
                <w:sz w:val="20"/>
                <w:szCs w:val="20"/>
                <w:highlight w:val="none"/>
              </w:rPr>
              <w:t>紫外分光光度计</w:t>
            </w:r>
            <w:r>
              <w:rPr>
                <w:rFonts w:hint="eastAsia" w:ascii="Times New Roman" w:hAnsi="Times New Roman"/>
                <w:color w:val="auto"/>
                <w:sz w:val="20"/>
                <w:szCs w:val="20"/>
                <w:highlight w:val="none"/>
                <w:lang w:val="en-US" w:eastAsia="zh-CN"/>
              </w:rPr>
              <w:t>UV-5100</w:t>
            </w:r>
          </w:p>
        </w:tc>
        <w:tc>
          <w:tcPr>
            <w:tcW w:w="2163" w:type="dxa"/>
            <w:vAlign w:val="center"/>
          </w:tcPr>
          <w:p w14:paraId="4B1867FB">
            <w:pPr>
              <w:jc w:val="center"/>
              <w:rPr>
                <w:rFonts w:ascii="宋体" w:hAnsi="宋体" w:eastAsia="宋体" w:cs="Times New Roman"/>
                <w:color w:val="auto"/>
                <w:kern w:val="0"/>
                <w:sz w:val="20"/>
                <w:szCs w:val="20"/>
                <w:highlight w:val="none"/>
              </w:rPr>
            </w:pPr>
            <w:r>
              <w:rPr>
                <w:rFonts w:hint="eastAsia" w:ascii="宋体" w:hAnsi="宋体" w:eastAsia="宋体" w:cs="Times New Roman"/>
                <w:color w:val="auto"/>
                <w:kern w:val="0"/>
                <w:sz w:val="20"/>
                <w:szCs w:val="20"/>
                <w:highlight w:val="none"/>
              </w:rPr>
              <w:t>水质 总磷的测定 钼酸铵分光光度法</w:t>
            </w:r>
          </w:p>
          <w:p w14:paraId="332A7CF5">
            <w:pPr>
              <w:jc w:val="center"/>
              <w:rPr>
                <w:rFonts w:hint="eastAsia" w:ascii="宋体" w:hAnsi="宋体" w:eastAsia="宋体" w:cs="宋体"/>
                <w:color w:val="auto"/>
                <w:kern w:val="0"/>
                <w:sz w:val="20"/>
                <w:szCs w:val="20"/>
                <w:highlight w:val="none"/>
              </w:rPr>
            </w:pPr>
            <w:r>
              <w:rPr>
                <w:rFonts w:hint="eastAsia" w:ascii="宋体" w:hAnsi="宋体" w:eastAsia="宋体" w:cs="Times New Roman"/>
                <w:color w:val="auto"/>
                <w:kern w:val="0"/>
                <w:sz w:val="20"/>
                <w:szCs w:val="20"/>
                <w:highlight w:val="none"/>
              </w:rPr>
              <w:t>GB 11893-89</w:t>
            </w:r>
          </w:p>
        </w:tc>
      </w:tr>
      <w:tr w14:paraId="1556C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91" w:type="dxa"/>
            <w:vAlign w:val="center"/>
          </w:tcPr>
          <w:p w14:paraId="372BD2D2">
            <w:pPr>
              <w:rPr>
                <w:rFonts w:ascii="宋体" w:hAnsi="宋体" w:eastAsia="宋体" w:cs="Times New Roman"/>
                <w:color w:val="auto"/>
                <w:kern w:val="0"/>
                <w:sz w:val="20"/>
                <w:szCs w:val="20"/>
                <w:highlight w:val="none"/>
              </w:rPr>
            </w:pPr>
            <w:r>
              <w:rPr>
                <w:rFonts w:hint="eastAsia" w:ascii="宋体" w:hAnsi="宋体" w:eastAsia="宋体" w:cs="宋体"/>
                <w:color w:val="auto"/>
                <w:kern w:val="0"/>
                <w:sz w:val="20"/>
                <w:szCs w:val="20"/>
                <w:highlight w:val="none"/>
              </w:rPr>
              <w:t>地表水（入河排</w:t>
            </w:r>
            <w:r>
              <w:rPr>
                <w:rFonts w:ascii="宋体" w:hAnsi="宋体" w:eastAsia="宋体" w:cs="Times New Roman"/>
                <w:color w:val="auto"/>
                <w:kern w:val="0"/>
                <w:sz w:val="20"/>
                <w:szCs w:val="20"/>
                <w:highlight w:val="none"/>
              </w:rPr>
              <w:t>污口</w:t>
            </w:r>
            <w:r>
              <w:rPr>
                <w:rFonts w:hint="eastAsia" w:ascii="宋体" w:hAnsi="宋体" w:eastAsia="宋体" w:cs="Times New Roman"/>
                <w:color w:val="auto"/>
                <w:kern w:val="0"/>
                <w:sz w:val="20"/>
                <w:szCs w:val="20"/>
                <w:highlight w:val="none"/>
                <w:lang w:eastAsia="zh-CN"/>
              </w:rPr>
              <w:t>赣江</w:t>
            </w:r>
            <w:r>
              <w:rPr>
                <w:rFonts w:hint="eastAsia" w:ascii="宋体" w:hAnsi="宋体" w:eastAsia="宋体" w:cs="Times New Roman"/>
                <w:color w:val="auto"/>
                <w:kern w:val="0"/>
                <w:sz w:val="20"/>
                <w:szCs w:val="20"/>
                <w:highlight w:val="none"/>
              </w:rPr>
              <w:t>）</w:t>
            </w:r>
            <w:r>
              <w:rPr>
                <w:rFonts w:ascii="宋体" w:hAnsi="宋体" w:eastAsia="宋体" w:cs="Times New Roman"/>
                <w:color w:val="auto"/>
                <w:kern w:val="0"/>
                <w:sz w:val="20"/>
                <w:szCs w:val="20"/>
                <w:highlight w:val="none"/>
              </w:rPr>
              <w:t>上游0.5km</w:t>
            </w:r>
          </w:p>
        </w:tc>
        <w:tc>
          <w:tcPr>
            <w:tcW w:w="871" w:type="dxa"/>
            <w:vAlign w:val="center"/>
          </w:tcPr>
          <w:p w14:paraId="6F5B88A8">
            <w:pPr>
              <w:widowControl/>
              <w:jc w:val="center"/>
              <w:textAlignment w:val="center"/>
              <w:rPr>
                <w:rFonts w:hint="eastAsia" w:ascii="宋体" w:hAnsi="宋体" w:eastAsia="宋体" w:cs="宋体"/>
                <w:color w:val="auto"/>
                <w:kern w:val="0"/>
                <w:sz w:val="20"/>
                <w:szCs w:val="20"/>
                <w:highlight w:val="none"/>
              </w:rPr>
            </w:pPr>
            <w:r>
              <w:rPr>
                <w:rFonts w:hint="eastAsia" w:ascii="宋体" w:hAnsi="宋体" w:eastAsia="宋体" w:cs="Times New Roman"/>
                <w:color w:val="auto"/>
                <w:spacing w:val="4"/>
                <w:kern w:val="0"/>
                <w:sz w:val="20"/>
                <w:szCs w:val="20"/>
                <w:highlight w:val="none"/>
              </w:rPr>
              <w:t>总氮</w:t>
            </w:r>
          </w:p>
        </w:tc>
        <w:tc>
          <w:tcPr>
            <w:tcW w:w="1269" w:type="dxa"/>
            <w:vAlign w:val="center"/>
          </w:tcPr>
          <w:p w14:paraId="6B1E0CD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b w:val="0"/>
                <w:bCs w:val="0"/>
                <w:i w:val="0"/>
                <w:iCs w:val="0"/>
                <w:color w:val="auto"/>
                <w:kern w:val="0"/>
                <w:sz w:val="20"/>
                <w:szCs w:val="20"/>
                <w:highlight w:val="none"/>
                <w:u w:val="none"/>
                <w:lang w:val="en-US" w:eastAsia="zh-CN" w:bidi="ar"/>
              </w:rPr>
              <w:t>≤1.0mg/L</w:t>
            </w:r>
          </w:p>
        </w:tc>
        <w:tc>
          <w:tcPr>
            <w:tcW w:w="953" w:type="dxa"/>
            <w:vAlign w:val="center"/>
          </w:tcPr>
          <w:p w14:paraId="01040CA6">
            <w:pPr>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手工</w:t>
            </w:r>
          </w:p>
        </w:tc>
        <w:tc>
          <w:tcPr>
            <w:tcW w:w="1002" w:type="dxa"/>
            <w:vAlign w:val="center"/>
          </w:tcPr>
          <w:p w14:paraId="37CFCD82">
            <w:pPr>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3次/年</w:t>
            </w:r>
          </w:p>
        </w:tc>
        <w:tc>
          <w:tcPr>
            <w:tcW w:w="2736" w:type="dxa"/>
            <w:vAlign w:val="center"/>
          </w:tcPr>
          <w:p w14:paraId="2980FC87">
            <w:pPr>
              <w:jc w:val="center"/>
              <w:rPr>
                <w:rFonts w:hint="eastAsia" w:ascii="宋体" w:hAnsi="宋体" w:eastAsia="宋体" w:cs="宋体"/>
                <w:color w:val="auto"/>
                <w:kern w:val="0"/>
                <w:sz w:val="20"/>
                <w:szCs w:val="20"/>
                <w:highlight w:val="none"/>
              </w:rPr>
            </w:pPr>
            <w:r>
              <w:rPr>
                <w:rFonts w:hint="eastAsia" w:ascii="Times New Roman" w:hAnsi="Times New Roman"/>
                <w:color w:val="auto"/>
                <w:sz w:val="20"/>
                <w:szCs w:val="20"/>
                <w:highlight w:val="none"/>
              </w:rPr>
              <w:t>紫外分光光度计</w:t>
            </w:r>
            <w:r>
              <w:rPr>
                <w:rFonts w:hint="eastAsia" w:ascii="Times New Roman" w:hAnsi="Times New Roman"/>
                <w:color w:val="auto"/>
                <w:sz w:val="20"/>
                <w:szCs w:val="20"/>
                <w:highlight w:val="none"/>
                <w:lang w:val="en-US" w:eastAsia="zh-CN"/>
              </w:rPr>
              <w:t>UV-5100</w:t>
            </w:r>
          </w:p>
        </w:tc>
        <w:tc>
          <w:tcPr>
            <w:tcW w:w="2163" w:type="dxa"/>
            <w:vAlign w:val="center"/>
          </w:tcPr>
          <w:p w14:paraId="241245F1">
            <w:pPr>
              <w:jc w:val="center"/>
              <w:rPr>
                <w:rFonts w:hint="eastAsia" w:ascii="宋体" w:hAnsi="宋体" w:eastAsia="宋体" w:cs="宋体"/>
                <w:color w:val="auto"/>
                <w:kern w:val="0"/>
                <w:sz w:val="20"/>
                <w:szCs w:val="20"/>
                <w:highlight w:val="none"/>
              </w:rPr>
            </w:pPr>
            <w:r>
              <w:rPr>
                <w:rFonts w:hint="eastAsia" w:ascii="宋体" w:hAnsi="宋体" w:eastAsia="宋体" w:cs="Times New Roman"/>
                <w:color w:val="auto"/>
                <w:kern w:val="0"/>
                <w:sz w:val="20"/>
                <w:szCs w:val="20"/>
                <w:highlight w:val="none"/>
              </w:rPr>
              <w:t>水质 总氮的测定 碱性过硫酸钾消解紫外分光光度法 H</w:t>
            </w:r>
            <w:r>
              <w:rPr>
                <w:rFonts w:ascii="宋体" w:hAnsi="宋体" w:eastAsia="宋体" w:cs="Times New Roman"/>
                <w:color w:val="auto"/>
                <w:kern w:val="0"/>
                <w:sz w:val="20"/>
                <w:szCs w:val="20"/>
                <w:highlight w:val="none"/>
              </w:rPr>
              <w:t xml:space="preserve">J </w:t>
            </w:r>
            <w:r>
              <w:rPr>
                <w:rFonts w:hint="eastAsia" w:ascii="宋体" w:hAnsi="宋体" w:eastAsia="宋体" w:cs="Times New Roman"/>
                <w:color w:val="auto"/>
                <w:kern w:val="0"/>
                <w:sz w:val="20"/>
                <w:szCs w:val="20"/>
                <w:highlight w:val="none"/>
              </w:rPr>
              <w:t>636</w:t>
            </w:r>
            <w:r>
              <w:rPr>
                <w:rFonts w:ascii="宋体" w:hAnsi="宋体" w:eastAsia="宋体" w:cs="Times New Roman"/>
                <w:color w:val="auto"/>
                <w:kern w:val="0"/>
                <w:sz w:val="20"/>
                <w:szCs w:val="20"/>
                <w:highlight w:val="none"/>
              </w:rPr>
              <w:t>-201</w:t>
            </w:r>
            <w:r>
              <w:rPr>
                <w:rFonts w:hint="eastAsia" w:ascii="宋体" w:hAnsi="宋体" w:eastAsia="宋体" w:cs="Times New Roman"/>
                <w:color w:val="auto"/>
                <w:kern w:val="0"/>
                <w:sz w:val="20"/>
                <w:szCs w:val="20"/>
                <w:highlight w:val="none"/>
              </w:rPr>
              <w:t>2</w:t>
            </w:r>
          </w:p>
        </w:tc>
      </w:tr>
      <w:tr w14:paraId="0D336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91" w:type="dxa"/>
            <w:vAlign w:val="center"/>
          </w:tcPr>
          <w:p w14:paraId="7F53489E">
            <w:pPr>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地表水（入河排</w:t>
            </w:r>
            <w:r>
              <w:rPr>
                <w:rFonts w:ascii="宋体" w:hAnsi="宋体" w:eastAsia="宋体" w:cs="Times New Roman"/>
                <w:color w:val="auto"/>
                <w:kern w:val="0"/>
                <w:sz w:val="20"/>
                <w:szCs w:val="20"/>
                <w:highlight w:val="none"/>
              </w:rPr>
              <w:t>污口</w:t>
            </w:r>
            <w:r>
              <w:rPr>
                <w:rFonts w:hint="eastAsia" w:ascii="宋体" w:hAnsi="宋体" w:eastAsia="宋体" w:cs="Times New Roman"/>
                <w:color w:val="auto"/>
                <w:kern w:val="0"/>
                <w:sz w:val="20"/>
                <w:szCs w:val="20"/>
                <w:highlight w:val="none"/>
                <w:lang w:eastAsia="zh-CN"/>
              </w:rPr>
              <w:t>赣江</w:t>
            </w:r>
            <w:r>
              <w:rPr>
                <w:rFonts w:hint="eastAsia" w:ascii="宋体" w:hAnsi="宋体" w:eastAsia="宋体" w:cs="Times New Roman"/>
                <w:color w:val="auto"/>
                <w:kern w:val="0"/>
                <w:sz w:val="20"/>
                <w:szCs w:val="20"/>
                <w:highlight w:val="none"/>
              </w:rPr>
              <w:t>）</w:t>
            </w:r>
            <w:r>
              <w:rPr>
                <w:rFonts w:ascii="宋体" w:hAnsi="宋体" w:eastAsia="宋体" w:cs="Times New Roman"/>
                <w:color w:val="auto"/>
                <w:kern w:val="0"/>
                <w:sz w:val="20"/>
                <w:szCs w:val="20"/>
                <w:highlight w:val="none"/>
              </w:rPr>
              <w:t>上游0.5km</w:t>
            </w:r>
          </w:p>
        </w:tc>
        <w:tc>
          <w:tcPr>
            <w:tcW w:w="871" w:type="dxa"/>
            <w:vAlign w:val="center"/>
          </w:tcPr>
          <w:p w14:paraId="6B25314C">
            <w:pPr>
              <w:widowControl/>
              <w:jc w:val="center"/>
              <w:textAlignment w:val="center"/>
              <w:rPr>
                <w:rFonts w:hint="eastAsia" w:ascii="宋体" w:hAnsi="宋体" w:eastAsia="宋体" w:cs="宋体"/>
                <w:color w:val="auto"/>
                <w:kern w:val="0"/>
                <w:sz w:val="20"/>
                <w:szCs w:val="20"/>
                <w:highlight w:val="none"/>
              </w:rPr>
            </w:pPr>
            <w:r>
              <w:rPr>
                <w:rFonts w:hint="eastAsia" w:ascii="宋体" w:hAnsi="宋体" w:eastAsia="宋体" w:cs="Times New Roman"/>
                <w:color w:val="auto"/>
                <w:spacing w:val="4"/>
                <w:kern w:val="0"/>
                <w:sz w:val="20"/>
                <w:szCs w:val="20"/>
                <w:highlight w:val="none"/>
              </w:rPr>
              <w:t>石油类</w:t>
            </w:r>
          </w:p>
        </w:tc>
        <w:tc>
          <w:tcPr>
            <w:tcW w:w="1269" w:type="dxa"/>
            <w:vAlign w:val="center"/>
          </w:tcPr>
          <w:p w14:paraId="56CEABEB">
            <w:pPr>
              <w:jc w:val="center"/>
              <w:rPr>
                <w:rFonts w:hint="eastAsia" w:ascii="宋体" w:hAnsi="宋体" w:eastAsia="宋体" w:cs="宋体"/>
                <w:color w:val="auto"/>
                <w:kern w:val="0"/>
                <w:sz w:val="20"/>
                <w:szCs w:val="20"/>
                <w:highlight w:val="none"/>
              </w:rPr>
            </w:pPr>
            <w:r>
              <w:rPr>
                <w:rFonts w:hint="eastAsia" w:ascii="仿宋" w:hAnsi="仿宋" w:eastAsia="仿宋" w:cs="仿宋"/>
                <w:color w:val="auto"/>
                <w:sz w:val="20"/>
                <w:szCs w:val="20"/>
                <w:highlight w:val="none"/>
              </w:rPr>
              <w:t>≤0.</w:t>
            </w:r>
            <w:r>
              <w:rPr>
                <w:rFonts w:hint="eastAsia" w:ascii="仿宋" w:hAnsi="仿宋" w:eastAsia="仿宋" w:cs="仿宋"/>
                <w:color w:val="auto"/>
                <w:sz w:val="20"/>
                <w:szCs w:val="20"/>
                <w:highlight w:val="none"/>
                <w:lang w:val="en-US" w:eastAsia="zh-CN"/>
              </w:rPr>
              <w:t>0</w:t>
            </w:r>
            <w:r>
              <w:rPr>
                <w:rFonts w:hint="eastAsia" w:ascii="仿宋" w:hAnsi="仿宋" w:eastAsia="仿宋" w:cs="仿宋"/>
                <w:color w:val="auto"/>
                <w:sz w:val="20"/>
                <w:szCs w:val="20"/>
                <w:highlight w:val="none"/>
              </w:rPr>
              <w:t>5</w:t>
            </w:r>
            <w:r>
              <w:rPr>
                <w:rFonts w:hint="eastAsia" w:ascii="宋体" w:hAnsi="宋体" w:eastAsia="宋体" w:cs="宋体"/>
                <w:color w:val="auto"/>
                <w:sz w:val="20"/>
                <w:szCs w:val="20"/>
                <w:highlight w:val="none"/>
              </w:rPr>
              <w:t>mg/L</w:t>
            </w:r>
          </w:p>
        </w:tc>
        <w:tc>
          <w:tcPr>
            <w:tcW w:w="953" w:type="dxa"/>
            <w:vAlign w:val="center"/>
          </w:tcPr>
          <w:p w14:paraId="15DDBA09">
            <w:pPr>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手工</w:t>
            </w:r>
          </w:p>
        </w:tc>
        <w:tc>
          <w:tcPr>
            <w:tcW w:w="1002" w:type="dxa"/>
            <w:vAlign w:val="center"/>
          </w:tcPr>
          <w:p w14:paraId="2BBFAE70">
            <w:pPr>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3次/年</w:t>
            </w:r>
          </w:p>
        </w:tc>
        <w:tc>
          <w:tcPr>
            <w:tcW w:w="2736" w:type="dxa"/>
            <w:vAlign w:val="center"/>
          </w:tcPr>
          <w:p w14:paraId="507FC76C">
            <w:pPr>
              <w:jc w:val="center"/>
              <w:rPr>
                <w:rFonts w:hint="eastAsia" w:ascii="宋体" w:hAnsi="宋体" w:eastAsia="宋体" w:cs="宋体"/>
                <w:color w:val="auto"/>
                <w:kern w:val="0"/>
                <w:sz w:val="20"/>
                <w:szCs w:val="20"/>
                <w:highlight w:val="none"/>
              </w:rPr>
            </w:pPr>
            <w:r>
              <w:rPr>
                <w:rFonts w:hint="eastAsia" w:ascii="宋体" w:hAnsi="宋体" w:eastAsia="宋体" w:cs="Times New Roman"/>
                <w:color w:val="auto"/>
                <w:kern w:val="0"/>
                <w:sz w:val="20"/>
                <w:szCs w:val="20"/>
                <w:highlight w:val="none"/>
                <w:lang w:val="en-US" w:eastAsia="zh-CN"/>
              </w:rPr>
              <w:t>全自动红外测油仪QIL510A/YQ201806-S028</w:t>
            </w:r>
          </w:p>
        </w:tc>
        <w:tc>
          <w:tcPr>
            <w:tcW w:w="2163" w:type="dxa"/>
            <w:vAlign w:val="center"/>
          </w:tcPr>
          <w:p w14:paraId="290FCB00">
            <w:pPr>
              <w:jc w:val="center"/>
              <w:rPr>
                <w:rFonts w:hint="eastAsia" w:ascii="宋体" w:hAnsi="宋体" w:eastAsia="宋体" w:cs="宋体"/>
                <w:color w:val="auto"/>
                <w:kern w:val="0"/>
                <w:sz w:val="20"/>
                <w:szCs w:val="20"/>
                <w:highlight w:val="none"/>
              </w:rPr>
            </w:pPr>
            <w:r>
              <w:rPr>
                <w:rFonts w:hint="eastAsia" w:ascii="宋体" w:hAnsi="宋体" w:eastAsia="宋体" w:cs="Times New Roman"/>
                <w:color w:val="auto"/>
                <w:kern w:val="0"/>
                <w:sz w:val="20"/>
                <w:szCs w:val="20"/>
                <w:highlight w:val="none"/>
              </w:rPr>
              <w:t xml:space="preserve">水质 石油类的测定 紫外分光光度法 HJ </w:t>
            </w:r>
            <w:r>
              <w:rPr>
                <w:rFonts w:ascii="宋体" w:hAnsi="宋体" w:eastAsia="宋体" w:cs="Times New Roman"/>
                <w:color w:val="auto"/>
                <w:kern w:val="0"/>
                <w:sz w:val="20"/>
                <w:szCs w:val="20"/>
                <w:highlight w:val="none"/>
              </w:rPr>
              <w:t>970</w:t>
            </w:r>
            <w:r>
              <w:rPr>
                <w:rFonts w:hint="eastAsia" w:ascii="宋体" w:hAnsi="宋体" w:eastAsia="宋体" w:cs="Times New Roman"/>
                <w:color w:val="auto"/>
                <w:kern w:val="0"/>
                <w:sz w:val="20"/>
                <w:szCs w:val="20"/>
                <w:highlight w:val="none"/>
              </w:rPr>
              <w:t>-2018</w:t>
            </w:r>
          </w:p>
        </w:tc>
      </w:tr>
      <w:tr w14:paraId="728AF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91" w:type="dxa"/>
            <w:vAlign w:val="center"/>
          </w:tcPr>
          <w:p w14:paraId="34612509">
            <w:pPr>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地表水（入河排</w:t>
            </w:r>
            <w:r>
              <w:rPr>
                <w:rFonts w:ascii="宋体" w:hAnsi="宋体" w:eastAsia="宋体" w:cs="Times New Roman"/>
                <w:color w:val="auto"/>
                <w:kern w:val="0"/>
                <w:sz w:val="20"/>
                <w:szCs w:val="20"/>
                <w:highlight w:val="none"/>
              </w:rPr>
              <w:t>污口</w:t>
            </w:r>
            <w:r>
              <w:rPr>
                <w:rFonts w:hint="eastAsia" w:ascii="宋体" w:hAnsi="宋体" w:eastAsia="宋体" w:cs="Times New Roman"/>
                <w:color w:val="auto"/>
                <w:kern w:val="0"/>
                <w:sz w:val="20"/>
                <w:szCs w:val="20"/>
                <w:highlight w:val="none"/>
                <w:lang w:eastAsia="zh-CN"/>
              </w:rPr>
              <w:t>赣江</w:t>
            </w:r>
            <w:r>
              <w:rPr>
                <w:rFonts w:hint="eastAsia" w:ascii="宋体" w:hAnsi="宋体" w:eastAsia="宋体" w:cs="Times New Roman"/>
                <w:color w:val="auto"/>
                <w:kern w:val="0"/>
                <w:sz w:val="20"/>
                <w:szCs w:val="20"/>
                <w:highlight w:val="none"/>
              </w:rPr>
              <w:t>）</w:t>
            </w:r>
            <w:r>
              <w:rPr>
                <w:rFonts w:ascii="宋体" w:hAnsi="宋体" w:eastAsia="宋体" w:cs="Times New Roman"/>
                <w:color w:val="auto"/>
                <w:kern w:val="0"/>
                <w:sz w:val="20"/>
                <w:szCs w:val="20"/>
                <w:highlight w:val="none"/>
              </w:rPr>
              <w:t>上游0.5km</w:t>
            </w:r>
          </w:p>
        </w:tc>
        <w:tc>
          <w:tcPr>
            <w:tcW w:w="871" w:type="dxa"/>
            <w:vAlign w:val="center"/>
          </w:tcPr>
          <w:p w14:paraId="0DA26D19">
            <w:pPr>
              <w:widowControl/>
              <w:jc w:val="center"/>
              <w:textAlignment w:val="center"/>
              <w:rPr>
                <w:rFonts w:hint="eastAsia" w:ascii="宋体" w:hAnsi="宋体" w:eastAsia="宋体" w:cs="宋体"/>
                <w:color w:val="auto"/>
                <w:kern w:val="0"/>
                <w:sz w:val="20"/>
                <w:szCs w:val="20"/>
                <w:highlight w:val="none"/>
              </w:rPr>
            </w:pPr>
            <w:r>
              <w:rPr>
                <w:rFonts w:hint="eastAsia" w:ascii="宋体" w:hAnsi="宋体" w:eastAsia="宋体" w:cs="Times New Roman"/>
                <w:color w:val="auto"/>
                <w:spacing w:val="4"/>
                <w:kern w:val="0"/>
                <w:sz w:val="20"/>
                <w:szCs w:val="20"/>
                <w:highlight w:val="none"/>
              </w:rPr>
              <w:t>余氯</w:t>
            </w:r>
          </w:p>
        </w:tc>
        <w:tc>
          <w:tcPr>
            <w:tcW w:w="1269" w:type="dxa"/>
            <w:vAlign w:val="center"/>
          </w:tcPr>
          <w:p w14:paraId="6F86E396">
            <w:pPr>
              <w:jc w:val="center"/>
              <w:rPr>
                <w:rFonts w:hint="eastAsia" w:ascii="宋体" w:hAnsi="宋体" w:eastAsia="宋体" w:cs="宋体"/>
                <w:color w:val="auto"/>
                <w:kern w:val="0"/>
                <w:sz w:val="20"/>
                <w:szCs w:val="20"/>
                <w:highlight w:val="none"/>
              </w:rPr>
            </w:pPr>
          </w:p>
        </w:tc>
        <w:tc>
          <w:tcPr>
            <w:tcW w:w="953" w:type="dxa"/>
            <w:vAlign w:val="center"/>
          </w:tcPr>
          <w:p w14:paraId="5683D4AF">
            <w:pPr>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手工</w:t>
            </w:r>
          </w:p>
        </w:tc>
        <w:tc>
          <w:tcPr>
            <w:tcW w:w="1002" w:type="dxa"/>
            <w:vAlign w:val="center"/>
          </w:tcPr>
          <w:p w14:paraId="2CF5BFB7">
            <w:pPr>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3次/年</w:t>
            </w:r>
          </w:p>
        </w:tc>
        <w:tc>
          <w:tcPr>
            <w:tcW w:w="2736" w:type="dxa"/>
            <w:vAlign w:val="center"/>
          </w:tcPr>
          <w:p w14:paraId="0064B7AA">
            <w:pPr>
              <w:jc w:val="center"/>
              <w:rPr>
                <w:rFonts w:hint="default"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可见分光光度计</w:t>
            </w:r>
          </w:p>
        </w:tc>
        <w:tc>
          <w:tcPr>
            <w:tcW w:w="2163" w:type="dxa"/>
            <w:vAlign w:val="center"/>
          </w:tcPr>
          <w:p w14:paraId="24CBA62F">
            <w:pPr>
              <w:jc w:val="center"/>
              <w:rPr>
                <w:rFonts w:hint="default"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水质 游离氯和总氯的测定 N，N-二乙基-1，4-苯二胺分光光度法</w:t>
            </w:r>
          </w:p>
        </w:tc>
      </w:tr>
      <w:tr w14:paraId="5EBB8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blHeader/>
        </w:trPr>
        <w:tc>
          <w:tcPr>
            <w:tcW w:w="1991" w:type="dxa"/>
            <w:vAlign w:val="center"/>
          </w:tcPr>
          <w:p w14:paraId="4706BD02">
            <w:pPr>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监测点位</w:t>
            </w:r>
          </w:p>
        </w:tc>
        <w:tc>
          <w:tcPr>
            <w:tcW w:w="871" w:type="dxa"/>
            <w:vAlign w:val="center"/>
          </w:tcPr>
          <w:p w14:paraId="674D8D0D">
            <w:pPr>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监测指标</w:t>
            </w:r>
          </w:p>
        </w:tc>
        <w:tc>
          <w:tcPr>
            <w:tcW w:w="1269" w:type="dxa"/>
            <w:vAlign w:val="center"/>
          </w:tcPr>
          <w:p w14:paraId="172487BA">
            <w:pPr>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排放限值</w:t>
            </w:r>
          </w:p>
        </w:tc>
        <w:tc>
          <w:tcPr>
            <w:tcW w:w="953" w:type="dxa"/>
            <w:vAlign w:val="center"/>
          </w:tcPr>
          <w:p w14:paraId="7B4FA292">
            <w:pPr>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监测方式</w:t>
            </w:r>
          </w:p>
        </w:tc>
        <w:tc>
          <w:tcPr>
            <w:tcW w:w="1002" w:type="dxa"/>
            <w:vAlign w:val="center"/>
          </w:tcPr>
          <w:p w14:paraId="6864FE5A">
            <w:pPr>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监测频次</w:t>
            </w:r>
          </w:p>
        </w:tc>
        <w:tc>
          <w:tcPr>
            <w:tcW w:w="2736" w:type="dxa"/>
            <w:vAlign w:val="center"/>
          </w:tcPr>
          <w:p w14:paraId="7EEE7FF4">
            <w:pPr>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监测仪器</w:t>
            </w:r>
          </w:p>
        </w:tc>
        <w:tc>
          <w:tcPr>
            <w:tcW w:w="2163" w:type="dxa"/>
            <w:vAlign w:val="center"/>
          </w:tcPr>
          <w:p w14:paraId="7966B077">
            <w:pPr>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监测方法</w:t>
            </w:r>
          </w:p>
        </w:tc>
      </w:tr>
      <w:tr w14:paraId="473A5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91" w:type="dxa"/>
            <w:vAlign w:val="center"/>
          </w:tcPr>
          <w:p w14:paraId="4E87F1A6">
            <w:pPr>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地表水（入河排</w:t>
            </w:r>
            <w:r>
              <w:rPr>
                <w:rFonts w:ascii="宋体" w:hAnsi="宋体" w:eastAsia="宋体" w:cs="Times New Roman"/>
                <w:color w:val="auto"/>
                <w:kern w:val="0"/>
                <w:sz w:val="20"/>
                <w:szCs w:val="20"/>
                <w:highlight w:val="none"/>
              </w:rPr>
              <w:t>污口</w:t>
            </w:r>
            <w:r>
              <w:rPr>
                <w:rFonts w:hint="eastAsia" w:ascii="宋体" w:hAnsi="宋体" w:eastAsia="宋体" w:cs="Times New Roman"/>
                <w:color w:val="auto"/>
                <w:kern w:val="0"/>
                <w:sz w:val="20"/>
                <w:szCs w:val="20"/>
                <w:highlight w:val="none"/>
                <w:lang w:eastAsia="zh-CN"/>
              </w:rPr>
              <w:t>赣江</w:t>
            </w:r>
            <w:r>
              <w:rPr>
                <w:rFonts w:hint="eastAsia" w:ascii="宋体" w:hAnsi="宋体" w:eastAsia="宋体" w:cs="Times New Roman"/>
                <w:color w:val="auto"/>
                <w:kern w:val="0"/>
                <w:sz w:val="20"/>
                <w:szCs w:val="20"/>
                <w:highlight w:val="none"/>
              </w:rPr>
              <w:t>）下游1.5km）</w:t>
            </w:r>
          </w:p>
        </w:tc>
        <w:tc>
          <w:tcPr>
            <w:tcW w:w="871" w:type="dxa"/>
            <w:vAlign w:val="center"/>
          </w:tcPr>
          <w:p w14:paraId="6EFB4683">
            <w:pPr>
              <w:widowControl/>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pH值</w:t>
            </w:r>
          </w:p>
        </w:tc>
        <w:tc>
          <w:tcPr>
            <w:tcW w:w="1269" w:type="dxa"/>
            <w:vAlign w:val="center"/>
          </w:tcPr>
          <w:p w14:paraId="3E8A581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b w:val="0"/>
                <w:bCs w:val="0"/>
                <w:i w:val="0"/>
                <w:iCs w:val="0"/>
                <w:color w:val="auto"/>
                <w:kern w:val="0"/>
                <w:sz w:val="20"/>
                <w:szCs w:val="20"/>
                <w:highlight w:val="none"/>
                <w:u w:val="none"/>
                <w:lang w:val="en-US" w:eastAsia="zh-CN" w:bidi="ar"/>
              </w:rPr>
              <w:t>6-9</w:t>
            </w:r>
          </w:p>
        </w:tc>
        <w:tc>
          <w:tcPr>
            <w:tcW w:w="953" w:type="dxa"/>
            <w:vAlign w:val="center"/>
          </w:tcPr>
          <w:p w14:paraId="770CBF27">
            <w:pPr>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手工</w:t>
            </w:r>
          </w:p>
        </w:tc>
        <w:tc>
          <w:tcPr>
            <w:tcW w:w="1002" w:type="dxa"/>
            <w:vAlign w:val="center"/>
          </w:tcPr>
          <w:p w14:paraId="5C59E346">
            <w:pPr>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3次/年</w:t>
            </w:r>
          </w:p>
        </w:tc>
        <w:tc>
          <w:tcPr>
            <w:tcW w:w="2736" w:type="dxa"/>
            <w:vAlign w:val="center"/>
          </w:tcPr>
          <w:p w14:paraId="183CADD7">
            <w:pPr>
              <w:jc w:val="center"/>
              <w:rPr>
                <w:rFonts w:hint="eastAsia" w:ascii="宋体" w:hAnsi="宋体" w:eastAsia="宋体" w:cs="Times New Roman"/>
                <w:color w:val="auto"/>
                <w:kern w:val="0"/>
                <w:sz w:val="20"/>
                <w:szCs w:val="20"/>
                <w:highlight w:val="none"/>
                <w:lang w:val="en-US" w:eastAsia="zh-CN"/>
              </w:rPr>
            </w:pPr>
            <w:r>
              <w:rPr>
                <w:rFonts w:hint="eastAsia" w:ascii="宋体" w:hAnsi="宋体" w:eastAsia="宋体" w:cs="Times New Roman"/>
                <w:color w:val="auto"/>
                <w:kern w:val="0"/>
                <w:sz w:val="20"/>
                <w:szCs w:val="20"/>
                <w:highlight w:val="none"/>
                <w:lang w:val="en-US" w:eastAsia="zh-CN"/>
              </w:rPr>
              <w:t>PH计PHS-25型</w:t>
            </w:r>
          </w:p>
        </w:tc>
        <w:tc>
          <w:tcPr>
            <w:tcW w:w="2163" w:type="dxa"/>
            <w:vAlign w:val="center"/>
          </w:tcPr>
          <w:p w14:paraId="436AD134">
            <w:pPr>
              <w:jc w:val="center"/>
              <w:rPr>
                <w:rFonts w:ascii="宋体" w:hAnsi="宋体" w:eastAsia="宋体" w:cs="Times New Roman"/>
                <w:color w:val="auto"/>
                <w:kern w:val="0"/>
                <w:sz w:val="20"/>
                <w:szCs w:val="20"/>
                <w:highlight w:val="none"/>
              </w:rPr>
            </w:pPr>
            <w:r>
              <w:rPr>
                <w:rFonts w:hint="eastAsia" w:ascii="宋体" w:hAnsi="宋体" w:eastAsia="宋体" w:cs="Times New Roman"/>
                <w:color w:val="auto"/>
                <w:kern w:val="0"/>
                <w:sz w:val="20"/>
                <w:szCs w:val="20"/>
                <w:highlight w:val="none"/>
              </w:rPr>
              <w:t>水质 pH值的测定 电极法</w:t>
            </w:r>
          </w:p>
          <w:p w14:paraId="67818B47">
            <w:pPr>
              <w:widowControl/>
              <w:jc w:val="center"/>
              <w:textAlignment w:val="center"/>
              <w:rPr>
                <w:rFonts w:hint="eastAsia" w:ascii="宋体" w:hAnsi="宋体" w:eastAsia="宋体" w:cs="宋体"/>
                <w:color w:val="auto"/>
                <w:kern w:val="0"/>
                <w:sz w:val="20"/>
                <w:szCs w:val="20"/>
                <w:highlight w:val="none"/>
              </w:rPr>
            </w:pPr>
            <w:r>
              <w:rPr>
                <w:rFonts w:hint="eastAsia" w:ascii="宋体" w:hAnsi="宋体" w:eastAsia="宋体" w:cs="Times New Roman"/>
                <w:color w:val="auto"/>
                <w:kern w:val="0"/>
                <w:sz w:val="20"/>
                <w:szCs w:val="20"/>
                <w:highlight w:val="none"/>
              </w:rPr>
              <w:t>HJ 1147-2020</w:t>
            </w:r>
          </w:p>
        </w:tc>
      </w:tr>
      <w:tr w14:paraId="1E9F9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91" w:type="dxa"/>
            <w:vAlign w:val="center"/>
          </w:tcPr>
          <w:p w14:paraId="07D50096">
            <w:pPr>
              <w:jc w:val="center"/>
              <w:rPr>
                <w:rFonts w:ascii="宋体" w:hAnsi="宋体" w:eastAsia="宋体" w:cs="Times New Roman"/>
                <w:color w:val="auto"/>
                <w:kern w:val="0"/>
                <w:sz w:val="20"/>
                <w:szCs w:val="20"/>
                <w:highlight w:val="none"/>
              </w:rPr>
            </w:pPr>
            <w:r>
              <w:rPr>
                <w:rFonts w:hint="eastAsia" w:ascii="宋体" w:hAnsi="宋体" w:eastAsia="宋体" w:cs="宋体"/>
                <w:color w:val="auto"/>
                <w:kern w:val="0"/>
                <w:sz w:val="20"/>
                <w:szCs w:val="20"/>
                <w:highlight w:val="none"/>
              </w:rPr>
              <w:t>地表水（入河排</w:t>
            </w:r>
            <w:r>
              <w:rPr>
                <w:rFonts w:ascii="宋体" w:hAnsi="宋体" w:eastAsia="宋体" w:cs="Times New Roman"/>
                <w:color w:val="auto"/>
                <w:kern w:val="0"/>
                <w:sz w:val="20"/>
                <w:szCs w:val="20"/>
                <w:highlight w:val="none"/>
              </w:rPr>
              <w:t>污口</w:t>
            </w:r>
            <w:r>
              <w:rPr>
                <w:rFonts w:hint="eastAsia" w:ascii="宋体" w:hAnsi="宋体" w:eastAsia="宋体" w:cs="Times New Roman"/>
                <w:color w:val="auto"/>
                <w:kern w:val="0"/>
                <w:sz w:val="20"/>
                <w:szCs w:val="20"/>
                <w:highlight w:val="none"/>
                <w:lang w:eastAsia="zh-CN"/>
              </w:rPr>
              <w:t>赣江</w:t>
            </w:r>
            <w:r>
              <w:rPr>
                <w:rFonts w:hint="eastAsia" w:ascii="宋体" w:hAnsi="宋体" w:eastAsia="宋体" w:cs="Times New Roman"/>
                <w:color w:val="auto"/>
                <w:kern w:val="0"/>
                <w:sz w:val="20"/>
                <w:szCs w:val="20"/>
                <w:highlight w:val="none"/>
              </w:rPr>
              <w:t>）下游1.5km）</w:t>
            </w:r>
          </w:p>
        </w:tc>
        <w:tc>
          <w:tcPr>
            <w:tcW w:w="871" w:type="dxa"/>
            <w:vAlign w:val="center"/>
          </w:tcPr>
          <w:p w14:paraId="52FBE5C8">
            <w:pPr>
              <w:widowControl/>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悬浮物</w:t>
            </w:r>
          </w:p>
        </w:tc>
        <w:tc>
          <w:tcPr>
            <w:tcW w:w="1269" w:type="dxa"/>
            <w:vAlign w:val="center"/>
          </w:tcPr>
          <w:p w14:paraId="77A5C8A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b w:val="0"/>
                <w:bCs w:val="0"/>
                <w:i w:val="0"/>
                <w:iCs w:val="0"/>
                <w:color w:val="auto"/>
                <w:kern w:val="0"/>
                <w:sz w:val="20"/>
                <w:szCs w:val="20"/>
                <w:highlight w:val="none"/>
                <w:u w:val="none"/>
                <w:lang w:val="en-US" w:eastAsia="zh-CN" w:bidi="ar"/>
              </w:rPr>
              <w:t>/</w:t>
            </w:r>
          </w:p>
        </w:tc>
        <w:tc>
          <w:tcPr>
            <w:tcW w:w="953" w:type="dxa"/>
            <w:vAlign w:val="center"/>
          </w:tcPr>
          <w:p w14:paraId="5CF3F1B5">
            <w:pPr>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手工</w:t>
            </w:r>
          </w:p>
        </w:tc>
        <w:tc>
          <w:tcPr>
            <w:tcW w:w="1002" w:type="dxa"/>
            <w:vAlign w:val="center"/>
          </w:tcPr>
          <w:p w14:paraId="3907BA3A">
            <w:pPr>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3次/年</w:t>
            </w:r>
          </w:p>
        </w:tc>
        <w:tc>
          <w:tcPr>
            <w:tcW w:w="2736" w:type="dxa"/>
            <w:vAlign w:val="center"/>
          </w:tcPr>
          <w:p w14:paraId="26AB3EEE">
            <w:pPr>
              <w:jc w:val="center"/>
              <w:rPr>
                <w:rFonts w:hint="eastAsia" w:ascii="宋体" w:hAnsi="宋体" w:eastAsia="宋体" w:cs="Times New Roman"/>
                <w:color w:val="auto"/>
                <w:kern w:val="0"/>
                <w:sz w:val="20"/>
                <w:szCs w:val="20"/>
                <w:highlight w:val="none"/>
                <w:lang w:val="en-US" w:eastAsia="zh-CN"/>
              </w:rPr>
            </w:pPr>
            <w:r>
              <w:rPr>
                <w:rFonts w:hint="eastAsia" w:ascii="宋体" w:hAnsi="宋体" w:eastAsia="宋体" w:cs="Times New Roman"/>
                <w:color w:val="auto"/>
                <w:kern w:val="0"/>
                <w:sz w:val="20"/>
                <w:szCs w:val="20"/>
                <w:highlight w:val="none"/>
                <w:lang w:val="en-US" w:eastAsia="zh-CN"/>
              </w:rPr>
              <w:t>电子天平（万分之一）FA2104</w:t>
            </w:r>
          </w:p>
        </w:tc>
        <w:tc>
          <w:tcPr>
            <w:tcW w:w="2163" w:type="dxa"/>
            <w:vAlign w:val="center"/>
          </w:tcPr>
          <w:p w14:paraId="56EB108A">
            <w:pPr>
              <w:jc w:val="center"/>
              <w:rPr>
                <w:rFonts w:ascii="宋体" w:hAnsi="宋体" w:eastAsia="宋体" w:cs="Times New Roman"/>
                <w:color w:val="auto"/>
                <w:kern w:val="0"/>
                <w:sz w:val="20"/>
                <w:szCs w:val="20"/>
                <w:highlight w:val="none"/>
              </w:rPr>
            </w:pPr>
            <w:r>
              <w:rPr>
                <w:rFonts w:hint="eastAsia" w:ascii="宋体" w:hAnsi="宋体" w:eastAsia="宋体" w:cs="Times New Roman"/>
                <w:color w:val="auto"/>
                <w:kern w:val="0"/>
                <w:sz w:val="20"/>
                <w:szCs w:val="20"/>
                <w:highlight w:val="none"/>
              </w:rPr>
              <w:t>水质 悬浮物的测定 重量法</w:t>
            </w:r>
          </w:p>
          <w:p w14:paraId="735153B4">
            <w:pPr>
              <w:widowControl/>
              <w:jc w:val="center"/>
              <w:textAlignment w:val="center"/>
              <w:rPr>
                <w:rFonts w:hint="eastAsia" w:ascii="宋体" w:hAnsi="宋体" w:eastAsia="宋体" w:cs="宋体"/>
                <w:color w:val="auto"/>
                <w:kern w:val="0"/>
                <w:sz w:val="20"/>
                <w:szCs w:val="20"/>
                <w:highlight w:val="none"/>
              </w:rPr>
            </w:pPr>
            <w:r>
              <w:rPr>
                <w:rFonts w:hint="eastAsia" w:ascii="宋体" w:hAnsi="宋体" w:eastAsia="宋体" w:cs="Times New Roman"/>
                <w:color w:val="auto"/>
                <w:kern w:val="0"/>
                <w:sz w:val="20"/>
                <w:szCs w:val="20"/>
                <w:highlight w:val="none"/>
              </w:rPr>
              <w:t xml:space="preserve">GB </w:t>
            </w:r>
            <w:r>
              <w:rPr>
                <w:rFonts w:ascii="宋体" w:hAnsi="宋体" w:eastAsia="宋体" w:cs="Times New Roman"/>
                <w:color w:val="auto"/>
                <w:kern w:val="0"/>
                <w:sz w:val="20"/>
                <w:szCs w:val="20"/>
                <w:highlight w:val="none"/>
              </w:rPr>
              <w:t>1</w:t>
            </w:r>
            <w:r>
              <w:rPr>
                <w:rFonts w:hint="eastAsia" w:ascii="宋体" w:hAnsi="宋体" w:eastAsia="宋体" w:cs="Times New Roman"/>
                <w:color w:val="auto"/>
                <w:kern w:val="0"/>
                <w:sz w:val="20"/>
                <w:szCs w:val="20"/>
                <w:highlight w:val="none"/>
              </w:rPr>
              <w:t>1901-89</w:t>
            </w:r>
          </w:p>
        </w:tc>
      </w:tr>
      <w:tr w14:paraId="2724B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91" w:type="dxa"/>
            <w:vAlign w:val="center"/>
          </w:tcPr>
          <w:p w14:paraId="7D35F419">
            <w:pPr>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地表水（入河排</w:t>
            </w:r>
            <w:r>
              <w:rPr>
                <w:rFonts w:ascii="宋体" w:hAnsi="宋体" w:eastAsia="宋体" w:cs="Times New Roman"/>
                <w:color w:val="auto"/>
                <w:kern w:val="0"/>
                <w:sz w:val="20"/>
                <w:szCs w:val="20"/>
                <w:highlight w:val="none"/>
              </w:rPr>
              <w:t>污口</w:t>
            </w:r>
            <w:r>
              <w:rPr>
                <w:rFonts w:hint="eastAsia" w:ascii="宋体" w:hAnsi="宋体" w:eastAsia="宋体" w:cs="Times New Roman"/>
                <w:color w:val="auto"/>
                <w:kern w:val="0"/>
                <w:sz w:val="20"/>
                <w:szCs w:val="20"/>
                <w:highlight w:val="none"/>
                <w:lang w:eastAsia="zh-CN"/>
              </w:rPr>
              <w:t>赣江</w:t>
            </w:r>
            <w:r>
              <w:rPr>
                <w:rFonts w:hint="eastAsia" w:ascii="宋体" w:hAnsi="宋体" w:eastAsia="宋体" w:cs="Times New Roman"/>
                <w:color w:val="auto"/>
                <w:kern w:val="0"/>
                <w:sz w:val="20"/>
                <w:szCs w:val="20"/>
                <w:highlight w:val="none"/>
              </w:rPr>
              <w:t>）和下游1.5km）</w:t>
            </w:r>
          </w:p>
        </w:tc>
        <w:tc>
          <w:tcPr>
            <w:tcW w:w="871" w:type="dxa"/>
            <w:vAlign w:val="center"/>
          </w:tcPr>
          <w:p w14:paraId="569D5142">
            <w:pPr>
              <w:widowControl/>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化学需氧量</w:t>
            </w:r>
          </w:p>
        </w:tc>
        <w:tc>
          <w:tcPr>
            <w:tcW w:w="1269" w:type="dxa"/>
            <w:vAlign w:val="center"/>
          </w:tcPr>
          <w:p w14:paraId="30D943B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b w:val="0"/>
                <w:bCs w:val="0"/>
                <w:i w:val="0"/>
                <w:iCs w:val="0"/>
                <w:color w:val="auto"/>
                <w:kern w:val="0"/>
                <w:sz w:val="20"/>
                <w:szCs w:val="20"/>
                <w:highlight w:val="none"/>
                <w:u w:val="none"/>
                <w:lang w:val="en-US" w:eastAsia="zh-CN" w:bidi="ar"/>
              </w:rPr>
              <w:t>≤20mg/L</w:t>
            </w:r>
          </w:p>
        </w:tc>
        <w:tc>
          <w:tcPr>
            <w:tcW w:w="953" w:type="dxa"/>
            <w:vAlign w:val="center"/>
          </w:tcPr>
          <w:p w14:paraId="62E67CD1">
            <w:pPr>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手工</w:t>
            </w:r>
          </w:p>
        </w:tc>
        <w:tc>
          <w:tcPr>
            <w:tcW w:w="1002" w:type="dxa"/>
            <w:vAlign w:val="center"/>
          </w:tcPr>
          <w:p w14:paraId="5F83FDD0">
            <w:pPr>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3次/年</w:t>
            </w:r>
          </w:p>
        </w:tc>
        <w:tc>
          <w:tcPr>
            <w:tcW w:w="2736" w:type="dxa"/>
            <w:vAlign w:val="center"/>
          </w:tcPr>
          <w:p w14:paraId="3C0FEDCB">
            <w:pPr>
              <w:jc w:val="center"/>
              <w:rPr>
                <w:rFonts w:hint="eastAsia" w:ascii="宋体" w:hAnsi="宋体" w:eastAsia="宋体" w:cs="Times New Roman"/>
                <w:color w:val="auto"/>
                <w:kern w:val="0"/>
                <w:sz w:val="20"/>
                <w:szCs w:val="20"/>
                <w:highlight w:val="none"/>
                <w:lang w:val="en-US" w:eastAsia="zh-CN"/>
              </w:rPr>
            </w:pPr>
            <w:r>
              <w:rPr>
                <w:rFonts w:hint="eastAsia" w:ascii="宋体" w:hAnsi="宋体" w:eastAsia="宋体" w:cs="Times New Roman"/>
                <w:color w:val="auto"/>
                <w:kern w:val="0"/>
                <w:sz w:val="20"/>
                <w:szCs w:val="20"/>
                <w:highlight w:val="none"/>
                <w:lang w:val="en-US" w:eastAsia="zh-CN"/>
              </w:rPr>
              <w:t>COD消解仪 HCA-103</w:t>
            </w:r>
          </w:p>
        </w:tc>
        <w:tc>
          <w:tcPr>
            <w:tcW w:w="2163" w:type="dxa"/>
            <w:vAlign w:val="center"/>
          </w:tcPr>
          <w:p w14:paraId="7F2535CE">
            <w:pPr>
              <w:jc w:val="center"/>
              <w:rPr>
                <w:rFonts w:ascii="宋体" w:hAnsi="宋体" w:eastAsia="宋体" w:cs="Times New Roman"/>
                <w:color w:val="auto"/>
                <w:kern w:val="0"/>
                <w:sz w:val="20"/>
                <w:szCs w:val="20"/>
                <w:highlight w:val="none"/>
              </w:rPr>
            </w:pPr>
            <w:r>
              <w:rPr>
                <w:rFonts w:hint="eastAsia" w:ascii="宋体" w:hAnsi="宋体" w:eastAsia="宋体" w:cs="Times New Roman"/>
                <w:color w:val="auto"/>
                <w:kern w:val="0"/>
                <w:sz w:val="20"/>
                <w:szCs w:val="20"/>
                <w:highlight w:val="none"/>
              </w:rPr>
              <w:t>水质 化学需氧量的测定 重铬酸盐法</w:t>
            </w:r>
          </w:p>
          <w:p w14:paraId="72A1B21B">
            <w:pPr>
              <w:widowControl/>
              <w:jc w:val="center"/>
              <w:textAlignment w:val="center"/>
              <w:rPr>
                <w:rFonts w:hint="eastAsia" w:ascii="宋体" w:hAnsi="宋体" w:eastAsia="宋体" w:cs="宋体"/>
                <w:color w:val="auto"/>
                <w:kern w:val="0"/>
                <w:sz w:val="20"/>
                <w:szCs w:val="20"/>
                <w:highlight w:val="none"/>
              </w:rPr>
            </w:pPr>
            <w:r>
              <w:rPr>
                <w:rFonts w:hint="eastAsia" w:ascii="宋体" w:hAnsi="宋体" w:eastAsia="宋体" w:cs="Times New Roman"/>
                <w:color w:val="auto"/>
                <w:kern w:val="0"/>
                <w:sz w:val="20"/>
                <w:szCs w:val="20"/>
                <w:highlight w:val="none"/>
              </w:rPr>
              <w:t>HJ 828-2017</w:t>
            </w:r>
          </w:p>
        </w:tc>
      </w:tr>
      <w:tr w14:paraId="20169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91" w:type="dxa"/>
            <w:vAlign w:val="center"/>
          </w:tcPr>
          <w:p w14:paraId="7EB1B8F6">
            <w:pPr>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地表水（入河排</w:t>
            </w:r>
            <w:r>
              <w:rPr>
                <w:rFonts w:ascii="宋体" w:hAnsi="宋体" w:eastAsia="宋体" w:cs="Times New Roman"/>
                <w:color w:val="auto"/>
                <w:kern w:val="0"/>
                <w:sz w:val="20"/>
                <w:szCs w:val="20"/>
                <w:highlight w:val="none"/>
              </w:rPr>
              <w:t>污口</w:t>
            </w:r>
            <w:r>
              <w:rPr>
                <w:rFonts w:hint="eastAsia" w:ascii="宋体" w:hAnsi="宋体" w:eastAsia="宋体" w:cs="Times New Roman"/>
                <w:color w:val="auto"/>
                <w:kern w:val="0"/>
                <w:sz w:val="20"/>
                <w:szCs w:val="20"/>
                <w:highlight w:val="none"/>
                <w:lang w:eastAsia="zh-CN"/>
              </w:rPr>
              <w:t>赣江</w:t>
            </w:r>
            <w:r>
              <w:rPr>
                <w:rFonts w:hint="eastAsia" w:ascii="宋体" w:hAnsi="宋体" w:eastAsia="宋体" w:cs="Times New Roman"/>
                <w:color w:val="auto"/>
                <w:kern w:val="0"/>
                <w:sz w:val="20"/>
                <w:szCs w:val="20"/>
                <w:highlight w:val="none"/>
              </w:rPr>
              <w:t>）和下游1.5km）</w:t>
            </w:r>
          </w:p>
        </w:tc>
        <w:tc>
          <w:tcPr>
            <w:tcW w:w="871" w:type="dxa"/>
            <w:vAlign w:val="center"/>
          </w:tcPr>
          <w:p w14:paraId="706CE38F">
            <w:pPr>
              <w:widowControl/>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五日生化需氧量</w:t>
            </w:r>
          </w:p>
        </w:tc>
        <w:tc>
          <w:tcPr>
            <w:tcW w:w="1269" w:type="dxa"/>
            <w:vAlign w:val="center"/>
          </w:tcPr>
          <w:p w14:paraId="49D96C5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b w:val="0"/>
                <w:bCs w:val="0"/>
                <w:i w:val="0"/>
                <w:iCs w:val="0"/>
                <w:color w:val="auto"/>
                <w:kern w:val="0"/>
                <w:sz w:val="20"/>
                <w:szCs w:val="20"/>
                <w:highlight w:val="none"/>
                <w:u w:val="none"/>
                <w:lang w:val="en-US" w:eastAsia="zh-CN" w:bidi="ar"/>
              </w:rPr>
              <w:t>≤4mg/L</w:t>
            </w:r>
          </w:p>
        </w:tc>
        <w:tc>
          <w:tcPr>
            <w:tcW w:w="953" w:type="dxa"/>
            <w:vAlign w:val="center"/>
          </w:tcPr>
          <w:p w14:paraId="4F08D615">
            <w:pPr>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手工</w:t>
            </w:r>
          </w:p>
        </w:tc>
        <w:tc>
          <w:tcPr>
            <w:tcW w:w="1002" w:type="dxa"/>
            <w:vAlign w:val="center"/>
          </w:tcPr>
          <w:p w14:paraId="675F5E04">
            <w:pPr>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3次/年</w:t>
            </w:r>
          </w:p>
        </w:tc>
        <w:tc>
          <w:tcPr>
            <w:tcW w:w="2736" w:type="dxa"/>
            <w:vAlign w:val="center"/>
          </w:tcPr>
          <w:p w14:paraId="63A5CA5B">
            <w:pPr>
              <w:jc w:val="center"/>
              <w:rPr>
                <w:rFonts w:hint="eastAsia" w:ascii="宋体" w:hAnsi="宋体" w:eastAsia="宋体" w:cs="Times New Roman"/>
                <w:color w:val="auto"/>
                <w:kern w:val="0"/>
                <w:sz w:val="20"/>
                <w:szCs w:val="20"/>
                <w:highlight w:val="none"/>
                <w:lang w:val="en-US" w:eastAsia="zh-CN"/>
              </w:rPr>
            </w:pPr>
            <w:r>
              <w:rPr>
                <w:rFonts w:hint="eastAsia" w:ascii="宋体" w:hAnsi="宋体" w:eastAsia="宋体" w:cs="Times New Roman"/>
                <w:color w:val="auto"/>
                <w:kern w:val="0"/>
                <w:sz w:val="20"/>
                <w:szCs w:val="20"/>
                <w:highlight w:val="none"/>
                <w:lang w:val="en-US" w:eastAsia="zh-CN"/>
              </w:rPr>
              <w:t>生化培养箱SHP-250</w:t>
            </w:r>
          </w:p>
        </w:tc>
        <w:tc>
          <w:tcPr>
            <w:tcW w:w="2163" w:type="dxa"/>
            <w:vAlign w:val="center"/>
          </w:tcPr>
          <w:p w14:paraId="0A04040F">
            <w:pPr>
              <w:widowControl/>
              <w:jc w:val="center"/>
              <w:textAlignment w:val="center"/>
              <w:rPr>
                <w:rFonts w:hint="eastAsia" w:ascii="宋体" w:hAnsi="宋体" w:eastAsia="宋体" w:cs="宋体"/>
                <w:color w:val="auto"/>
                <w:kern w:val="0"/>
                <w:sz w:val="20"/>
                <w:szCs w:val="20"/>
                <w:highlight w:val="none"/>
              </w:rPr>
            </w:pPr>
            <w:r>
              <w:rPr>
                <w:rFonts w:hint="eastAsia" w:ascii="宋体" w:hAnsi="宋体" w:eastAsia="宋体" w:cs="Times New Roman"/>
                <w:color w:val="auto"/>
                <w:kern w:val="0"/>
                <w:sz w:val="20"/>
                <w:szCs w:val="20"/>
                <w:highlight w:val="none"/>
              </w:rPr>
              <w:t>水质 五日生化需氧量的测定 稀释与接种法 HJ 505-2009</w:t>
            </w:r>
          </w:p>
        </w:tc>
      </w:tr>
      <w:tr w14:paraId="49E52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91" w:type="dxa"/>
            <w:vAlign w:val="center"/>
          </w:tcPr>
          <w:p w14:paraId="21332566">
            <w:pPr>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地表水（入河排</w:t>
            </w:r>
            <w:r>
              <w:rPr>
                <w:rFonts w:ascii="宋体" w:hAnsi="宋体" w:eastAsia="宋体" w:cs="Times New Roman"/>
                <w:color w:val="auto"/>
                <w:kern w:val="0"/>
                <w:sz w:val="20"/>
                <w:szCs w:val="20"/>
                <w:highlight w:val="none"/>
              </w:rPr>
              <w:t>污口</w:t>
            </w:r>
            <w:r>
              <w:rPr>
                <w:rFonts w:hint="eastAsia" w:ascii="宋体" w:hAnsi="宋体" w:eastAsia="宋体" w:cs="Times New Roman"/>
                <w:color w:val="auto"/>
                <w:kern w:val="0"/>
                <w:sz w:val="20"/>
                <w:szCs w:val="20"/>
                <w:highlight w:val="none"/>
                <w:lang w:eastAsia="zh-CN"/>
              </w:rPr>
              <w:t>赣江</w:t>
            </w:r>
            <w:r>
              <w:rPr>
                <w:rFonts w:hint="eastAsia" w:ascii="宋体" w:hAnsi="宋体" w:eastAsia="宋体" w:cs="Times New Roman"/>
                <w:color w:val="auto"/>
                <w:kern w:val="0"/>
                <w:sz w:val="20"/>
                <w:szCs w:val="20"/>
                <w:highlight w:val="none"/>
              </w:rPr>
              <w:t>）下游1.5km）</w:t>
            </w:r>
          </w:p>
        </w:tc>
        <w:tc>
          <w:tcPr>
            <w:tcW w:w="871" w:type="dxa"/>
            <w:vAlign w:val="center"/>
          </w:tcPr>
          <w:p w14:paraId="2908268B">
            <w:pPr>
              <w:widowControl/>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氨氮</w:t>
            </w:r>
          </w:p>
        </w:tc>
        <w:tc>
          <w:tcPr>
            <w:tcW w:w="1269" w:type="dxa"/>
            <w:vAlign w:val="center"/>
          </w:tcPr>
          <w:p w14:paraId="580EEF0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b w:val="0"/>
                <w:bCs w:val="0"/>
                <w:i w:val="0"/>
                <w:iCs w:val="0"/>
                <w:color w:val="auto"/>
                <w:kern w:val="0"/>
                <w:sz w:val="20"/>
                <w:szCs w:val="20"/>
                <w:highlight w:val="none"/>
                <w:u w:val="none"/>
                <w:lang w:val="en-US" w:eastAsia="zh-CN" w:bidi="ar"/>
              </w:rPr>
              <w:t>≤1.0mg/L</w:t>
            </w:r>
          </w:p>
        </w:tc>
        <w:tc>
          <w:tcPr>
            <w:tcW w:w="953" w:type="dxa"/>
            <w:vAlign w:val="center"/>
          </w:tcPr>
          <w:p w14:paraId="39F2FF9A">
            <w:pPr>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手工</w:t>
            </w:r>
          </w:p>
        </w:tc>
        <w:tc>
          <w:tcPr>
            <w:tcW w:w="1002" w:type="dxa"/>
            <w:vAlign w:val="center"/>
          </w:tcPr>
          <w:p w14:paraId="5D5692F4">
            <w:pPr>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3次/年</w:t>
            </w:r>
          </w:p>
        </w:tc>
        <w:tc>
          <w:tcPr>
            <w:tcW w:w="2736" w:type="dxa"/>
            <w:vAlign w:val="center"/>
          </w:tcPr>
          <w:p w14:paraId="3CABBC57">
            <w:pPr>
              <w:jc w:val="center"/>
              <w:rPr>
                <w:rFonts w:hint="eastAsia" w:ascii="宋体" w:hAnsi="宋体" w:eastAsia="宋体" w:cs="Times New Roman"/>
                <w:color w:val="auto"/>
                <w:kern w:val="0"/>
                <w:sz w:val="20"/>
                <w:szCs w:val="20"/>
                <w:highlight w:val="none"/>
                <w:lang w:val="en-US" w:eastAsia="zh-CN"/>
              </w:rPr>
            </w:pPr>
            <w:r>
              <w:rPr>
                <w:rFonts w:hint="eastAsia" w:ascii="宋体" w:hAnsi="宋体" w:eastAsia="宋体" w:cs="Times New Roman"/>
                <w:color w:val="auto"/>
                <w:kern w:val="0"/>
                <w:sz w:val="20"/>
                <w:szCs w:val="20"/>
                <w:highlight w:val="none"/>
                <w:lang w:val="en-US" w:eastAsia="zh-CN"/>
              </w:rPr>
              <w:t>紫外分光光度计UV-5100</w:t>
            </w:r>
          </w:p>
        </w:tc>
        <w:tc>
          <w:tcPr>
            <w:tcW w:w="2163" w:type="dxa"/>
            <w:vAlign w:val="center"/>
          </w:tcPr>
          <w:p w14:paraId="341B8D03">
            <w:pPr>
              <w:jc w:val="center"/>
              <w:rPr>
                <w:rFonts w:ascii="宋体" w:hAnsi="宋体" w:eastAsia="宋体" w:cs="Times New Roman"/>
                <w:color w:val="auto"/>
                <w:kern w:val="0"/>
                <w:sz w:val="20"/>
                <w:szCs w:val="20"/>
                <w:highlight w:val="none"/>
              </w:rPr>
            </w:pPr>
            <w:r>
              <w:rPr>
                <w:rFonts w:hint="eastAsia" w:ascii="宋体" w:hAnsi="宋体" w:eastAsia="宋体" w:cs="Times New Roman"/>
                <w:color w:val="auto"/>
                <w:kern w:val="0"/>
                <w:sz w:val="20"/>
                <w:szCs w:val="20"/>
                <w:highlight w:val="none"/>
              </w:rPr>
              <w:t>水质 氨氮的测定 纳氏试剂分光光度法</w:t>
            </w:r>
          </w:p>
          <w:p w14:paraId="0E3AB554">
            <w:pPr>
              <w:widowControl/>
              <w:jc w:val="center"/>
              <w:textAlignment w:val="center"/>
              <w:rPr>
                <w:rFonts w:hint="eastAsia" w:ascii="宋体" w:hAnsi="宋体" w:eastAsia="宋体" w:cs="宋体"/>
                <w:color w:val="auto"/>
                <w:kern w:val="0"/>
                <w:sz w:val="20"/>
                <w:szCs w:val="20"/>
                <w:highlight w:val="none"/>
              </w:rPr>
            </w:pPr>
            <w:r>
              <w:rPr>
                <w:rFonts w:hint="eastAsia" w:ascii="宋体" w:hAnsi="宋体" w:eastAsia="宋体" w:cs="Times New Roman"/>
                <w:color w:val="auto"/>
                <w:kern w:val="0"/>
                <w:sz w:val="20"/>
                <w:szCs w:val="20"/>
                <w:highlight w:val="none"/>
              </w:rPr>
              <w:t>HJ 535-2009</w:t>
            </w:r>
          </w:p>
        </w:tc>
      </w:tr>
      <w:tr w14:paraId="1FAE8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91" w:type="dxa"/>
            <w:vAlign w:val="center"/>
          </w:tcPr>
          <w:p w14:paraId="0C191EE3">
            <w:pPr>
              <w:jc w:val="center"/>
              <w:rPr>
                <w:rFonts w:ascii="宋体" w:hAnsi="宋体" w:eastAsia="宋体" w:cs="Times New Roman"/>
                <w:color w:val="auto"/>
                <w:kern w:val="0"/>
                <w:sz w:val="20"/>
                <w:szCs w:val="20"/>
                <w:highlight w:val="none"/>
              </w:rPr>
            </w:pPr>
            <w:r>
              <w:rPr>
                <w:rFonts w:hint="eastAsia" w:ascii="宋体" w:hAnsi="宋体" w:eastAsia="宋体" w:cs="宋体"/>
                <w:color w:val="auto"/>
                <w:kern w:val="0"/>
                <w:sz w:val="20"/>
                <w:szCs w:val="20"/>
                <w:highlight w:val="none"/>
              </w:rPr>
              <w:t>地表水（入河排</w:t>
            </w:r>
            <w:r>
              <w:rPr>
                <w:rFonts w:ascii="宋体" w:hAnsi="宋体" w:eastAsia="宋体" w:cs="Times New Roman"/>
                <w:color w:val="auto"/>
                <w:kern w:val="0"/>
                <w:sz w:val="20"/>
                <w:szCs w:val="20"/>
                <w:highlight w:val="none"/>
              </w:rPr>
              <w:t>污口</w:t>
            </w:r>
            <w:r>
              <w:rPr>
                <w:rFonts w:hint="eastAsia" w:ascii="宋体" w:hAnsi="宋体" w:eastAsia="宋体" w:cs="Times New Roman"/>
                <w:color w:val="auto"/>
                <w:kern w:val="0"/>
                <w:sz w:val="20"/>
                <w:szCs w:val="20"/>
                <w:highlight w:val="none"/>
                <w:lang w:eastAsia="zh-CN"/>
              </w:rPr>
              <w:t>赣江</w:t>
            </w:r>
            <w:r>
              <w:rPr>
                <w:rFonts w:hint="eastAsia" w:ascii="宋体" w:hAnsi="宋体" w:eastAsia="宋体" w:cs="Times New Roman"/>
                <w:color w:val="auto"/>
                <w:kern w:val="0"/>
                <w:sz w:val="20"/>
                <w:szCs w:val="20"/>
                <w:highlight w:val="none"/>
              </w:rPr>
              <w:t>）下游1.5km）</w:t>
            </w:r>
          </w:p>
        </w:tc>
        <w:tc>
          <w:tcPr>
            <w:tcW w:w="871" w:type="dxa"/>
            <w:vAlign w:val="center"/>
          </w:tcPr>
          <w:p w14:paraId="29062DCE">
            <w:pPr>
              <w:widowControl/>
              <w:jc w:val="center"/>
              <w:textAlignment w:val="center"/>
              <w:rPr>
                <w:rFonts w:hint="eastAsia" w:ascii="宋体" w:hAnsi="宋体" w:eastAsia="宋体" w:cs="宋体"/>
                <w:color w:val="auto"/>
                <w:kern w:val="0"/>
                <w:sz w:val="20"/>
                <w:szCs w:val="20"/>
                <w:highlight w:val="none"/>
              </w:rPr>
            </w:pPr>
            <w:r>
              <w:rPr>
                <w:rFonts w:hint="eastAsia" w:ascii="宋体" w:hAnsi="宋体" w:eastAsia="宋体" w:cs="Times New Roman"/>
                <w:color w:val="auto"/>
                <w:spacing w:val="4"/>
                <w:kern w:val="0"/>
                <w:sz w:val="20"/>
                <w:szCs w:val="20"/>
                <w:highlight w:val="none"/>
              </w:rPr>
              <w:t>总磷</w:t>
            </w:r>
          </w:p>
        </w:tc>
        <w:tc>
          <w:tcPr>
            <w:tcW w:w="1269" w:type="dxa"/>
            <w:vAlign w:val="center"/>
          </w:tcPr>
          <w:p w14:paraId="03EDC19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b w:val="0"/>
                <w:bCs w:val="0"/>
                <w:i w:val="0"/>
                <w:iCs w:val="0"/>
                <w:color w:val="auto"/>
                <w:kern w:val="0"/>
                <w:sz w:val="20"/>
                <w:szCs w:val="20"/>
                <w:highlight w:val="none"/>
                <w:u w:val="none"/>
                <w:lang w:val="en-US" w:eastAsia="zh-CN" w:bidi="ar"/>
              </w:rPr>
              <w:t>≤0.2mg/L</w:t>
            </w:r>
          </w:p>
        </w:tc>
        <w:tc>
          <w:tcPr>
            <w:tcW w:w="953" w:type="dxa"/>
            <w:vAlign w:val="center"/>
          </w:tcPr>
          <w:p w14:paraId="4820A63C">
            <w:pPr>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手工</w:t>
            </w:r>
          </w:p>
        </w:tc>
        <w:tc>
          <w:tcPr>
            <w:tcW w:w="1002" w:type="dxa"/>
            <w:vAlign w:val="center"/>
          </w:tcPr>
          <w:p w14:paraId="22D9177D">
            <w:pPr>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3次/年</w:t>
            </w:r>
          </w:p>
        </w:tc>
        <w:tc>
          <w:tcPr>
            <w:tcW w:w="2736" w:type="dxa"/>
            <w:vAlign w:val="center"/>
          </w:tcPr>
          <w:p w14:paraId="05181577">
            <w:pPr>
              <w:jc w:val="center"/>
              <w:rPr>
                <w:rFonts w:hint="eastAsia" w:ascii="宋体" w:hAnsi="宋体" w:eastAsia="宋体" w:cs="Times New Roman"/>
                <w:color w:val="auto"/>
                <w:kern w:val="0"/>
                <w:sz w:val="20"/>
                <w:szCs w:val="20"/>
                <w:highlight w:val="none"/>
                <w:lang w:val="en-US" w:eastAsia="zh-CN"/>
              </w:rPr>
            </w:pPr>
            <w:r>
              <w:rPr>
                <w:rFonts w:hint="eastAsia" w:ascii="宋体" w:hAnsi="宋体" w:eastAsia="宋体" w:cs="Times New Roman"/>
                <w:color w:val="auto"/>
                <w:kern w:val="0"/>
                <w:sz w:val="20"/>
                <w:szCs w:val="20"/>
                <w:highlight w:val="none"/>
                <w:lang w:val="en-US" w:eastAsia="zh-CN"/>
              </w:rPr>
              <w:t>紫外分光光度计UV-5100</w:t>
            </w:r>
          </w:p>
        </w:tc>
        <w:tc>
          <w:tcPr>
            <w:tcW w:w="2163" w:type="dxa"/>
            <w:vAlign w:val="center"/>
          </w:tcPr>
          <w:p w14:paraId="49F2CFB4">
            <w:pPr>
              <w:jc w:val="center"/>
              <w:rPr>
                <w:rFonts w:ascii="宋体" w:hAnsi="宋体" w:eastAsia="宋体" w:cs="Times New Roman"/>
                <w:color w:val="auto"/>
                <w:kern w:val="0"/>
                <w:sz w:val="20"/>
                <w:szCs w:val="20"/>
                <w:highlight w:val="none"/>
              </w:rPr>
            </w:pPr>
            <w:r>
              <w:rPr>
                <w:rFonts w:hint="eastAsia" w:ascii="宋体" w:hAnsi="宋体" w:eastAsia="宋体" w:cs="Times New Roman"/>
                <w:color w:val="auto"/>
                <w:kern w:val="0"/>
                <w:sz w:val="20"/>
                <w:szCs w:val="20"/>
                <w:highlight w:val="none"/>
              </w:rPr>
              <w:t>水质 总磷的测定 钼酸铵分光光度法</w:t>
            </w:r>
          </w:p>
          <w:p w14:paraId="4584E8A6">
            <w:pPr>
              <w:jc w:val="center"/>
              <w:rPr>
                <w:rFonts w:hint="eastAsia" w:ascii="宋体" w:hAnsi="宋体" w:eastAsia="宋体" w:cs="宋体"/>
                <w:color w:val="auto"/>
                <w:kern w:val="0"/>
                <w:sz w:val="20"/>
                <w:szCs w:val="20"/>
                <w:highlight w:val="none"/>
              </w:rPr>
            </w:pPr>
            <w:r>
              <w:rPr>
                <w:rFonts w:hint="eastAsia" w:ascii="宋体" w:hAnsi="宋体" w:eastAsia="宋体" w:cs="Times New Roman"/>
                <w:color w:val="auto"/>
                <w:kern w:val="0"/>
                <w:sz w:val="20"/>
                <w:szCs w:val="20"/>
                <w:highlight w:val="none"/>
              </w:rPr>
              <w:t>GB 11893-89</w:t>
            </w:r>
          </w:p>
        </w:tc>
      </w:tr>
      <w:tr w14:paraId="2D44C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91" w:type="dxa"/>
            <w:vAlign w:val="center"/>
          </w:tcPr>
          <w:p w14:paraId="022AAE92">
            <w:pPr>
              <w:rPr>
                <w:rFonts w:ascii="宋体" w:hAnsi="宋体" w:eastAsia="宋体" w:cs="Times New Roman"/>
                <w:color w:val="auto"/>
                <w:kern w:val="0"/>
                <w:sz w:val="20"/>
                <w:szCs w:val="20"/>
                <w:highlight w:val="none"/>
              </w:rPr>
            </w:pPr>
            <w:r>
              <w:rPr>
                <w:rFonts w:hint="eastAsia" w:ascii="宋体" w:hAnsi="宋体" w:eastAsia="宋体" w:cs="宋体"/>
                <w:color w:val="auto"/>
                <w:kern w:val="0"/>
                <w:sz w:val="20"/>
                <w:szCs w:val="20"/>
                <w:highlight w:val="none"/>
              </w:rPr>
              <w:t>地表水（入河排</w:t>
            </w:r>
            <w:r>
              <w:rPr>
                <w:rFonts w:ascii="宋体" w:hAnsi="宋体" w:eastAsia="宋体" w:cs="Times New Roman"/>
                <w:color w:val="auto"/>
                <w:kern w:val="0"/>
                <w:sz w:val="20"/>
                <w:szCs w:val="20"/>
                <w:highlight w:val="none"/>
              </w:rPr>
              <w:t>污口</w:t>
            </w:r>
            <w:r>
              <w:rPr>
                <w:rFonts w:hint="eastAsia" w:ascii="宋体" w:hAnsi="宋体" w:eastAsia="宋体" w:cs="Times New Roman"/>
                <w:color w:val="auto"/>
                <w:kern w:val="0"/>
                <w:sz w:val="20"/>
                <w:szCs w:val="20"/>
                <w:highlight w:val="none"/>
                <w:lang w:eastAsia="zh-CN"/>
              </w:rPr>
              <w:t>赣江</w:t>
            </w:r>
            <w:r>
              <w:rPr>
                <w:rFonts w:hint="eastAsia" w:ascii="宋体" w:hAnsi="宋体" w:eastAsia="宋体" w:cs="Times New Roman"/>
                <w:color w:val="auto"/>
                <w:kern w:val="0"/>
                <w:sz w:val="20"/>
                <w:szCs w:val="20"/>
                <w:highlight w:val="none"/>
              </w:rPr>
              <w:t>）下游1.5km）</w:t>
            </w:r>
          </w:p>
        </w:tc>
        <w:tc>
          <w:tcPr>
            <w:tcW w:w="871" w:type="dxa"/>
            <w:vAlign w:val="center"/>
          </w:tcPr>
          <w:p w14:paraId="145927A3">
            <w:pPr>
              <w:widowControl/>
              <w:jc w:val="center"/>
              <w:textAlignment w:val="center"/>
              <w:rPr>
                <w:rFonts w:hint="eastAsia" w:ascii="宋体" w:hAnsi="宋体" w:eastAsia="宋体" w:cs="宋体"/>
                <w:color w:val="auto"/>
                <w:kern w:val="0"/>
                <w:sz w:val="20"/>
                <w:szCs w:val="20"/>
                <w:highlight w:val="none"/>
              </w:rPr>
            </w:pPr>
            <w:r>
              <w:rPr>
                <w:rFonts w:hint="eastAsia" w:ascii="宋体" w:hAnsi="宋体" w:eastAsia="宋体" w:cs="Times New Roman"/>
                <w:color w:val="auto"/>
                <w:spacing w:val="4"/>
                <w:kern w:val="0"/>
                <w:sz w:val="20"/>
                <w:szCs w:val="20"/>
                <w:highlight w:val="none"/>
              </w:rPr>
              <w:t>总氮</w:t>
            </w:r>
          </w:p>
        </w:tc>
        <w:tc>
          <w:tcPr>
            <w:tcW w:w="1269" w:type="dxa"/>
            <w:vAlign w:val="center"/>
          </w:tcPr>
          <w:p w14:paraId="2465C91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b w:val="0"/>
                <w:bCs w:val="0"/>
                <w:i w:val="0"/>
                <w:iCs w:val="0"/>
                <w:color w:val="auto"/>
                <w:kern w:val="0"/>
                <w:sz w:val="20"/>
                <w:szCs w:val="20"/>
                <w:highlight w:val="none"/>
                <w:u w:val="none"/>
                <w:lang w:val="en-US" w:eastAsia="zh-CN" w:bidi="ar"/>
              </w:rPr>
              <w:t>≤1.0mg/L</w:t>
            </w:r>
          </w:p>
        </w:tc>
        <w:tc>
          <w:tcPr>
            <w:tcW w:w="953" w:type="dxa"/>
            <w:vAlign w:val="center"/>
          </w:tcPr>
          <w:p w14:paraId="608E8A14">
            <w:pPr>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手工</w:t>
            </w:r>
          </w:p>
        </w:tc>
        <w:tc>
          <w:tcPr>
            <w:tcW w:w="1002" w:type="dxa"/>
            <w:vAlign w:val="center"/>
          </w:tcPr>
          <w:p w14:paraId="65ACD923">
            <w:pPr>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3次/年</w:t>
            </w:r>
          </w:p>
        </w:tc>
        <w:tc>
          <w:tcPr>
            <w:tcW w:w="2736" w:type="dxa"/>
            <w:vAlign w:val="center"/>
          </w:tcPr>
          <w:p w14:paraId="2FEE44DA">
            <w:pPr>
              <w:jc w:val="center"/>
              <w:rPr>
                <w:rFonts w:hint="eastAsia" w:ascii="宋体" w:hAnsi="宋体" w:eastAsia="宋体" w:cs="Times New Roman"/>
                <w:color w:val="auto"/>
                <w:kern w:val="0"/>
                <w:sz w:val="20"/>
                <w:szCs w:val="20"/>
                <w:highlight w:val="none"/>
                <w:lang w:val="en-US" w:eastAsia="zh-CN"/>
              </w:rPr>
            </w:pPr>
            <w:r>
              <w:rPr>
                <w:rFonts w:hint="eastAsia" w:ascii="宋体" w:hAnsi="宋体" w:eastAsia="宋体" w:cs="Times New Roman"/>
                <w:color w:val="auto"/>
                <w:kern w:val="0"/>
                <w:sz w:val="20"/>
                <w:szCs w:val="20"/>
                <w:highlight w:val="none"/>
                <w:lang w:val="en-US" w:eastAsia="zh-CN"/>
              </w:rPr>
              <w:t>紫外分光光度计UV-5100</w:t>
            </w:r>
          </w:p>
        </w:tc>
        <w:tc>
          <w:tcPr>
            <w:tcW w:w="2163" w:type="dxa"/>
            <w:vAlign w:val="center"/>
          </w:tcPr>
          <w:p w14:paraId="5B330736">
            <w:pPr>
              <w:jc w:val="center"/>
              <w:rPr>
                <w:rFonts w:hint="eastAsia" w:ascii="宋体" w:hAnsi="宋体" w:eastAsia="宋体" w:cs="宋体"/>
                <w:color w:val="auto"/>
                <w:kern w:val="0"/>
                <w:sz w:val="20"/>
                <w:szCs w:val="20"/>
                <w:highlight w:val="none"/>
              </w:rPr>
            </w:pPr>
            <w:r>
              <w:rPr>
                <w:rFonts w:hint="eastAsia" w:ascii="宋体" w:hAnsi="宋体" w:eastAsia="宋体" w:cs="Times New Roman"/>
                <w:color w:val="auto"/>
                <w:kern w:val="0"/>
                <w:sz w:val="20"/>
                <w:szCs w:val="20"/>
                <w:highlight w:val="none"/>
              </w:rPr>
              <w:t>水质 总氮的测定 碱性过硫酸钾消解紫外分光光度法 H</w:t>
            </w:r>
            <w:r>
              <w:rPr>
                <w:rFonts w:ascii="宋体" w:hAnsi="宋体" w:eastAsia="宋体" w:cs="Times New Roman"/>
                <w:color w:val="auto"/>
                <w:kern w:val="0"/>
                <w:sz w:val="20"/>
                <w:szCs w:val="20"/>
                <w:highlight w:val="none"/>
              </w:rPr>
              <w:t xml:space="preserve">J </w:t>
            </w:r>
            <w:r>
              <w:rPr>
                <w:rFonts w:hint="eastAsia" w:ascii="宋体" w:hAnsi="宋体" w:eastAsia="宋体" w:cs="Times New Roman"/>
                <w:color w:val="auto"/>
                <w:kern w:val="0"/>
                <w:sz w:val="20"/>
                <w:szCs w:val="20"/>
                <w:highlight w:val="none"/>
              </w:rPr>
              <w:t>636</w:t>
            </w:r>
            <w:r>
              <w:rPr>
                <w:rFonts w:ascii="宋体" w:hAnsi="宋体" w:eastAsia="宋体" w:cs="Times New Roman"/>
                <w:color w:val="auto"/>
                <w:kern w:val="0"/>
                <w:sz w:val="20"/>
                <w:szCs w:val="20"/>
                <w:highlight w:val="none"/>
              </w:rPr>
              <w:t>-201</w:t>
            </w:r>
            <w:r>
              <w:rPr>
                <w:rFonts w:hint="eastAsia" w:ascii="宋体" w:hAnsi="宋体" w:eastAsia="宋体" w:cs="Times New Roman"/>
                <w:color w:val="auto"/>
                <w:kern w:val="0"/>
                <w:sz w:val="20"/>
                <w:szCs w:val="20"/>
                <w:highlight w:val="none"/>
              </w:rPr>
              <w:t>2</w:t>
            </w:r>
          </w:p>
        </w:tc>
      </w:tr>
      <w:tr w14:paraId="51C67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91" w:type="dxa"/>
            <w:vAlign w:val="center"/>
          </w:tcPr>
          <w:p w14:paraId="518D6344">
            <w:pPr>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地表水（入河排</w:t>
            </w:r>
            <w:r>
              <w:rPr>
                <w:rFonts w:ascii="宋体" w:hAnsi="宋体" w:eastAsia="宋体" w:cs="Times New Roman"/>
                <w:color w:val="auto"/>
                <w:kern w:val="0"/>
                <w:sz w:val="20"/>
                <w:szCs w:val="20"/>
                <w:highlight w:val="none"/>
              </w:rPr>
              <w:t>污口</w:t>
            </w:r>
            <w:r>
              <w:rPr>
                <w:rFonts w:hint="eastAsia" w:ascii="宋体" w:hAnsi="宋体" w:eastAsia="宋体" w:cs="Times New Roman"/>
                <w:color w:val="auto"/>
                <w:kern w:val="0"/>
                <w:sz w:val="20"/>
                <w:szCs w:val="20"/>
                <w:highlight w:val="none"/>
                <w:lang w:eastAsia="zh-CN"/>
              </w:rPr>
              <w:t>赣江</w:t>
            </w:r>
            <w:r>
              <w:rPr>
                <w:rFonts w:hint="eastAsia" w:ascii="宋体" w:hAnsi="宋体" w:eastAsia="宋体" w:cs="Times New Roman"/>
                <w:color w:val="auto"/>
                <w:kern w:val="0"/>
                <w:sz w:val="20"/>
                <w:szCs w:val="20"/>
                <w:highlight w:val="none"/>
              </w:rPr>
              <w:t>）下游1.5km）</w:t>
            </w:r>
          </w:p>
        </w:tc>
        <w:tc>
          <w:tcPr>
            <w:tcW w:w="871" w:type="dxa"/>
            <w:vAlign w:val="center"/>
          </w:tcPr>
          <w:p w14:paraId="4F2312A2">
            <w:pPr>
              <w:widowControl/>
              <w:jc w:val="center"/>
              <w:textAlignment w:val="center"/>
              <w:rPr>
                <w:rFonts w:hint="eastAsia" w:ascii="宋体" w:hAnsi="宋体" w:eastAsia="宋体" w:cs="宋体"/>
                <w:color w:val="auto"/>
                <w:kern w:val="0"/>
                <w:sz w:val="20"/>
                <w:szCs w:val="20"/>
                <w:highlight w:val="none"/>
              </w:rPr>
            </w:pPr>
            <w:r>
              <w:rPr>
                <w:rFonts w:hint="eastAsia" w:ascii="宋体" w:hAnsi="宋体" w:eastAsia="宋体" w:cs="Times New Roman"/>
                <w:color w:val="auto"/>
                <w:spacing w:val="4"/>
                <w:kern w:val="0"/>
                <w:sz w:val="20"/>
                <w:szCs w:val="20"/>
                <w:highlight w:val="none"/>
              </w:rPr>
              <w:t>石油类</w:t>
            </w:r>
          </w:p>
        </w:tc>
        <w:tc>
          <w:tcPr>
            <w:tcW w:w="1269" w:type="dxa"/>
            <w:vAlign w:val="center"/>
          </w:tcPr>
          <w:p w14:paraId="7597708E">
            <w:pPr>
              <w:jc w:val="center"/>
              <w:rPr>
                <w:rFonts w:hint="eastAsia" w:ascii="宋体" w:hAnsi="宋体" w:eastAsia="宋体" w:cs="宋体"/>
                <w:color w:val="auto"/>
                <w:kern w:val="0"/>
                <w:sz w:val="20"/>
                <w:szCs w:val="20"/>
                <w:highlight w:val="none"/>
              </w:rPr>
            </w:pPr>
            <w:r>
              <w:rPr>
                <w:rFonts w:hint="eastAsia" w:ascii="仿宋" w:hAnsi="仿宋" w:eastAsia="仿宋" w:cs="仿宋"/>
                <w:color w:val="auto"/>
                <w:sz w:val="20"/>
                <w:szCs w:val="20"/>
                <w:highlight w:val="none"/>
              </w:rPr>
              <w:t>≤0.</w:t>
            </w:r>
            <w:r>
              <w:rPr>
                <w:rFonts w:hint="eastAsia" w:ascii="仿宋" w:hAnsi="仿宋" w:eastAsia="仿宋" w:cs="仿宋"/>
                <w:color w:val="auto"/>
                <w:sz w:val="20"/>
                <w:szCs w:val="20"/>
                <w:highlight w:val="none"/>
                <w:lang w:val="en-US" w:eastAsia="zh-CN"/>
              </w:rPr>
              <w:t>0</w:t>
            </w:r>
            <w:r>
              <w:rPr>
                <w:rFonts w:hint="eastAsia" w:ascii="仿宋" w:hAnsi="仿宋" w:eastAsia="仿宋" w:cs="仿宋"/>
                <w:color w:val="auto"/>
                <w:sz w:val="20"/>
                <w:szCs w:val="20"/>
                <w:highlight w:val="none"/>
              </w:rPr>
              <w:t>5</w:t>
            </w:r>
            <w:r>
              <w:rPr>
                <w:rFonts w:hint="eastAsia" w:ascii="宋体" w:hAnsi="宋体" w:eastAsia="宋体" w:cs="宋体"/>
                <w:color w:val="auto"/>
                <w:sz w:val="20"/>
                <w:szCs w:val="20"/>
                <w:highlight w:val="none"/>
              </w:rPr>
              <w:t>mg/L</w:t>
            </w:r>
          </w:p>
        </w:tc>
        <w:tc>
          <w:tcPr>
            <w:tcW w:w="953" w:type="dxa"/>
            <w:vAlign w:val="center"/>
          </w:tcPr>
          <w:p w14:paraId="2F3BC4BF">
            <w:pPr>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手工</w:t>
            </w:r>
          </w:p>
        </w:tc>
        <w:tc>
          <w:tcPr>
            <w:tcW w:w="1002" w:type="dxa"/>
            <w:vAlign w:val="center"/>
          </w:tcPr>
          <w:p w14:paraId="3E511228">
            <w:pPr>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3次/年</w:t>
            </w:r>
          </w:p>
        </w:tc>
        <w:tc>
          <w:tcPr>
            <w:tcW w:w="2736" w:type="dxa"/>
            <w:vAlign w:val="center"/>
          </w:tcPr>
          <w:p w14:paraId="2F9E75E7">
            <w:pPr>
              <w:jc w:val="center"/>
              <w:rPr>
                <w:rFonts w:hint="eastAsia" w:ascii="宋体" w:hAnsi="宋体" w:eastAsia="宋体" w:cs="Times New Roman"/>
                <w:color w:val="auto"/>
                <w:kern w:val="0"/>
                <w:sz w:val="20"/>
                <w:szCs w:val="20"/>
                <w:highlight w:val="none"/>
                <w:lang w:val="en-US" w:eastAsia="zh-CN"/>
              </w:rPr>
            </w:pPr>
            <w:r>
              <w:rPr>
                <w:rFonts w:hint="eastAsia" w:ascii="宋体" w:hAnsi="宋体" w:eastAsia="宋体" w:cs="Times New Roman"/>
                <w:color w:val="auto"/>
                <w:kern w:val="0"/>
                <w:sz w:val="20"/>
                <w:szCs w:val="20"/>
                <w:highlight w:val="none"/>
                <w:lang w:val="en-US" w:eastAsia="zh-CN"/>
              </w:rPr>
              <w:t>全自动红外测油仪QIL510A/YQ201806-S028</w:t>
            </w:r>
          </w:p>
        </w:tc>
        <w:tc>
          <w:tcPr>
            <w:tcW w:w="2163" w:type="dxa"/>
            <w:vAlign w:val="center"/>
          </w:tcPr>
          <w:p w14:paraId="3778EEF7">
            <w:pPr>
              <w:jc w:val="center"/>
              <w:rPr>
                <w:rFonts w:hint="eastAsia" w:ascii="宋体" w:hAnsi="宋体" w:eastAsia="宋体" w:cs="宋体"/>
                <w:color w:val="auto"/>
                <w:kern w:val="0"/>
                <w:sz w:val="20"/>
                <w:szCs w:val="20"/>
                <w:highlight w:val="none"/>
              </w:rPr>
            </w:pPr>
            <w:r>
              <w:rPr>
                <w:rFonts w:hint="eastAsia" w:ascii="宋体" w:hAnsi="宋体" w:eastAsia="宋体" w:cs="Times New Roman"/>
                <w:color w:val="auto"/>
                <w:kern w:val="0"/>
                <w:sz w:val="20"/>
                <w:szCs w:val="20"/>
                <w:highlight w:val="none"/>
              </w:rPr>
              <w:t xml:space="preserve">水质 石油类的测定 紫外分光光度法 HJ </w:t>
            </w:r>
            <w:r>
              <w:rPr>
                <w:rFonts w:ascii="宋体" w:hAnsi="宋体" w:eastAsia="宋体" w:cs="Times New Roman"/>
                <w:color w:val="auto"/>
                <w:kern w:val="0"/>
                <w:sz w:val="20"/>
                <w:szCs w:val="20"/>
                <w:highlight w:val="none"/>
              </w:rPr>
              <w:t>970</w:t>
            </w:r>
            <w:r>
              <w:rPr>
                <w:rFonts w:hint="eastAsia" w:ascii="宋体" w:hAnsi="宋体" w:eastAsia="宋体" w:cs="Times New Roman"/>
                <w:color w:val="auto"/>
                <w:kern w:val="0"/>
                <w:sz w:val="20"/>
                <w:szCs w:val="20"/>
                <w:highlight w:val="none"/>
              </w:rPr>
              <w:t>-2018（地表水和地下水为该方法，与废水方法不同）</w:t>
            </w:r>
          </w:p>
        </w:tc>
      </w:tr>
      <w:tr w14:paraId="6CD7A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91" w:type="dxa"/>
            <w:vAlign w:val="center"/>
          </w:tcPr>
          <w:p w14:paraId="2343A0A2">
            <w:pPr>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地表水（入河排</w:t>
            </w:r>
            <w:r>
              <w:rPr>
                <w:rFonts w:ascii="宋体" w:hAnsi="宋体" w:eastAsia="宋体" w:cs="Times New Roman"/>
                <w:color w:val="auto"/>
                <w:kern w:val="0"/>
                <w:sz w:val="20"/>
                <w:szCs w:val="20"/>
                <w:highlight w:val="none"/>
              </w:rPr>
              <w:t>污口</w:t>
            </w:r>
            <w:r>
              <w:rPr>
                <w:rFonts w:hint="eastAsia" w:ascii="宋体" w:hAnsi="宋体" w:eastAsia="宋体" w:cs="Times New Roman"/>
                <w:color w:val="auto"/>
                <w:kern w:val="0"/>
                <w:sz w:val="20"/>
                <w:szCs w:val="20"/>
                <w:highlight w:val="none"/>
                <w:lang w:eastAsia="zh-CN"/>
              </w:rPr>
              <w:t>赣江</w:t>
            </w:r>
            <w:r>
              <w:rPr>
                <w:rFonts w:hint="eastAsia" w:ascii="宋体" w:hAnsi="宋体" w:eastAsia="宋体" w:cs="Times New Roman"/>
                <w:color w:val="auto"/>
                <w:kern w:val="0"/>
                <w:sz w:val="20"/>
                <w:szCs w:val="20"/>
                <w:highlight w:val="none"/>
              </w:rPr>
              <w:t>）下游1.5km）</w:t>
            </w:r>
          </w:p>
        </w:tc>
        <w:tc>
          <w:tcPr>
            <w:tcW w:w="871" w:type="dxa"/>
            <w:vAlign w:val="center"/>
          </w:tcPr>
          <w:p w14:paraId="3A6796A4">
            <w:pPr>
              <w:widowControl/>
              <w:jc w:val="center"/>
              <w:textAlignment w:val="center"/>
              <w:rPr>
                <w:rFonts w:hint="eastAsia" w:ascii="宋体" w:hAnsi="宋体" w:eastAsia="宋体" w:cs="宋体"/>
                <w:color w:val="auto"/>
                <w:kern w:val="0"/>
                <w:sz w:val="20"/>
                <w:szCs w:val="20"/>
                <w:highlight w:val="none"/>
              </w:rPr>
            </w:pPr>
            <w:r>
              <w:rPr>
                <w:rFonts w:hint="eastAsia" w:ascii="宋体" w:hAnsi="宋体" w:eastAsia="宋体" w:cs="Times New Roman"/>
                <w:color w:val="auto"/>
                <w:spacing w:val="4"/>
                <w:kern w:val="0"/>
                <w:sz w:val="20"/>
                <w:szCs w:val="20"/>
                <w:highlight w:val="none"/>
              </w:rPr>
              <w:t>余氯</w:t>
            </w:r>
          </w:p>
        </w:tc>
        <w:tc>
          <w:tcPr>
            <w:tcW w:w="1269" w:type="dxa"/>
            <w:vAlign w:val="center"/>
          </w:tcPr>
          <w:p w14:paraId="723586C7">
            <w:pPr>
              <w:jc w:val="center"/>
              <w:rPr>
                <w:rFonts w:hint="eastAsia" w:ascii="宋体" w:hAnsi="宋体" w:eastAsia="宋体" w:cs="宋体"/>
                <w:color w:val="auto"/>
                <w:kern w:val="0"/>
                <w:sz w:val="20"/>
                <w:szCs w:val="20"/>
                <w:highlight w:val="none"/>
              </w:rPr>
            </w:pPr>
          </w:p>
        </w:tc>
        <w:tc>
          <w:tcPr>
            <w:tcW w:w="953" w:type="dxa"/>
            <w:vAlign w:val="center"/>
          </w:tcPr>
          <w:p w14:paraId="00AB5553">
            <w:pPr>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手工</w:t>
            </w:r>
          </w:p>
        </w:tc>
        <w:tc>
          <w:tcPr>
            <w:tcW w:w="1002" w:type="dxa"/>
            <w:vAlign w:val="center"/>
          </w:tcPr>
          <w:p w14:paraId="017FCE77">
            <w:pPr>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3次/年</w:t>
            </w:r>
          </w:p>
        </w:tc>
        <w:tc>
          <w:tcPr>
            <w:tcW w:w="2736" w:type="dxa"/>
            <w:vAlign w:val="center"/>
          </w:tcPr>
          <w:p w14:paraId="583B27FF">
            <w:pPr>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rPr>
              <w:t>可见分光光度计</w:t>
            </w:r>
          </w:p>
        </w:tc>
        <w:tc>
          <w:tcPr>
            <w:tcW w:w="2163" w:type="dxa"/>
            <w:vAlign w:val="center"/>
          </w:tcPr>
          <w:p w14:paraId="01D3A570">
            <w:pPr>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rPr>
              <w:t>水质 游离氯和总氯的测定 N，N-二乙基-1，4-苯二胺分光光度法</w:t>
            </w:r>
          </w:p>
        </w:tc>
      </w:tr>
      <w:tr w14:paraId="760C0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5" w:type="dxa"/>
            <w:gridSpan w:val="7"/>
            <w:vAlign w:val="center"/>
          </w:tcPr>
          <w:p w14:paraId="70CF7D3B">
            <w:pPr>
              <w:jc w:val="left"/>
              <w:rPr>
                <w:color w:val="auto"/>
                <w:sz w:val="20"/>
                <w:szCs w:val="20"/>
                <w:highlight w:val="none"/>
              </w:rPr>
            </w:pPr>
            <w:r>
              <w:rPr>
                <w:rFonts w:hint="eastAsia"/>
                <w:color w:val="auto"/>
                <w:sz w:val="20"/>
                <w:szCs w:val="20"/>
                <w:highlight w:val="none"/>
              </w:rPr>
              <w:t>备注：1.采用含氯化学品对污水进行消毒的，需要监测余氯；</w:t>
            </w:r>
          </w:p>
          <w:p w14:paraId="46C62815">
            <w:pPr>
              <w:numPr>
                <w:ilvl w:val="0"/>
                <w:numId w:val="1"/>
              </w:numPr>
              <w:ind w:left="630" w:leftChars="0" w:firstLine="0" w:firstLineChars="0"/>
              <w:jc w:val="left"/>
              <w:rPr>
                <w:color w:val="auto"/>
                <w:sz w:val="20"/>
                <w:szCs w:val="20"/>
                <w:highlight w:val="none"/>
              </w:rPr>
            </w:pPr>
            <w:r>
              <w:rPr>
                <w:rFonts w:hint="eastAsia"/>
                <w:color w:val="auto"/>
                <w:sz w:val="20"/>
                <w:szCs w:val="20"/>
                <w:highlight w:val="none"/>
              </w:rPr>
              <w:t>监测频次为丰水期、枯水期、平水期各一次。</w:t>
            </w:r>
          </w:p>
        </w:tc>
      </w:tr>
    </w:tbl>
    <w:p w14:paraId="68AB3BC2">
      <w:pPr>
        <w:outlineLvl w:val="1"/>
        <w:rPr>
          <w:rFonts w:hint="eastAsia" w:ascii="宋体" w:hAnsi="宋体" w:eastAsia="宋体" w:cs="宋体"/>
          <w:sz w:val="28"/>
          <w:szCs w:val="28"/>
        </w:rPr>
      </w:pPr>
    </w:p>
    <w:p w14:paraId="7983DAF4">
      <w:pPr>
        <w:outlineLvl w:val="1"/>
        <w:rPr>
          <w:rFonts w:hint="eastAsia" w:ascii="宋体" w:hAnsi="宋体" w:eastAsia="宋体" w:cs="宋体"/>
          <w:sz w:val="28"/>
          <w:szCs w:val="28"/>
        </w:rPr>
      </w:pPr>
    </w:p>
    <w:p w14:paraId="7473FD29">
      <w:pPr>
        <w:outlineLvl w:val="1"/>
        <w:rPr>
          <w:rFonts w:hint="eastAsia" w:ascii="宋体" w:hAnsi="宋体" w:eastAsia="宋体" w:cs="宋体"/>
          <w:sz w:val="28"/>
          <w:szCs w:val="28"/>
        </w:rPr>
      </w:pPr>
    </w:p>
    <w:p w14:paraId="0835409C">
      <w:pPr>
        <w:outlineLvl w:val="1"/>
        <w:rPr>
          <w:rFonts w:hint="eastAsia" w:ascii="宋体" w:hAnsi="宋体" w:eastAsia="宋体" w:cs="宋体"/>
          <w:sz w:val="28"/>
          <w:szCs w:val="28"/>
        </w:rPr>
      </w:pPr>
    </w:p>
    <w:p w14:paraId="7988463B">
      <w:pPr>
        <w:outlineLvl w:val="1"/>
        <w:rPr>
          <w:rFonts w:hint="eastAsia" w:ascii="宋体" w:hAnsi="宋体" w:eastAsia="宋体" w:cs="宋体"/>
          <w:sz w:val="28"/>
          <w:szCs w:val="28"/>
        </w:rPr>
      </w:pPr>
    </w:p>
    <w:p w14:paraId="4F932180">
      <w:pPr>
        <w:outlineLvl w:val="1"/>
        <w:rPr>
          <w:rFonts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rPr>
        <w:t>、</w:t>
      </w:r>
      <w:r>
        <w:rPr>
          <w:rFonts w:hint="eastAsia" w:ascii="宋体" w:hAnsi="宋体" w:eastAsia="宋体" w:cs="宋体"/>
          <w:kern w:val="28"/>
          <w:sz w:val="28"/>
          <w:szCs w:val="28"/>
        </w:rPr>
        <w:t>厂界噪声监测方案</w:t>
      </w:r>
    </w:p>
    <w:tbl>
      <w:tblPr>
        <w:tblStyle w:val="15"/>
        <w:tblW w:w="10950" w:type="dxa"/>
        <w:tblInd w:w="-1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8"/>
        <w:gridCol w:w="1564"/>
        <w:gridCol w:w="2136"/>
        <w:gridCol w:w="1312"/>
        <w:gridCol w:w="996"/>
        <w:gridCol w:w="1123"/>
        <w:gridCol w:w="2641"/>
      </w:tblGrid>
      <w:tr w14:paraId="5FCB8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blHeader/>
        </w:trPr>
        <w:tc>
          <w:tcPr>
            <w:tcW w:w="1178" w:type="dxa"/>
          </w:tcPr>
          <w:p w14:paraId="764F9E80">
            <w:pP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监测点位</w:t>
            </w:r>
          </w:p>
        </w:tc>
        <w:tc>
          <w:tcPr>
            <w:tcW w:w="1564" w:type="dxa"/>
          </w:tcPr>
          <w:p w14:paraId="31022512">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监测指标</w:t>
            </w:r>
          </w:p>
          <w:p w14:paraId="09F33BCE">
            <w:pPr>
              <w:jc w:val="center"/>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根据指南填写）</w:t>
            </w:r>
          </w:p>
        </w:tc>
        <w:tc>
          <w:tcPr>
            <w:tcW w:w="2136" w:type="dxa"/>
          </w:tcPr>
          <w:p w14:paraId="5E2F3481">
            <w:pP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排放标准</w:t>
            </w:r>
          </w:p>
        </w:tc>
        <w:tc>
          <w:tcPr>
            <w:tcW w:w="1312" w:type="dxa"/>
          </w:tcPr>
          <w:p w14:paraId="7904041C">
            <w:pP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排放限值</w:t>
            </w:r>
          </w:p>
        </w:tc>
        <w:tc>
          <w:tcPr>
            <w:tcW w:w="996" w:type="dxa"/>
          </w:tcPr>
          <w:p w14:paraId="5355B91B">
            <w:pP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监测方式</w:t>
            </w:r>
          </w:p>
        </w:tc>
        <w:tc>
          <w:tcPr>
            <w:tcW w:w="1123" w:type="dxa"/>
          </w:tcPr>
          <w:p w14:paraId="7CF92218">
            <w:pP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监测频次</w:t>
            </w:r>
          </w:p>
        </w:tc>
        <w:tc>
          <w:tcPr>
            <w:tcW w:w="2641" w:type="dxa"/>
          </w:tcPr>
          <w:p w14:paraId="6EEF8D1C">
            <w:pP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监测方法</w:t>
            </w:r>
          </w:p>
        </w:tc>
      </w:tr>
      <w:tr w14:paraId="5C6AA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vAlign w:val="center"/>
          </w:tcPr>
          <w:p w14:paraId="6A7E2BD4">
            <w:pPr>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厂界噪声（东）(ZS-01)</w:t>
            </w:r>
          </w:p>
        </w:tc>
        <w:tc>
          <w:tcPr>
            <w:tcW w:w="1564" w:type="dxa"/>
            <w:vAlign w:val="top"/>
          </w:tcPr>
          <w:p w14:paraId="08A646BA">
            <w:pPr>
              <w:jc w:val="center"/>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等效连续A声级</w:t>
            </w:r>
          </w:p>
        </w:tc>
        <w:tc>
          <w:tcPr>
            <w:tcW w:w="2136" w:type="dxa"/>
            <w:vAlign w:val="center"/>
          </w:tcPr>
          <w:p w14:paraId="1FA29548">
            <w:pPr>
              <w:snapToGrid w:val="0"/>
              <w:contextualSpacing/>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工业企业厂界环境噪声排放标准 GB 12348-2008 </w:t>
            </w: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类排放标准</w:t>
            </w:r>
          </w:p>
        </w:tc>
        <w:tc>
          <w:tcPr>
            <w:tcW w:w="1312" w:type="dxa"/>
            <w:vAlign w:val="center"/>
          </w:tcPr>
          <w:p w14:paraId="12BDE8C0">
            <w:pPr>
              <w:snapToGrid w:val="0"/>
              <w:contextualSpacing/>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昼间60dB夜间50dB</w:t>
            </w:r>
          </w:p>
        </w:tc>
        <w:tc>
          <w:tcPr>
            <w:tcW w:w="996" w:type="dxa"/>
            <w:vAlign w:val="center"/>
          </w:tcPr>
          <w:p w14:paraId="726F866C">
            <w:pP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手工</w:t>
            </w:r>
          </w:p>
        </w:tc>
        <w:tc>
          <w:tcPr>
            <w:tcW w:w="1123" w:type="dxa"/>
            <w:vAlign w:val="center"/>
          </w:tcPr>
          <w:p w14:paraId="00A048C6">
            <w:pP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1次/1季度</w:t>
            </w:r>
          </w:p>
        </w:tc>
        <w:tc>
          <w:tcPr>
            <w:tcW w:w="2641" w:type="dxa"/>
            <w:vAlign w:val="center"/>
          </w:tcPr>
          <w:p w14:paraId="591D784E">
            <w:pP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工业企业厂界环境噪声排放标准 GB 12348-2008中</w:t>
            </w: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类标准</w:t>
            </w:r>
          </w:p>
        </w:tc>
      </w:tr>
      <w:tr w14:paraId="6A3C5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vAlign w:val="center"/>
          </w:tcPr>
          <w:p w14:paraId="06BC9B12">
            <w:pPr>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厂界噪声（南）（ZS-02）</w:t>
            </w:r>
          </w:p>
        </w:tc>
        <w:tc>
          <w:tcPr>
            <w:tcW w:w="1564" w:type="dxa"/>
            <w:vAlign w:val="top"/>
          </w:tcPr>
          <w:p w14:paraId="70DCB2E5">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等效连续A声级</w:t>
            </w:r>
          </w:p>
        </w:tc>
        <w:tc>
          <w:tcPr>
            <w:tcW w:w="2136" w:type="dxa"/>
            <w:vAlign w:val="top"/>
          </w:tcPr>
          <w:p w14:paraId="24A86DE1">
            <w:pP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工业企业厂界环境噪声排放标准 GB 12348-2008 </w:t>
            </w: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类排放标准</w:t>
            </w:r>
          </w:p>
        </w:tc>
        <w:tc>
          <w:tcPr>
            <w:tcW w:w="1312" w:type="dxa"/>
            <w:vAlign w:val="top"/>
          </w:tcPr>
          <w:p w14:paraId="35C21F08">
            <w:pP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昼间60dB夜间50dB</w:t>
            </w:r>
          </w:p>
        </w:tc>
        <w:tc>
          <w:tcPr>
            <w:tcW w:w="996" w:type="dxa"/>
            <w:vAlign w:val="center"/>
          </w:tcPr>
          <w:p w14:paraId="00120D91">
            <w:pP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手工</w:t>
            </w:r>
          </w:p>
        </w:tc>
        <w:tc>
          <w:tcPr>
            <w:tcW w:w="1123" w:type="dxa"/>
            <w:vAlign w:val="center"/>
          </w:tcPr>
          <w:p w14:paraId="4BD30AC1">
            <w:pP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1次/1季度</w:t>
            </w:r>
          </w:p>
        </w:tc>
        <w:tc>
          <w:tcPr>
            <w:tcW w:w="2641" w:type="dxa"/>
            <w:vAlign w:val="center"/>
          </w:tcPr>
          <w:p w14:paraId="2D2CC13C">
            <w:pP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工业企业厂界环境噪声排放标准 GB 12348-2008中</w:t>
            </w: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类标准</w:t>
            </w:r>
          </w:p>
        </w:tc>
      </w:tr>
      <w:tr w14:paraId="728C6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vAlign w:val="center"/>
          </w:tcPr>
          <w:p w14:paraId="6934A9CE">
            <w:pPr>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厂界噪声（西）(ZS-03)</w:t>
            </w:r>
          </w:p>
        </w:tc>
        <w:tc>
          <w:tcPr>
            <w:tcW w:w="1564" w:type="dxa"/>
            <w:vAlign w:val="top"/>
          </w:tcPr>
          <w:p w14:paraId="64A2FA59">
            <w:pP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等效连续A声级</w:t>
            </w:r>
          </w:p>
        </w:tc>
        <w:tc>
          <w:tcPr>
            <w:tcW w:w="2136" w:type="dxa"/>
            <w:vAlign w:val="top"/>
          </w:tcPr>
          <w:p w14:paraId="7C215C3E">
            <w:pP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工业企业厂界环境噪声排放标准 GB 12348-2008 </w:t>
            </w: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类排放标准</w:t>
            </w:r>
          </w:p>
        </w:tc>
        <w:tc>
          <w:tcPr>
            <w:tcW w:w="1312" w:type="dxa"/>
            <w:vAlign w:val="top"/>
          </w:tcPr>
          <w:p w14:paraId="056DF0F6">
            <w:pP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昼间60dB夜间50dB</w:t>
            </w:r>
          </w:p>
        </w:tc>
        <w:tc>
          <w:tcPr>
            <w:tcW w:w="996" w:type="dxa"/>
            <w:vAlign w:val="center"/>
          </w:tcPr>
          <w:p w14:paraId="5A67FF32">
            <w:pP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手工</w:t>
            </w:r>
          </w:p>
        </w:tc>
        <w:tc>
          <w:tcPr>
            <w:tcW w:w="1123" w:type="dxa"/>
            <w:vAlign w:val="center"/>
          </w:tcPr>
          <w:p w14:paraId="79FB2175">
            <w:pP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1次/1季度</w:t>
            </w:r>
          </w:p>
        </w:tc>
        <w:tc>
          <w:tcPr>
            <w:tcW w:w="2641" w:type="dxa"/>
            <w:vAlign w:val="center"/>
          </w:tcPr>
          <w:p w14:paraId="0C015F0E">
            <w:pP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工业企业厂界环境噪声排放标准 GB 12348-2008中</w:t>
            </w: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类标准</w:t>
            </w:r>
          </w:p>
        </w:tc>
      </w:tr>
      <w:tr w14:paraId="2C633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178" w:type="dxa"/>
            <w:vAlign w:val="center"/>
          </w:tcPr>
          <w:p w14:paraId="01E1FDF1">
            <w:pPr>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厂界噪声（北）(ZS-04)</w:t>
            </w:r>
          </w:p>
        </w:tc>
        <w:tc>
          <w:tcPr>
            <w:tcW w:w="1564" w:type="dxa"/>
            <w:vAlign w:val="top"/>
          </w:tcPr>
          <w:p w14:paraId="688AD6C3">
            <w:pP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等效连续A声级</w:t>
            </w:r>
          </w:p>
        </w:tc>
        <w:tc>
          <w:tcPr>
            <w:tcW w:w="2136" w:type="dxa"/>
            <w:vAlign w:val="top"/>
          </w:tcPr>
          <w:p w14:paraId="63885E3F">
            <w:pP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工业企业厂界环境噪声排放标准 GB 12348-2008 </w:t>
            </w: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类排放标准</w:t>
            </w:r>
          </w:p>
        </w:tc>
        <w:tc>
          <w:tcPr>
            <w:tcW w:w="1312" w:type="dxa"/>
            <w:vAlign w:val="top"/>
          </w:tcPr>
          <w:p w14:paraId="4881B015">
            <w:pP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昼间60dB夜间50dB</w:t>
            </w:r>
          </w:p>
        </w:tc>
        <w:tc>
          <w:tcPr>
            <w:tcW w:w="996" w:type="dxa"/>
            <w:vAlign w:val="center"/>
          </w:tcPr>
          <w:p w14:paraId="71AC188C">
            <w:pP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手工</w:t>
            </w:r>
          </w:p>
        </w:tc>
        <w:tc>
          <w:tcPr>
            <w:tcW w:w="1123" w:type="dxa"/>
            <w:vAlign w:val="center"/>
          </w:tcPr>
          <w:p w14:paraId="5EFCB8D0">
            <w:pP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1次/1季度</w:t>
            </w:r>
          </w:p>
        </w:tc>
        <w:tc>
          <w:tcPr>
            <w:tcW w:w="2641" w:type="dxa"/>
            <w:vAlign w:val="center"/>
          </w:tcPr>
          <w:p w14:paraId="3A52C2C7">
            <w:pP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工业企业厂界环境噪声排放标准 GB 12348-2008中</w:t>
            </w: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类标准</w:t>
            </w:r>
          </w:p>
        </w:tc>
      </w:tr>
      <w:bookmarkEnd w:id="2"/>
    </w:tbl>
    <w:p w14:paraId="5F3AD4F5">
      <w:pPr>
        <w:pStyle w:val="24"/>
        <w:spacing w:line="240" w:lineRule="auto"/>
        <w:ind w:left="-420" w:leftChars="-200" w:firstLine="0" w:firstLineChars="0"/>
        <w:outlineLvl w:val="0"/>
        <w:rPr>
          <w:rFonts w:ascii="宋体" w:hAnsi="宋体"/>
          <w:b/>
          <w:bCs/>
          <w:sz w:val="28"/>
          <w:szCs w:val="28"/>
        </w:rPr>
      </w:pPr>
      <w:r>
        <w:rPr>
          <w:rFonts w:hint="eastAsia" w:ascii="宋体" w:hAnsi="宋体"/>
          <w:b/>
          <w:bCs/>
          <w:sz w:val="28"/>
          <w:szCs w:val="28"/>
          <w:lang w:val="en-US"/>
        </w:rPr>
        <w:t>四、</w:t>
      </w:r>
      <w:r>
        <w:rPr>
          <w:rFonts w:hint="eastAsia" w:ascii="宋体" w:hAnsi="宋体"/>
          <w:b/>
          <w:bCs/>
          <w:sz w:val="28"/>
          <w:szCs w:val="28"/>
        </w:rPr>
        <w:t>企业在线监测设备信息</w:t>
      </w:r>
    </w:p>
    <w:p w14:paraId="7D2D7E55">
      <w:pPr>
        <w:pStyle w:val="24"/>
        <w:spacing w:line="240" w:lineRule="auto"/>
        <w:ind w:left="-420" w:leftChars="-200" w:firstLine="0" w:firstLineChars="0"/>
        <w:outlineLvl w:val="1"/>
        <w:rPr>
          <w:rFonts w:ascii="宋体" w:hAnsi="宋体"/>
          <w:sz w:val="28"/>
          <w:szCs w:val="28"/>
        </w:rPr>
      </w:pPr>
      <w:r>
        <w:rPr>
          <w:rFonts w:hint="eastAsia" w:ascii="宋体" w:hAnsi="宋体"/>
          <w:sz w:val="28"/>
          <w:szCs w:val="28"/>
          <w:lang w:val="en-US"/>
        </w:rPr>
        <w:t>1、</w:t>
      </w:r>
      <w:r>
        <w:rPr>
          <w:rFonts w:hint="eastAsia" w:ascii="宋体" w:hAnsi="宋体"/>
          <w:sz w:val="28"/>
          <w:szCs w:val="28"/>
        </w:rPr>
        <w:t>自动监测设备</w:t>
      </w:r>
    </w:p>
    <w:tbl>
      <w:tblPr>
        <w:tblStyle w:val="15"/>
        <w:tblW w:w="9975" w:type="dxa"/>
        <w:tblInd w:w="-4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8"/>
        <w:gridCol w:w="1855"/>
        <w:gridCol w:w="2065"/>
        <w:gridCol w:w="2065"/>
        <w:gridCol w:w="1902"/>
      </w:tblGrid>
      <w:tr w14:paraId="1BAD3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088" w:type="dxa"/>
          </w:tcPr>
          <w:p w14:paraId="1E5C6CB7">
            <w:pPr>
              <w:jc w:val="center"/>
              <w:rPr>
                <w:rFonts w:ascii="宋体" w:hAnsi="宋体" w:eastAsia="宋体" w:cs="宋体"/>
                <w:sz w:val="20"/>
                <w:szCs w:val="20"/>
              </w:rPr>
            </w:pPr>
            <w:r>
              <w:rPr>
                <w:rFonts w:hint="eastAsia" w:ascii="宋体" w:hAnsi="宋体" w:eastAsia="宋体" w:cs="宋体"/>
                <w:sz w:val="20"/>
                <w:szCs w:val="20"/>
              </w:rPr>
              <w:t>监测设备名称</w:t>
            </w:r>
          </w:p>
        </w:tc>
        <w:tc>
          <w:tcPr>
            <w:tcW w:w="1855" w:type="dxa"/>
          </w:tcPr>
          <w:p w14:paraId="40921280">
            <w:pPr>
              <w:jc w:val="center"/>
              <w:rPr>
                <w:rFonts w:ascii="宋体" w:hAnsi="宋体" w:eastAsia="宋体" w:cs="宋体"/>
                <w:sz w:val="20"/>
                <w:szCs w:val="20"/>
              </w:rPr>
            </w:pPr>
            <w:r>
              <w:rPr>
                <w:rFonts w:hint="eastAsia" w:ascii="宋体" w:hAnsi="宋体" w:eastAsia="宋体" w:cs="宋体"/>
                <w:sz w:val="20"/>
                <w:szCs w:val="20"/>
              </w:rPr>
              <w:t>型号</w:t>
            </w:r>
          </w:p>
        </w:tc>
        <w:tc>
          <w:tcPr>
            <w:tcW w:w="2065" w:type="dxa"/>
          </w:tcPr>
          <w:p w14:paraId="7D3EFBB7">
            <w:pPr>
              <w:jc w:val="center"/>
              <w:rPr>
                <w:rFonts w:ascii="宋体" w:hAnsi="宋体" w:eastAsia="宋体" w:cs="宋体"/>
                <w:sz w:val="20"/>
                <w:szCs w:val="20"/>
              </w:rPr>
            </w:pPr>
            <w:r>
              <w:rPr>
                <w:rFonts w:hint="eastAsia" w:ascii="宋体" w:hAnsi="宋体" w:eastAsia="宋体" w:cs="宋体"/>
                <w:sz w:val="20"/>
                <w:szCs w:val="20"/>
              </w:rPr>
              <w:t>数量</w:t>
            </w:r>
          </w:p>
        </w:tc>
        <w:tc>
          <w:tcPr>
            <w:tcW w:w="2065" w:type="dxa"/>
          </w:tcPr>
          <w:p w14:paraId="1ADBAE58">
            <w:pPr>
              <w:jc w:val="center"/>
              <w:rPr>
                <w:rFonts w:ascii="宋体" w:hAnsi="宋体" w:eastAsia="宋体" w:cs="宋体"/>
                <w:sz w:val="20"/>
                <w:szCs w:val="20"/>
              </w:rPr>
            </w:pPr>
            <w:r>
              <w:rPr>
                <w:rFonts w:hint="eastAsia" w:ascii="宋体" w:hAnsi="宋体" w:eastAsia="宋体" w:cs="宋体"/>
                <w:sz w:val="20"/>
                <w:szCs w:val="20"/>
              </w:rPr>
              <w:t>单位</w:t>
            </w:r>
          </w:p>
        </w:tc>
        <w:tc>
          <w:tcPr>
            <w:tcW w:w="1902" w:type="dxa"/>
          </w:tcPr>
          <w:p w14:paraId="255AB0C0">
            <w:pPr>
              <w:jc w:val="center"/>
              <w:rPr>
                <w:rFonts w:ascii="宋体" w:hAnsi="宋体" w:eastAsia="宋体" w:cs="宋体"/>
                <w:sz w:val="20"/>
                <w:szCs w:val="20"/>
              </w:rPr>
            </w:pPr>
            <w:r>
              <w:rPr>
                <w:rFonts w:hint="eastAsia" w:ascii="宋体" w:hAnsi="宋体" w:eastAsia="宋体" w:cs="宋体"/>
                <w:sz w:val="20"/>
                <w:szCs w:val="20"/>
              </w:rPr>
              <w:t>生产厂家</w:t>
            </w:r>
          </w:p>
        </w:tc>
      </w:tr>
      <w:tr w14:paraId="60E17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088" w:type="dxa"/>
            <w:vAlign w:val="center"/>
          </w:tcPr>
          <w:p w14:paraId="1F37C3AD">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0"/>
                <w:szCs w:val="20"/>
              </w:rPr>
            </w:pPr>
            <w:r>
              <w:rPr>
                <w:rFonts w:hint="eastAsia" w:ascii="宋体" w:hAnsi="宋体" w:eastAsia="宋体" w:cs="宋体"/>
                <w:b w:val="0"/>
                <w:bCs w:val="0"/>
                <w:i w:val="0"/>
                <w:color w:val="auto"/>
                <w:kern w:val="0"/>
                <w:sz w:val="20"/>
                <w:szCs w:val="20"/>
                <w:u w:val="none"/>
                <w:lang w:val="en-US" w:eastAsia="zh-CN" w:bidi="ar"/>
              </w:rPr>
              <w:t>出水pH/T在线检测仪</w:t>
            </w:r>
          </w:p>
        </w:tc>
        <w:tc>
          <w:tcPr>
            <w:tcW w:w="1855" w:type="dxa"/>
            <w:vAlign w:val="center"/>
          </w:tcPr>
          <w:p w14:paraId="7E062C7E">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0"/>
                <w:szCs w:val="20"/>
              </w:rPr>
            </w:pPr>
            <w:r>
              <w:rPr>
                <w:rFonts w:hint="eastAsia" w:ascii="宋体" w:hAnsi="宋体" w:eastAsia="宋体" w:cs="宋体"/>
                <w:b w:val="0"/>
                <w:bCs w:val="0"/>
                <w:i w:val="0"/>
                <w:color w:val="auto"/>
                <w:kern w:val="0"/>
                <w:sz w:val="20"/>
                <w:szCs w:val="20"/>
                <w:u w:val="none"/>
                <w:lang w:val="en-US" w:eastAsia="zh-CN" w:bidi="ar"/>
              </w:rPr>
              <w:t>Model SC100型</w:t>
            </w:r>
          </w:p>
        </w:tc>
        <w:tc>
          <w:tcPr>
            <w:tcW w:w="2065" w:type="dxa"/>
            <w:vAlign w:val="center"/>
          </w:tcPr>
          <w:p w14:paraId="6E046EB0">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w:t>
            </w:r>
          </w:p>
        </w:tc>
        <w:tc>
          <w:tcPr>
            <w:tcW w:w="2065" w:type="dxa"/>
            <w:vAlign w:val="center"/>
          </w:tcPr>
          <w:p w14:paraId="7C6588FC">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FF0000"/>
                <w:sz w:val="20"/>
                <w:szCs w:val="20"/>
                <w:highlight w:val="yellow"/>
                <w:lang w:val="en-US" w:eastAsia="zh-CN"/>
              </w:rPr>
            </w:pPr>
            <w:r>
              <w:rPr>
                <w:rFonts w:hint="eastAsia" w:ascii="宋体" w:hAnsi="宋体" w:eastAsia="宋体" w:cs="宋体"/>
                <w:color w:val="auto"/>
                <w:sz w:val="20"/>
                <w:szCs w:val="20"/>
                <w:highlight w:val="none"/>
                <w:shd w:val="clear"/>
                <w:lang w:val="en-US" w:eastAsia="zh-CN"/>
              </w:rPr>
              <w:t>台</w:t>
            </w:r>
          </w:p>
        </w:tc>
        <w:tc>
          <w:tcPr>
            <w:tcW w:w="1902" w:type="dxa"/>
            <w:vAlign w:val="center"/>
          </w:tcPr>
          <w:p w14:paraId="5446310B">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0"/>
                <w:szCs w:val="20"/>
              </w:rPr>
            </w:pPr>
            <w:r>
              <w:rPr>
                <w:rFonts w:hint="eastAsia" w:ascii="宋体" w:hAnsi="宋体" w:eastAsia="宋体" w:cs="宋体"/>
                <w:b w:val="0"/>
                <w:bCs w:val="0"/>
                <w:i w:val="0"/>
                <w:color w:val="auto"/>
                <w:kern w:val="0"/>
                <w:sz w:val="20"/>
                <w:szCs w:val="20"/>
                <w:u w:val="none"/>
                <w:lang w:val="en-US" w:eastAsia="zh-CN" w:bidi="ar"/>
              </w:rPr>
              <w:t>哈希水质分析仪器（上海）有限公司</w:t>
            </w:r>
          </w:p>
        </w:tc>
      </w:tr>
      <w:tr w14:paraId="27FC8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088" w:type="dxa"/>
            <w:vAlign w:val="center"/>
          </w:tcPr>
          <w:p w14:paraId="162C9C28">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0"/>
                <w:szCs w:val="20"/>
              </w:rPr>
            </w:pPr>
            <w:r>
              <w:rPr>
                <w:rFonts w:hint="eastAsia" w:ascii="宋体" w:hAnsi="宋体" w:eastAsia="宋体" w:cs="宋体"/>
                <w:b w:val="0"/>
                <w:bCs w:val="0"/>
                <w:i w:val="0"/>
                <w:color w:val="auto"/>
                <w:kern w:val="0"/>
                <w:sz w:val="20"/>
                <w:szCs w:val="20"/>
                <w:u w:val="none"/>
                <w:lang w:val="en-US" w:eastAsia="zh-CN" w:bidi="ar"/>
              </w:rPr>
              <w:t>出水COD在线检测仪</w:t>
            </w:r>
          </w:p>
        </w:tc>
        <w:tc>
          <w:tcPr>
            <w:tcW w:w="1855" w:type="dxa"/>
            <w:vAlign w:val="center"/>
          </w:tcPr>
          <w:p w14:paraId="7D204CF3">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color w:val="FF0000"/>
                <w:sz w:val="20"/>
                <w:szCs w:val="20"/>
                <w:lang w:val="en-US" w:eastAsia="zh-CN"/>
              </w:rPr>
            </w:pPr>
            <w:r>
              <w:rPr>
                <w:rFonts w:hint="eastAsia" w:ascii="宋体" w:hAnsi="宋体" w:eastAsia="宋体" w:cs="宋体"/>
                <w:b w:val="0"/>
                <w:bCs w:val="0"/>
                <w:i w:val="0"/>
                <w:color w:val="auto"/>
                <w:kern w:val="0"/>
                <w:sz w:val="20"/>
                <w:szCs w:val="20"/>
                <w:u w:val="none"/>
                <w:lang w:val="en-US" w:eastAsia="zh-CN" w:bidi="ar"/>
              </w:rPr>
              <w:t>COD-4210</w:t>
            </w:r>
          </w:p>
        </w:tc>
        <w:tc>
          <w:tcPr>
            <w:tcW w:w="2065" w:type="dxa"/>
            <w:vAlign w:val="center"/>
          </w:tcPr>
          <w:p w14:paraId="5DFADDF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w:t>
            </w:r>
          </w:p>
        </w:tc>
        <w:tc>
          <w:tcPr>
            <w:tcW w:w="2065" w:type="dxa"/>
            <w:vAlign w:val="center"/>
          </w:tcPr>
          <w:p w14:paraId="47C20FBB">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0"/>
                <w:szCs w:val="20"/>
                <w:highlight w:val="yellow"/>
              </w:rPr>
            </w:pPr>
            <w:r>
              <w:rPr>
                <w:rFonts w:hint="eastAsia" w:ascii="宋体" w:hAnsi="宋体" w:eastAsia="宋体" w:cs="宋体"/>
                <w:color w:val="auto"/>
                <w:sz w:val="20"/>
                <w:szCs w:val="20"/>
                <w:highlight w:val="none"/>
                <w:shd w:val="clear"/>
                <w:lang w:val="en-US" w:eastAsia="zh-CN"/>
              </w:rPr>
              <w:t>台</w:t>
            </w:r>
          </w:p>
        </w:tc>
        <w:tc>
          <w:tcPr>
            <w:tcW w:w="1902" w:type="dxa"/>
            <w:vAlign w:val="center"/>
          </w:tcPr>
          <w:p w14:paraId="51D6E3E6">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0"/>
                <w:szCs w:val="20"/>
              </w:rPr>
            </w:pPr>
            <w:r>
              <w:rPr>
                <w:rFonts w:hint="eastAsia" w:ascii="宋体" w:hAnsi="宋体" w:eastAsia="宋体" w:cs="宋体"/>
                <w:b w:val="0"/>
                <w:bCs w:val="0"/>
                <w:i w:val="0"/>
                <w:color w:val="auto"/>
                <w:kern w:val="0"/>
                <w:sz w:val="20"/>
                <w:szCs w:val="20"/>
                <w:u w:val="none"/>
                <w:lang w:val="en-US" w:eastAsia="zh-CN" w:bidi="ar"/>
              </w:rPr>
              <w:t>岛津企业管理（中国）有限公司</w:t>
            </w:r>
          </w:p>
        </w:tc>
      </w:tr>
      <w:tr w14:paraId="652AD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088" w:type="dxa"/>
            <w:vAlign w:val="center"/>
          </w:tcPr>
          <w:p w14:paraId="41BBE13D">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0"/>
                <w:szCs w:val="20"/>
              </w:rPr>
            </w:pPr>
            <w:r>
              <w:rPr>
                <w:rFonts w:hint="eastAsia" w:ascii="宋体" w:hAnsi="宋体" w:eastAsia="宋体" w:cs="宋体"/>
                <w:b w:val="0"/>
                <w:bCs w:val="0"/>
                <w:i w:val="0"/>
                <w:color w:val="auto"/>
                <w:kern w:val="0"/>
                <w:sz w:val="20"/>
                <w:szCs w:val="20"/>
                <w:u w:val="none"/>
                <w:lang w:val="en-US" w:eastAsia="zh-CN" w:bidi="ar"/>
              </w:rPr>
              <w:t>出水氨氮在线检测仪</w:t>
            </w:r>
          </w:p>
        </w:tc>
        <w:tc>
          <w:tcPr>
            <w:tcW w:w="1855" w:type="dxa"/>
            <w:vAlign w:val="center"/>
          </w:tcPr>
          <w:p w14:paraId="6BD4725B">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color w:val="FF0000"/>
                <w:sz w:val="20"/>
                <w:szCs w:val="20"/>
                <w:lang w:val="en-US"/>
              </w:rPr>
            </w:pPr>
            <w:r>
              <w:rPr>
                <w:rFonts w:hint="eastAsia" w:ascii="宋体" w:hAnsi="宋体" w:eastAsia="宋体" w:cs="宋体"/>
                <w:b w:val="0"/>
                <w:bCs w:val="0"/>
                <w:i w:val="0"/>
                <w:color w:val="auto"/>
                <w:kern w:val="0"/>
                <w:sz w:val="20"/>
                <w:szCs w:val="20"/>
                <w:u w:val="none"/>
                <w:lang w:val="en-US" w:eastAsia="zh-CN" w:bidi="ar"/>
              </w:rPr>
              <w:t>NHN-4210</w:t>
            </w:r>
          </w:p>
        </w:tc>
        <w:tc>
          <w:tcPr>
            <w:tcW w:w="2065" w:type="dxa"/>
            <w:vAlign w:val="center"/>
          </w:tcPr>
          <w:p w14:paraId="3656974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w:t>
            </w:r>
          </w:p>
        </w:tc>
        <w:tc>
          <w:tcPr>
            <w:tcW w:w="2065" w:type="dxa"/>
            <w:vAlign w:val="center"/>
          </w:tcPr>
          <w:p w14:paraId="6D20B123">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0"/>
                <w:szCs w:val="20"/>
                <w:highlight w:val="yellow"/>
              </w:rPr>
            </w:pPr>
            <w:r>
              <w:rPr>
                <w:rFonts w:hint="eastAsia" w:ascii="宋体" w:hAnsi="宋体" w:eastAsia="宋体" w:cs="宋体"/>
                <w:color w:val="auto"/>
                <w:sz w:val="20"/>
                <w:szCs w:val="20"/>
                <w:highlight w:val="none"/>
                <w:shd w:val="clear"/>
                <w:lang w:val="en-US" w:eastAsia="zh-CN"/>
              </w:rPr>
              <w:t>台</w:t>
            </w:r>
          </w:p>
        </w:tc>
        <w:tc>
          <w:tcPr>
            <w:tcW w:w="1902" w:type="dxa"/>
            <w:vAlign w:val="center"/>
          </w:tcPr>
          <w:p w14:paraId="6A004716">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0"/>
                <w:szCs w:val="20"/>
              </w:rPr>
            </w:pPr>
            <w:r>
              <w:rPr>
                <w:rFonts w:hint="eastAsia" w:ascii="宋体" w:hAnsi="宋体" w:eastAsia="宋体" w:cs="宋体"/>
                <w:b w:val="0"/>
                <w:bCs w:val="0"/>
                <w:i w:val="0"/>
                <w:color w:val="auto"/>
                <w:kern w:val="0"/>
                <w:sz w:val="20"/>
                <w:szCs w:val="20"/>
                <w:u w:val="none"/>
                <w:lang w:val="en-US" w:eastAsia="zh-CN" w:bidi="ar"/>
              </w:rPr>
              <w:t>岛津企业管理（中国）有限公司</w:t>
            </w:r>
          </w:p>
        </w:tc>
      </w:tr>
      <w:tr w14:paraId="05558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088" w:type="dxa"/>
            <w:vAlign w:val="center"/>
          </w:tcPr>
          <w:p w14:paraId="033A6719">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0"/>
                <w:szCs w:val="20"/>
              </w:rPr>
            </w:pPr>
            <w:r>
              <w:rPr>
                <w:rFonts w:hint="eastAsia" w:ascii="宋体" w:hAnsi="宋体" w:eastAsia="宋体" w:cs="宋体"/>
                <w:b w:val="0"/>
                <w:bCs w:val="0"/>
                <w:i w:val="0"/>
                <w:color w:val="auto"/>
                <w:kern w:val="0"/>
                <w:sz w:val="20"/>
                <w:szCs w:val="20"/>
                <w:u w:val="none"/>
                <w:lang w:val="en-US" w:eastAsia="zh-CN" w:bidi="ar"/>
              </w:rPr>
              <w:t>出水总磷总氮在线分析仪</w:t>
            </w:r>
          </w:p>
        </w:tc>
        <w:tc>
          <w:tcPr>
            <w:tcW w:w="1855" w:type="dxa"/>
            <w:vAlign w:val="center"/>
          </w:tcPr>
          <w:p w14:paraId="1ED541A3">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0"/>
                <w:szCs w:val="20"/>
              </w:rPr>
            </w:pPr>
            <w:r>
              <w:rPr>
                <w:rFonts w:hint="eastAsia" w:ascii="宋体" w:hAnsi="宋体" w:eastAsia="宋体" w:cs="宋体"/>
                <w:b w:val="0"/>
                <w:bCs w:val="0"/>
                <w:i w:val="0"/>
                <w:color w:val="auto"/>
                <w:kern w:val="0"/>
                <w:sz w:val="20"/>
                <w:szCs w:val="20"/>
                <w:u w:val="none"/>
                <w:lang w:val="en-US" w:eastAsia="zh-CN" w:bidi="ar"/>
              </w:rPr>
              <w:t>TNP-4200型</w:t>
            </w:r>
          </w:p>
        </w:tc>
        <w:tc>
          <w:tcPr>
            <w:tcW w:w="2065" w:type="dxa"/>
            <w:vAlign w:val="center"/>
          </w:tcPr>
          <w:p w14:paraId="3346C9D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w:t>
            </w:r>
          </w:p>
        </w:tc>
        <w:tc>
          <w:tcPr>
            <w:tcW w:w="2065" w:type="dxa"/>
            <w:vAlign w:val="center"/>
          </w:tcPr>
          <w:p w14:paraId="420CF681">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0"/>
                <w:szCs w:val="20"/>
                <w:highlight w:val="yellow"/>
              </w:rPr>
            </w:pPr>
            <w:r>
              <w:rPr>
                <w:rFonts w:hint="eastAsia" w:ascii="宋体" w:hAnsi="宋体" w:eastAsia="宋体" w:cs="宋体"/>
                <w:color w:val="auto"/>
                <w:sz w:val="20"/>
                <w:szCs w:val="20"/>
                <w:highlight w:val="none"/>
                <w:shd w:val="clear"/>
                <w:lang w:val="en-US" w:eastAsia="zh-CN"/>
              </w:rPr>
              <w:t>台</w:t>
            </w:r>
          </w:p>
        </w:tc>
        <w:tc>
          <w:tcPr>
            <w:tcW w:w="1902" w:type="dxa"/>
            <w:vAlign w:val="center"/>
          </w:tcPr>
          <w:p w14:paraId="652C10AE">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0"/>
                <w:szCs w:val="20"/>
              </w:rPr>
            </w:pPr>
            <w:r>
              <w:rPr>
                <w:rFonts w:hint="eastAsia" w:ascii="宋体" w:hAnsi="宋体" w:eastAsia="宋体" w:cs="宋体"/>
                <w:b w:val="0"/>
                <w:bCs w:val="0"/>
                <w:i w:val="0"/>
                <w:color w:val="auto"/>
                <w:kern w:val="0"/>
                <w:sz w:val="20"/>
                <w:szCs w:val="20"/>
                <w:u w:val="none"/>
                <w:lang w:val="en-US" w:eastAsia="zh-CN" w:bidi="ar"/>
              </w:rPr>
              <w:t>岛津企业管理（中国）有限公司</w:t>
            </w:r>
          </w:p>
        </w:tc>
      </w:tr>
      <w:tr w14:paraId="21825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088" w:type="dxa"/>
            <w:vAlign w:val="center"/>
          </w:tcPr>
          <w:p w14:paraId="2EE1BA3A">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FF0000"/>
                <w:sz w:val="20"/>
                <w:szCs w:val="20"/>
              </w:rPr>
            </w:pPr>
            <w:r>
              <w:rPr>
                <w:rFonts w:hint="eastAsia" w:ascii="宋体" w:hAnsi="宋体" w:eastAsia="宋体" w:cs="宋体"/>
                <w:b w:val="0"/>
                <w:bCs w:val="0"/>
                <w:i w:val="0"/>
                <w:color w:val="auto"/>
                <w:kern w:val="0"/>
                <w:sz w:val="20"/>
                <w:szCs w:val="20"/>
                <w:u w:val="none"/>
                <w:lang w:val="en-US" w:eastAsia="zh-CN" w:bidi="ar"/>
              </w:rPr>
              <w:t>出水流量计</w:t>
            </w:r>
          </w:p>
        </w:tc>
        <w:tc>
          <w:tcPr>
            <w:tcW w:w="1855" w:type="dxa"/>
            <w:vAlign w:val="center"/>
          </w:tcPr>
          <w:p w14:paraId="5FF7EF81">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0"/>
                <w:szCs w:val="20"/>
              </w:rPr>
            </w:pPr>
            <w:r>
              <w:rPr>
                <w:rFonts w:hint="eastAsia" w:ascii="宋体" w:hAnsi="宋体" w:eastAsia="宋体" w:cs="宋体"/>
                <w:b w:val="0"/>
                <w:bCs w:val="0"/>
                <w:i w:val="0"/>
                <w:color w:val="auto"/>
                <w:kern w:val="0"/>
                <w:sz w:val="20"/>
                <w:szCs w:val="20"/>
                <w:u w:val="none"/>
                <w:lang w:val="en-US" w:eastAsia="zh-CN" w:bidi="ar"/>
              </w:rPr>
              <w:t>DN800电磁流量计</w:t>
            </w:r>
          </w:p>
        </w:tc>
        <w:tc>
          <w:tcPr>
            <w:tcW w:w="2065" w:type="dxa"/>
            <w:vAlign w:val="center"/>
          </w:tcPr>
          <w:p w14:paraId="3CEC4EEA">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FF0000"/>
                <w:sz w:val="20"/>
                <w:szCs w:val="20"/>
                <w:highlight w:val="yellow"/>
                <w:lang w:val="en-US" w:eastAsia="zh-CN"/>
              </w:rPr>
            </w:pPr>
            <w:r>
              <w:rPr>
                <w:rFonts w:hint="eastAsia" w:ascii="宋体" w:hAnsi="宋体" w:eastAsia="宋体" w:cs="宋体"/>
                <w:color w:val="auto"/>
                <w:sz w:val="20"/>
                <w:szCs w:val="20"/>
                <w:highlight w:val="none"/>
                <w:lang w:val="en-US" w:eastAsia="zh-CN"/>
              </w:rPr>
              <w:t>1</w:t>
            </w:r>
          </w:p>
        </w:tc>
        <w:tc>
          <w:tcPr>
            <w:tcW w:w="2065" w:type="dxa"/>
            <w:vAlign w:val="center"/>
          </w:tcPr>
          <w:p w14:paraId="68658DA0">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0"/>
                <w:szCs w:val="20"/>
                <w:highlight w:val="yellow"/>
              </w:rPr>
            </w:pPr>
            <w:r>
              <w:rPr>
                <w:rFonts w:hint="eastAsia" w:ascii="宋体" w:hAnsi="宋体" w:eastAsia="宋体" w:cs="宋体"/>
                <w:color w:val="auto"/>
                <w:sz w:val="20"/>
                <w:szCs w:val="20"/>
                <w:highlight w:val="none"/>
                <w:shd w:val="clear"/>
                <w:lang w:val="en-US" w:eastAsia="zh-CN"/>
              </w:rPr>
              <w:t>台</w:t>
            </w:r>
          </w:p>
        </w:tc>
        <w:tc>
          <w:tcPr>
            <w:tcW w:w="1902" w:type="dxa"/>
            <w:vAlign w:val="center"/>
          </w:tcPr>
          <w:p w14:paraId="7A15B600">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0"/>
                <w:szCs w:val="20"/>
              </w:rPr>
            </w:pPr>
            <w:r>
              <w:rPr>
                <w:rFonts w:hint="eastAsia" w:ascii="宋体" w:hAnsi="宋体" w:eastAsia="宋体" w:cs="宋体"/>
                <w:b w:val="0"/>
                <w:bCs w:val="0"/>
                <w:i w:val="0"/>
                <w:color w:val="auto"/>
                <w:kern w:val="0"/>
                <w:sz w:val="20"/>
                <w:szCs w:val="20"/>
                <w:u w:val="none"/>
                <w:lang w:val="en-US" w:eastAsia="zh-CN" w:bidi="ar"/>
              </w:rPr>
              <w:t>恩德斯豪斯分析仪器（苏州）有限公司</w:t>
            </w:r>
          </w:p>
        </w:tc>
      </w:tr>
      <w:tr w14:paraId="680D6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088" w:type="dxa"/>
            <w:vAlign w:val="center"/>
          </w:tcPr>
          <w:p w14:paraId="24DE614D">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FF0000"/>
                <w:sz w:val="20"/>
                <w:szCs w:val="20"/>
              </w:rPr>
            </w:pPr>
            <w:r>
              <w:rPr>
                <w:rFonts w:hint="eastAsia" w:ascii="宋体" w:hAnsi="宋体" w:eastAsia="宋体" w:cs="宋体"/>
                <w:b w:val="0"/>
                <w:bCs w:val="0"/>
                <w:i w:val="0"/>
                <w:color w:val="auto"/>
                <w:kern w:val="0"/>
                <w:sz w:val="20"/>
                <w:szCs w:val="20"/>
                <w:u w:val="none"/>
                <w:lang w:val="en-US" w:eastAsia="zh-CN" w:bidi="ar"/>
              </w:rPr>
              <w:t>进水流量计</w:t>
            </w:r>
          </w:p>
        </w:tc>
        <w:tc>
          <w:tcPr>
            <w:tcW w:w="1855" w:type="dxa"/>
            <w:vAlign w:val="center"/>
          </w:tcPr>
          <w:p w14:paraId="4E0058FB">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0"/>
                <w:szCs w:val="20"/>
              </w:rPr>
            </w:pPr>
            <w:r>
              <w:rPr>
                <w:rFonts w:hint="eastAsia" w:ascii="宋体" w:hAnsi="宋体" w:eastAsia="宋体" w:cs="宋体"/>
                <w:b w:val="0"/>
                <w:bCs w:val="0"/>
                <w:i w:val="0"/>
                <w:color w:val="auto"/>
                <w:kern w:val="0"/>
                <w:sz w:val="20"/>
                <w:szCs w:val="20"/>
                <w:u w:val="none"/>
                <w:lang w:val="en-US" w:eastAsia="zh-CN" w:bidi="ar"/>
              </w:rPr>
              <w:t>WT4300/DE41F电磁流量计</w:t>
            </w:r>
          </w:p>
        </w:tc>
        <w:tc>
          <w:tcPr>
            <w:tcW w:w="2065" w:type="dxa"/>
            <w:vAlign w:val="center"/>
          </w:tcPr>
          <w:p w14:paraId="233A6D8F">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0"/>
                <w:szCs w:val="20"/>
                <w:highlight w:val="yellow"/>
              </w:rPr>
            </w:pPr>
            <w:r>
              <w:rPr>
                <w:rFonts w:hint="eastAsia" w:ascii="宋体" w:hAnsi="宋体" w:eastAsia="宋体" w:cs="宋体"/>
                <w:b w:val="0"/>
                <w:bCs w:val="0"/>
                <w:i w:val="0"/>
                <w:color w:val="auto"/>
                <w:kern w:val="0"/>
                <w:sz w:val="20"/>
                <w:szCs w:val="20"/>
                <w:u w:val="none"/>
                <w:lang w:val="en-US" w:eastAsia="zh-CN" w:bidi="ar"/>
              </w:rPr>
              <w:t>1</w:t>
            </w:r>
          </w:p>
        </w:tc>
        <w:tc>
          <w:tcPr>
            <w:tcW w:w="2065" w:type="dxa"/>
            <w:vAlign w:val="center"/>
          </w:tcPr>
          <w:p w14:paraId="6EED7DA8">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0"/>
                <w:szCs w:val="20"/>
                <w:highlight w:val="yellow"/>
              </w:rPr>
            </w:pPr>
            <w:r>
              <w:rPr>
                <w:rFonts w:hint="eastAsia" w:ascii="宋体" w:hAnsi="宋体" w:eastAsia="宋体" w:cs="宋体"/>
                <w:color w:val="auto"/>
                <w:sz w:val="20"/>
                <w:szCs w:val="20"/>
                <w:highlight w:val="none"/>
                <w:shd w:val="clear"/>
                <w:lang w:val="en-US" w:eastAsia="zh-CN"/>
              </w:rPr>
              <w:t>台</w:t>
            </w:r>
          </w:p>
        </w:tc>
        <w:tc>
          <w:tcPr>
            <w:tcW w:w="1902" w:type="dxa"/>
            <w:vAlign w:val="center"/>
          </w:tcPr>
          <w:p w14:paraId="0C02920F">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color w:val="FF0000"/>
                <w:sz w:val="20"/>
                <w:szCs w:val="20"/>
                <w:lang w:val="en-US"/>
              </w:rPr>
            </w:pPr>
            <w:r>
              <w:rPr>
                <w:rFonts w:hint="eastAsia" w:ascii="宋体" w:hAnsi="宋体" w:eastAsia="宋体" w:cs="宋体"/>
                <w:b w:val="0"/>
                <w:bCs w:val="0"/>
                <w:i w:val="0"/>
                <w:color w:val="auto"/>
                <w:kern w:val="0"/>
                <w:sz w:val="20"/>
                <w:szCs w:val="20"/>
                <w:u w:val="none"/>
                <w:lang w:val="en-US" w:eastAsia="zh-CN" w:bidi="ar"/>
              </w:rPr>
              <w:t>上海威尔泰仪器仪表有限公司</w:t>
            </w:r>
          </w:p>
        </w:tc>
      </w:tr>
      <w:tr w14:paraId="63A2A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088" w:type="dxa"/>
            <w:vAlign w:val="center"/>
          </w:tcPr>
          <w:p w14:paraId="08B98BA9">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FF0000"/>
                <w:sz w:val="20"/>
                <w:szCs w:val="20"/>
              </w:rPr>
            </w:pPr>
            <w:r>
              <w:rPr>
                <w:rFonts w:hint="eastAsia" w:ascii="宋体" w:hAnsi="宋体" w:eastAsia="宋体" w:cs="宋体"/>
                <w:b w:val="0"/>
                <w:bCs w:val="0"/>
                <w:i w:val="0"/>
                <w:color w:val="auto"/>
                <w:kern w:val="0"/>
                <w:sz w:val="20"/>
                <w:szCs w:val="20"/>
                <w:u w:val="none"/>
                <w:lang w:val="en-US" w:eastAsia="zh-CN" w:bidi="ar"/>
              </w:rPr>
              <w:t>进水流量计</w:t>
            </w:r>
          </w:p>
        </w:tc>
        <w:tc>
          <w:tcPr>
            <w:tcW w:w="1855" w:type="dxa"/>
            <w:vAlign w:val="center"/>
          </w:tcPr>
          <w:p w14:paraId="5F972B3A">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0"/>
                <w:szCs w:val="20"/>
              </w:rPr>
            </w:pPr>
            <w:r>
              <w:rPr>
                <w:rFonts w:hint="eastAsia" w:ascii="宋体" w:hAnsi="宋体" w:eastAsia="宋体" w:cs="宋体"/>
                <w:b w:val="0"/>
                <w:bCs w:val="0"/>
                <w:i w:val="0"/>
                <w:color w:val="auto"/>
                <w:kern w:val="0"/>
                <w:sz w:val="20"/>
                <w:szCs w:val="20"/>
                <w:u w:val="none"/>
                <w:lang w:val="en-US" w:eastAsia="zh-CN" w:bidi="ar"/>
              </w:rPr>
              <w:t>DN600电磁流量计</w:t>
            </w:r>
          </w:p>
        </w:tc>
        <w:tc>
          <w:tcPr>
            <w:tcW w:w="2065" w:type="dxa"/>
            <w:vAlign w:val="center"/>
          </w:tcPr>
          <w:p w14:paraId="240DEF6B">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0"/>
                <w:szCs w:val="20"/>
                <w:highlight w:val="yellow"/>
              </w:rPr>
            </w:pPr>
            <w:r>
              <w:rPr>
                <w:rFonts w:hint="eastAsia" w:ascii="宋体" w:hAnsi="宋体" w:eastAsia="宋体" w:cs="宋体"/>
                <w:b w:val="0"/>
                <w:bCs w:val="0"/>
                <w:i w:val="0"/>
                <w:color w:val="auto"/>
                <w:kern w:val="0"/>
                <w:sz w:val="20"/>
                <w:szCs w:val="20"/>
                <w:u w:val="none"/>
                <w:lang w:val="en-US" w:eastAsia="zh-CN" w:bidi="ar"/>
              </w:rPr>
              <w:t>1</w:t>
            </w:r>
          </w:p>
        </w:tc>
        <w:tc>
          <w:tcPr>
            <w:tcW w:w="2065" w:type="dxa"/>
            <w:vAlign w:val="center"/>
          </w:tcPr>
          <w:p w14:paraId="09CC091B">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0"/>
                <w:szCs w:val="20"/>
                <w:highlight w:val="yellow"/>
              </w:rPr>
            </w:pPr>
            <w:r>
              <w:rPr>
                <w:rFonts w:hint="eastAsia" w:ascii="宋体" w:hAnsi="宋体" w:eastAsia="宋体" w:cs="宋体"/>
                <w:color w:val="auto"/>
                <w:sz w:val="20"/>
                <w:szCs w:val="20"/>
                <w:highlight w:val="none"/>
                <w:shd w:val="clear"/>
                <w:lang w:val="en-US" w:eastAsia="zh-CN"/>
              </w:rPr>
              <w:t>台</w:t>
            </w:r>
          </w:p>
        </w:tc>
        <w:tc>
          <w:tcPr>
            <w:tcW w:w="1902" w:type="dxa"/>
            <w:vAlign w:val="center"/>
          </w:tcPr>
          <w:p w14:paraId="21D39839">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0"/>
                <w:szCs w:val="20"/>
              </w:rPr>
            </w:pPr>
            <w:r>
              <w:rPr>
                <w:rFonts w:hint="eastAsia" w:ascii="宋体" w:hAnsi="宋体" w:eastAsia="宋体" w:cs="宋体"/>
                <w:b w:val="0"/>
                <w:bCs w:val="0"/>
                <w:i w:val="0"/>
                <w:color w:val="auto"/>
                <w:kern w:val="0"/>
                <w:sz w:val="20"/>
                <w:szCs w:val="20"/>
                <w:u w:val="none"/>
                <w:lang w:val="en-US" w:eastAsia="zh-CN" w:bidi="ar"/>
              </w:rPr>
              <w:t>恩德斯豪斯分析仪器（苏州）有限公司</w:t>
            </w:r>
          </w:p>
        </w:tc>
      </w:tr>
      <w:tr w14:paraId="5AF86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088" w:type="dxa"/>
            <w:vAlign w:val="center"/>
          </w:tcPr>
          <w:p w14:paraId="5FFDF3B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FF0000"/>
                <w:sz w:val="20"/>
                <w:szCs w:val="20"/>
              </w:rPr>
            </w:pPr>
            <w:r>
              <w:rPr>
                <w:rFonts w:hint="eastAsia" w:ascii="宋体" w:hAnsi="宋体" w:eastAsia="宋体" w:cs="宋体"/>
                <w:b w:val="0"/>
                <w:bCs w:val="0"/>
                <w:i w:val="0"/>
                <w:color w:val="auto"/>
                <w:kern w:val="0"/>
                <w:sz w:val="20"/>
                <w:szCs w:val="20"/>
                <w:u w:val="none"/>
                <w:lang w:val="en-US" w:eastAsia="zh-CN" w:bidi="ar"/>
              </w:rPr>
              <w:t>进水氨氮在线检测仪</w:t>
            </w:r>
          </w:p>
        </w:tc>
        <w:tc>
          <w:tcPr>
            <w:tcW w:w="1855" w:type="dxa"/>
            <w:vAlign w:val="center"/>
          </w:tcPr>
          <w:p w14:paraId="3C1C53F2">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0"/>
                <w:szCs w:val="20"/>
              </w:rPr>
            </w:pPr>
            <w:r>
              <w:rPr>
                <w:rFonts w:hint="eastAsia" w:ascii="宋体" w:hAnsi="宋体" w:eastAsia="宋体" w:cs="宋体"/>
                <w:b w:val="0"/>
                <w:bCs w:val="0"/>
                <w:i w:val="0"/>
                <w:color w:val="auto"/>
                <w:kern w:val="0"/>
                <w:sz w:val="20"/>
                <w:szCs w:val="20"/>
                <w:u w:val="none"/>
                <w:lang w:val="en-US" w:eastAsia="zh-CN" w:bidi="ar"/>
              </w:rPr>
              <w:t>CA80AM</w:t>
            </w:r>
          </w:p>
        </w:tc>
        <w:tc>
          <w:tcPr>
            <w:tcW w:w="2065" w:type="dxa"/>
            <w:vAlign w:val="center"/>
          </w:tcPr>
          <w:p w14:paraId="2432472A">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color w:val="FF0000"/>
                <w:sz w:val="20"/>
                <w:szCs w:val="20"/>
                <w:highlight w:val="yellow"/>
                <w:lang w:val="en-US"/>
              </w:rPr>
            </w:pPr>
            <w:r>
              <w:rPr>
                <w:rFonts w:hint="eastAsia" w:ascii="宋体" w:hAnsi="宋体" w:eastAsia="宋体" w:cs="宋体"/>
                <w:b w:val="0"/>
                <w:bCs w:val="0"/>
                <w:i w:val="0"/>
                <w:color w:val="auto"/>
                <w:kern w:val="0"/>
                <w:sz w:val="20"/>
                <w:szCs w:val="20"/>
                <w:u w:val="none"/>
                <w:lang w:val="en-US" w:eastAsia="zh-CN" w:bidi="ar"/>
              </w:rPr>
              <w:t>1</w:t>
            </w:r>
          </w:p>
        </w:tc>
        <w:tc>
          <w:tcPr>
            <w:tcW w:w="2065" w:type="dxa"/>
            <w:vAlign w:val="center"/>
          </w:tcPr>
          <w:p w14:paraId="3B8A6E5E">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0"/>
                <w:szCs w:val="20"/>
                <w:highlight w:val="yellow"/>
              </w:rPr>
            </w:pPr>
            <w:r>
              <w:rPr>
                <w:rFonts w:hint="eastAsia" w:ascii="宋体" w:hAnsi="宋体" w:eastAsia="宋体" w:cs="宋体"/>
                <w:color w:val="auto"/>
                <w:sz w:val="20"/>
                <w:szCs w:val="20"/>
                <w:highlight w:val="none"/>
                <w:shd w:val="clear"/>
                <w:lang w:val="en-US" w:eastAsia="zh-CN"/>
              </w:rPr>
              <w:t>台</w:t>
            </w:r>
          </w:p>
        </w:tc>
        <w:tc>
          <w:tcPr>
            <w:tcW w:w="1902" w:type="dxa"/>
            <w:vAlign w:val="center"/>
          </w:tcPr>
          <w:p w14:paraId="21D72BE2">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0"/>
                <w:szCs w:val="20"/>
              </w:rPr>
            </w:pPr>
            <w:r>
              <w:rPr>
                <w:rFonts w:hint="eastAsia" w:ascii="宋体" w:hAnsi="宋体" w:eastAsia="宋体" w:cs="宋体"/>
                <w:b w:val="0"/>
                <w:bCs w:val="0"/>
                <w:i w:val="0"/>
                <w:color w:val="auto"/>
                <w:kern w:val="0"/>
                <w:sz w:val="20"/>
                <w:szCs w:val="20"/>
                <w:u w:val="none"/>
                <w:lang w:val="en-US" w:eastAsia="zh-CN" w:bidi="ar"/>
              </w:rPr>
              <w:t>恩德斯豪斯分析仪器（苏州）有限公司</w:t>
            </w:r>
          </w:p>
        </w:tc>
      </w:tr>
      <w:tr w14:paraId="30DA5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088" w:type="dxa"/>
            <w:vAlign w:val="center"/>
          </w:tcPr>
          <w:p w14:paraId="0BC4190A">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FF0000"/>
                <w:sz w:val="20"/>
                <w:szCs w:val="20"/>
              </w:rPr>
            </w:pPr>
            <w:r>
              <w:rPr>
                <w:rFonts w:hint="eastAsia" w:ascii="宋体" w:hAnsi="宋体" w:eastAsia="宋体" w:cs="宋体"/>
                <w:b w:val="0"/>
                <w:bCs w:val="0"/>
                <w:i w:val="0"/>
                <w:color w:val="auto"/>
                <w:kern w:val="0"/>
                <w:sz w:val="20"/>
                <w:szCs w:val="20"/>
                <w:u w:val="none"/>
                <w:lang w:val="en-US" w:eastAsia="zh-CN" w:bidi="ar"/>
              </w:rPr>
              <w:t>进水COD在线检测仪</w:t>
            </w:r>
          </w:p>
        </w:tc>
        <w:tc>
          <w:tcPr>
            <w:tcW w:w="1855" w:type="dxa"/>
            <w:vAlign w:val="center"/>
          </w:tcPr>
          <w:p w14:paraId="14FD2006">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color w:val="FF0000"/>
                <w:sz w:val="20"/>
                <w:szCs w:val="20"/>
                <w:lang w:val="en-US"/>
              </w:rPr>
            </w:pPr>
            <w:r>
              <w:rPr>
                <w:rFonts w:hint="eastAsia" w:ascii="宋体" w:hAnsi="宋体" w:eastAsia="宋体" w:cs="宋体"/>
                <w:b w:val="0"/>
                <w:bCs w:val="0"/>
                <w:i w:val="0"/>
                <w:color w:val="auto"/>
                <w:kern w:val="0"/>
                <w:sz w:val="20"/>
                <w:szCs w:val="20"/>
                <w:u w:val="none"/>
                <w:lang w:val="en-US" w:eastAsia="zh-CN" w:bidi="ar"/>
              </w:rPr>
              <w:t>COD-4210</w:t>
            </w:r>
          </w:p>
        </w:tc>
        <w:tc>
          <w:tcPr>
            <w:tcW w:w="2065" w:type="dxa"/>
            <w:vAlign w:val="center"/>
          </w:tcPr>
          <w:p w14:paraId="6410F49A">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FF0000"/>
                <w:kern w:val="2"/>
                <w:sz w:val="20"/>
                <w:szCs w:val="20"/>
                <w:highlight w:val="yellow"/>
                <w:lang w:val="en-US" w:eastAsia="zh-CN" w:bidi="ar-SA"/>
              </w:rPr>
            </w:pPr>
            <w:r>
              <w:rPr>
                <w:rFonts w:hint="eastAsia" w:ascii="宋体" w:hAnsi="宋体" w:eastAsia="宋体" w:cs="宋体"/>
                <w:b w:val="0"/>
                <w:bCs w:val="0"/>
                <w:i w:val="0"/>
                <w:color w:val="auto"/>
                <w:kern w:val="0"/>
                <w:sz w:val="20"/>
                <w:szCs w:val="20"/>
                <w:u w:val="none"/>
                <w:lang w:val="en-US" w:eastAsia="zh-CN" w:bidi="ar"/>
              </w:rPr>
              <w:t>1</w:t>
            </w:r>
          </w:p>
        </w:tc>
        <w:tc>
          <w:tcPr>
            <w:tcW w:w="2065" w:type="dxa"/>
            <w:vAlign w:val="center"/>
          </w:tcPr>
          <w:p w14:paraId="0446F0BF">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0"/>
                <w:szCs w:val="20"/>
                <w:highlight w:val="yellow"/>
              </w:rPr>
            </w:pPr>
            <w:r>
              <w:rPr>
                <w:rFonts w:hint="eastAsia" w:ascii="宋体" w:hAnsi="宋体" w:eastAsia="宋体" w:cs="宋体"/>
                <w:color w:val="auto"/>
                <w:sz w:val="20"/>
                <w:szCs w:val="20"/>
                <w:highlight w:val="none"/>
                <w:shd w:val="clear"/>
                <w:lang w:val="en-US" w:eastAsia="zh-CN"/>
              </w:rPr>
              <w:t>台</w:t>
            </w:r>
          </w:p>
        </w:tc>
        <w:tc>
          <w:tcPr>
            <w:tcW w:w="1902" w:type="dxa"/>
            <w:vAlign w:val="center"/>
          </w:tcPr>
          <w:p w14:paraId="26896E92">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0"/>
                <w:szCs w:val="20"/>
              </w:rPr>
            </w:pPr>
            <w:r>
              <w:rPr>
                <w:rFonts w:hint="eastAsia" w:ascii="宋体" w:hAnsi="宋体" w:eastAsia="宋体" w:cs="宋体"/>
                <w:b w:val="0"/>
                <w:bCs w:val="0"/>
                <w:i w:val="0"/>
                <w:color w:val="auto"/>
                <w:kern w:val="0"/>
                <w:sz w:val="20"/>
                <w:szCs w:val="20"/>
                <w:u w:val="none"/>
                <w:lang w:val="en-US" w:eastAsia="zh-CN" w:bidi="ar"/>
              </w:rPr>
              <w:t>岛津企业管理（中国）有限公司</w:t>
            </w:r>
          </w:p>
        </w:tc>
      </w:tr>
      <w:tr w14:paraId="32B53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088" w:type="dxa"/>
            <w:vAlign w:val="center"/>
          </w:tcPr>
          <w:p w14:paraId="046277F0">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FF0000"/>
                <w:sz w:val="20"/>
                <w:szCs w:val="20"/>
              </w:rPr>
            </w:pPr>
            <w:r>
              <w:rPr>
                <w:rFonts w:hint="eastAsia" w:ascii="宋体" w:hAnsi="宋体" w:eastAsia="宋体" w:cs="宋体"/>
                <w:b w:val="0"/>
                <w:bCs w:val="0"/>
                <w:i w:val="0"/>
                <w:color w:val="auto"/>
                <w:kern w:val="0"/>
                <w:sz w:val="20"/>
                <w:szCs w:val="20"/>
                <w:u w:val="none"/>
                <w:lang w:val="en-US" w:eastAsia="zh-CN" w:bidi="ar"/>
              </w:rPr>
              <w:t>进水PH在线检测仪</w:t>
            </w:r>
          </w:p>
        </w:tc>
        <w:tc>
          <w:tcPr>
            <w:tcW w:w="1855" w:type="dxa"/>
            <w:vAlign w:val="center"/>
          </w:tcPr>
          <w:p w14:paraId="66EBEFF1">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0"/>
                <w:szCs w:val="20"/>
              </w:rPr>
            </w:pPr>
            <w:r>
              <w:rPr>
                <w:rFonts w:hint="eastAsia" w:ascii="宋体" w:hAnsi="宋体" w:eastAsia="宋体" w:cs="宋体"/>
                <w:b w:val="0"/>
                <w:bCs w:val="0"/>
                <w:i w:val="0"/>
                <w:color w:val="auto"/>
                <w:kern w:val="0"/>
                <w:sz w:val="20"/>
                <w:szCs w:val="20"/>
                <w:u w:val="none"/>
                <w:lang w:val="en-US" w:eastAsia="zh-CN" w:bidi="ar"/>
              </w:rPr>
              <w:t>CM253</w:t>
            </w:r>
          </w:p>
        </w:tc>
        <w:tc>
          <w:tcPr>
            <w:tcW w:w="2065" w:type="dxa"/>
            <w:vAlign w:val="center"/>
          </w:tcPr>
          <w:p w14:paraId="49652579">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color w:val="FF0000"/>
                <w:kern w:val="2"/>
                <w:sz w:val="20"/>
                <w:szCs w:val="20"/>
                <w:highlight w:val="yellow"/>
                <w:lang w:val="en-US" w:eastAsia="zh-CN" w:bidi="ar-SA"/>
              </w:rPr>
            </w:pPr>
            <w:r>
              <w:rPr>
                <w:rFonts w:hint="eastAsia" w:ascii="宋体" w:hAnsi="宋体" w:eastAsia="宋体" w:cs="宋体"/>
                <w:b w:val="0"/>
                <w:bCs w:val="0"/>
                <w:i w:val="0"/>
                <w:color w:val="auto"/>
                <w:kern w:val="0"/>
                <w:sz w:val="20"/>
                <w:szCs w:val="20"/>
                <w:u w:val="none"/>
                <w:lang w:val="en-US" w:eastAsia="zh-CN" w:bidi="ar"/>
              </w:rPr>
              <w:t>1</w:t>
            </w:r>
          </w:p>
        </w:tc>
        <w:tc>
          <w:tcPr>
            <w:tcW w:w="2065" w:type="dxa"/>
            <w:vAlign w:val="center"/>
          </w:tcPr>
          <w:p w14:paraId="05DA9226">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0"/>
                <w:szCs w:val="20"/>
                <w:highlight w:val="yellow"/>
              </w:rPr>
            </w:pPr>
            <w:r>
              <w:rPr>
                <w:rFonts w:hint="eastAsia" w:ascii="宋体" w:hAnsi="宋体" w:eastAsia="宋体" w:cs="宋体"/>
                <w:color w:val="auto"/>
                <w:sz w:val="20"/>
                <w:szCs w:val="20"/>
                <w:highlight w:val="none"/>
                <w:shd w:val="clear"/>
                <w:lang w:val="en-US" w:eastAsia="zh-CN"/>
              </w:rPr>
              <w:t>台</w:t>
            </w:r>
          </w:p>
        </w:tc>
        <w:tc>
          <w:tcPr>
            <w:tcW w:w="1902" w:type="dxa"/>
            <w:vAlign w:val="center"/>
          </w:tcPr>
          <w:p w14:paraId="361DBEBB">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kern w:val="2"/>
                <w:sz w:val="20"/>
                <w:szCs w:val="20"/>
                <w:lang w:val="en-US" w:eastAsia="zh-CN" w:bidi="ar-SA"/>
              </w:rPr>
            </w:pPr>
            <w:r>
              <w:rPr>
                <w:rFonts w:hint="eastAsia" w:ascii="宋体" w:hAnsi="宋体" w:eastAsia="宋体" w:cs="宋体"/>
                <w:b w:val="0"/>
                <w:bCs w:val="0"/>
                <w:i w:val="0"/>
                <w:color w:val="auto"/>
                <w:kern w:val="0"/>
                <w:sz w:val="20"/>
                <w:szCs w:val="20"/>
                <w:u w:val="none"/>
                <w:lang w:val="en-US" w:eastAsia="zh-CN" w:bidi="ar"/>
              </w:rPr>
              <w:t>岛津企业管理（中国）有限公司</w:t>
            </w:r>
          </w:p>
        </w:tc>
      </w:tr>
    </w:tbl>
    <w:p w14:paraId="2295BF87">
      <w:pPr>
        <w:pStyle w:val="24"/>
        <w:spacing w:line="240" w:lineRule="auto"/>
        <w:ind w:left="-420" w:leftChars="-200" w:firstLine="0" w:firstLineChars="0"/>
        <w:outlineLvl w:val="1"/>
        <w:rPr>
          <w:rFonts w:ascii="宋体" w:hAnsi="宋体"/>
          <w:sz w:val="28"/>
          <w:szCs w:val="28"/>
        </w:rPr>
      </w:pPr>
      <w:r>
        <w:rPr>
          <w:rFonts w:hint="eastAsia" w:ascii="宋体" w:hAnsi="宋体"/>
          <w:sz w:val="28"/>
          <w:szCs w:val="28"/>
        </w:rPr>
        <w:t>2、手工监测设备</w:t>
      </w:r>
    </w:p>
    <w:tbl>
      <w:tblPr>
        <w:tblStyle w:val="15"/>
        <w:tblW w:w="9848" w:type="dxa"/>
        <w:tblInd w:w="-4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2"/>
        <w:gridCol w:w="1536"/>
        <w:gridCol w:w="2003"/>
        <w:gridCol w:w="2079"/>
        <w:gridCol w:w="1788"/>
      </w:tblGrid>
      <w:tr w14:paraId="5BFBE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2" w:type="dxa"/>
          </w:tcPr>
          <w:p w14:paraId="4D9E078B">
            <w:pPr>
              <w:jc w:val="center"/>
              <w:rPr>
                <w:rFonts w:ascii="宋体" w:hAnsi="宋体" w:eastAsia="宋体" w:cs="宋体"/>
                <w:sz w:val="20"/>
                <w:szCs w:val="20"/>
              </w:rPr>
            </w:pPr>
            <w:r>
              <w:rPr>
                <w:rFonts w:hint="eastAsia" w:ascii="宋体" w:hAnsi="宋体" w:eastAsia="宋体" w:cs="宋体"/>
                <w:sz w:val="20"/>
                <w:szCs w:val="20"/>
              </w:rPr>
              <w:t>监测设备名称</w:t>
            </w:r>
          </w:p>
        </w:tc>
        <w:tc>
          <w:tcPr>
            <w:tcW w:w="1536" w:type="dxa"/>
          </w:tcPr>
          <w:p w14:paraId="28496762">
            <w:pPr>
              <w:jc w:val="center"/>
              <w:rPr>
                <w:rFonts w:ascii="宋体" w:hAnsi="宋体" w:eastAsia="宋体" w:cs="宋体"/>
                <w:sz w:val="20"/>
                <w:szCs w:val="20"/>
              </w:rPr>
            </w:pPr>
            <w:r>
              <w:rPr>
                <w:rFonts w:hint="eastAsia" w:ascii="宋体" w:hAnsi="宋体" w:eastAsia="宋体" w:cs="宋体"/>
                <w:sz w:val="20"/>
                <w:szCs w:val="20"/>
              </w:rPr>
              <w:t>型号</w:t>
            </w:r>
          </w:p>
        </w:tc>
        <w:tc>
          <w:tcPr>
            <w:tcW w:w="2003" w:type="dxa"/>
          </w:tcPr>
          <w:p w14:paraId="66C9B2F5">
            <w:pPr>
              <w:jc w:val="center"/>
              <w:rPr>
                <w:rFonts w:ascii="宋体" w:hAnsi="宋体" w:eastAsia="宋体" w:cs="宋体"/>
                <w:sz w:val="20"/>
                <w:szCs w:val="20"/>
              </w:rPr>
            </w:pPr>
            <w:r>
              <w:rPr>
                <w:rFonts w:hint="eastAsia" w:ascii="宋体" w:hAnsi="宋体" w:eastAsia="宋体" w:cs="宋体"/>
                <w:sz w:val="20"/>
                <w:szCs w:val="20"/>
              </w:rPr>
              <w:t>数量</w:t>
            </w:r>
          </w:p>
        </w:tc>
        <w:tc>
          <w:tcPr>
            <w:tcW w:w="2079" w:type="dxa"/>
          </w:tcPr>
          <w:p w14:paraId="33E9C40D">
            <w:pPr>
              <w:jc w:val="center"/>
              <w:rPr>
                <w:rFonts w:ascii="宋体" w:hAnsi="宋体" w:eastAsia="宋体" w:cs="宋体"/>
                <w:sz w:val="20"/>
                <w:szCs w:val="20"/>
              </w:rPr>
            </w:pPr>
            <w:r>
              <w:rPr>
                <w:rFonts w:hint="eastAsia" w:ascii="宋体" w:hAnsi="宋体" w:eastAsia="宋体" w:cs="宋体"/>
                <w:sz w:val="20"/>
                <w:szCs w:val="20"/>
              </w:rPr>
              <w:t>单位</w:t>
            </w:r>
          </w:p>
        </w:tc>
        <w:tc>
          <w:tcPr>
            <w:tcW w:w="1788" w:type="dxa"/>
          </w:tcPr>
          <w:p w14:paraId="3005D85E">
            <w:pPr>
              <w:jc w:val="center"/>
              <w:rPr>
                <w:rFonts w:ascii="宋体" w:hAnsi="宋体" w:eastAsia="宋体" w:cs="宋体"/>
                <w:sz w:val="20"/>
                <w:szCs w:val="20"/>
              </w:rPr>
            </w:pPr>
            <w:r>
              <w:rPr>
                <w:rFonts w:hint="eastAsia" w:ascii="宋体" w:hAnsi="宋体" w:eastAsia="宋体" w:cs="宋体"/>
                <w:sz w:val="20"/>
                <w:szCs w:val="20"/>
              </w:rPr>
              <w:t>生产厂家</w:t>
            </w:r>
          </w:p>
        </w:tc>
      </w:tr>
      <w:tr w14:paraId="49C46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2" w:type="dxa"/>
            <w:vAlign w:val="center"/>
          </w:tcPr>
          <w:p w14:paraId="05B15B51">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0"/>
                <w:szCs w:val="20"/>
              </w:rPr>
            </w:pPr>
            <w:r>
              <w:rPr>
                <w:rFonts w:hint="eastAsia" w:ascii="宋体" w:hAnsi="宋体" w:eastAsia="宋体" w:cs="宋体"/>
                <w:b w:val="0"/>
                <w:bCs w:val="0"/>
                <w:i w:val="0"/>
                <w:color w:val="auto"/>
                <w:kern w:val="0"/>
                <w:sz w:val="20"/>
                <w:szCs w:val="20"/>
                <w:u w:val="none"/>
                <w:lang w:val="en-US" w:eastAsia="zh-CN" w:bidi="ar"/>
              </w:rPr>
              <w:t>生化培养箱</w:t>
            </w:r>
          </w:p>
        </w:tc>
        <w:tc>
          <w:tcPr>
            <w:tcW w:w="1536" w:type="dxa"/>
            <w:vAlign w:val="center"/>
          </w:tcPr>
          <w:p w14:paraId="39DF1C9B">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0"/>
                <w:szCs w:val="20"/>
              </w:rPr>
            </w:pPr>
            <w:r>
              <w:rPr>
                <w:rFonts w:hint="eastAsia" w:ascii="宋体" w:hAnsi="宋体" w:eastAsia="宋体" w:cs="宋体"/>
                <w:b w:val="0"/>
                <w:bCs w:val="0"/>
                <w:i w:val="0"/>
                <w:color w:val="auto"/>
                <w:kern w:val="0"/>
                <w:sz w:val="20"/>
                <w:szCs w:val="20"/>
                <w:u w:val="none"/>
                <w:lang w:val="en-US" w:eastAsia="zh-CN" w:bidi="ar"/>
              </w:rPr>
              <w:t>SPX-250B-Z</w:t>
            </w:r>
          </w:p>
        </w:tc>
        <w:tc>
          <w:tcPr>
            <w:tcW w:w="2003" w:type="dxa"/>
            <w:vAlign w:val="center"/>
          </w:tcPr>
          <w:p w14:paraId="34D7034A">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0"/>
                <w:szCs w:val="20"/>
              </w:rPr>
            </w:pPr>
            <w:r>
              <w:rPr>
                <w:rFonts w:hint="eastAsia" w:ascii="宋体" w:hAnsi="宋体" w:eastAsia="宋体" w:cs="宋体"/>
                <w:color w:val="auto"/>
                <w:sz w:val="20"/>
                <w:szCs w:val="20"/>
                <w:lang w:val="en-US" w:eastAsia="zh-CN"/>
              </w:rPr>
              <w:t>1</w:t>
            </w:r>
          </w:p>
        </w:tc>
        <w:tc>
          <w:tcPr>
            <w:tcW w:w="2079" w:type="dxa"/>
            <w:vAlign w:val="center"/>
          </w:tcPr>
          <w:p w14:paraId="5387620F">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kern w:val="0"/>
                <w:sz w:val="20"/>
                <w:szCs w:val="20"/>
              </w:rPr>
            </w:pPr>
            <w:r>
              <w:rPr>
                <w:rFonts w:hint="eastAsia" w:ascii="宋体" w:hAnsi="宋体" w:eastAsia="宋体" w:cs="宋体"/>
                <w:color w:val="auto"/>
                <w:sz w:val="20"/>
                <w:szCs w:val="20"/>
                <w:highlight w:val="none"/>
                <w:shd w:val="clear"/>
                <w:lang w:val="en-US" w:eastAsia="zh-CN"/>
              </w:rPr>
              <w:t>台</w:t>
            </w:r>
          </w:p>
        </w:tc>
        <w:tc>
          <w:tcPr>
            <w:tcW w:w="1788" w:type="dxa"/>
            <w:vAlign w:val="center"/>
          </w:tcPr>
          <w:p w14:paraId="1AD9A7CC">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0"/>
                <w:szCs w:val="20"/>
              </w:rPr>
            </w:pPr>
            <w:r>
              <w:rPr>
                <w:rFonts w:hint="eastAsia" w:ascii="宋体" w:hAnsi="宋体" w:eastAsia="宋体" w:cs="宋体"/>
                <w:b w:val="0"/>
                <w:bCs w:val="0"/>
                <w:i w:val="0"/>
                <w:color w:val="auto"/>
                <w:kern w:val="0"/>
                <w:sz w:val="20"/>
                <w:szCs w:val="20"/>
                <w:u w:val="none"/>
                <w:lang w:val="en-US" w:eastAsia="zh-CN" w:bidi="ar"/>
              </w:rPr>
              <w:t>上海博迅医疗生物仪器股份有限公司</w:t>
            </w:r>
          </w:p>
        </w:tc>
      </w:tr>
      <w:tr w14:paraId="5FED7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2" w:type="dxa"/>
            <w:vAlign w:val="center"/>
          </w:tcPr>
          <w:p w14:paraId="1C745767">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0"/>
                <w:szCs w:val="20"/>
              </w:rPr>
            </w:pPr>
            <w:r>
              <w:rPr>
                <w:rFonts w:hint="eastAsia" w:ascii="宋体" w:hAnsi="宋体" w:eastAsia="宋体" w:cs="宋体"/>
                <w:b w:val="0"/>
                <w:bCs w:val="0"/>
                <w:i w:val="0"/>
                <w:color w:val="auto"/>
                <w:kern w:val="0"/>
                <w:sz w:val="20"/>
                <w:szCs w:val="20"/>
                <w:u w:val="none"/>
                <w:lang w:val="en-US" w:eastAsia="zh-CN" w:bidi="ar"/>
              </w:rPr>
              <w:t>手提式高压蒸汽灭菌器</w:t>
            </w:r>
          </w:p>
        </w:tc>
        <w:tc>
          <w:tcPr>
            <w:tcW w:w="1536" w:type="dxa"/>
            <w:vAlign w:val="center"/>
          </w:tcPr>
          <w:p w14:paraId="621DC01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 xml:space="preserve"> DSX+24L-1 </w:t>
            </w:r>
          </w:p>
        </w:tc>
        <w:tc>
          <w:tcPr>
            <w:tcW w:w="2003" w:type="dxa"/>
            <w:vAlign w:val="center"/>
          </w:tcPr>
          <w:p w14:paraId="48D2A20F">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0"/>
                <w:szCs w:val="20"/>
              </w:rPr>
            </w:pPr>
            <w:r>
              <w:rPr>
                <w:rFonts w:hint="eastAsia" w:ascii="宋体" w:hAnsi="宋体" w:eastAsia="宋体" w:cs="宋体"/>
                <w:color w:val="auto"/>
                <w:sz w:val="20"/>
                <w:szCs w:val="20"/>
                <w:lang w:val="en-US" w:eastAsia="zh-CN"/>
              </w:rPr>
              <w:t>1</w:t>
            </w:r>
          </w:p>
        </w:tc>
        <w:tc>
          <w:tcPr>
            <w:tcW w:w="2079" w:type="dxa"/>
            <w:vAlign w:val="center"/>
          </w:tcPr>
          <w:p w14:paraId="503E59D8">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0"/>
                <w:szCs w:val="20"/>
              </w:rPr>
            </w:pPr>
            <w:r>
              <w:rPr>
                <w:rFonts w:hint="eastAsia" w:ascii="宋体" w:hAnsi="宋体" w:eastAsia="宋体" w:cs="宋体"/>
                <w:color w:val="auto"/>
                <w:sz w:val="20"/>
                <w:szCs w:val="20"/>
                <w:highlight w:val="none"/>
                <w:shd w:val="clear"/>
                <w:lang w:val="en-US" w:eastAsia="zh-CN"/>
              </w:rPr>
              <w:t>台</w:t>
            </w:r>
          </w:p>
        </w:tc>
        <w:tc>
          <w:tcPr>
            <w:tcW w:w="1788" w:type="dxa"/>
            <w:vAlign w:val="center"/>
          </w:tcPr>
          <w:p w14:paraId="6C909F86">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0"/>
                <w:szCs w:val="20"/>
              </w:rPr>
            </w:pPr>
            <w:r>
              <w:rPr>
                <w:rFonts w:hint="eastAsia" w:ascii="宋体" w:hAnsi="宋体" w:eastAsia="宋体" w:cs="宋体"/>
                <w:b w:val="0"/>
                <w:bCs w:val="0"/>
                <w:color w:val="auto"/>
                <w:sz w:val="20"/>
                <w:szCs w:val="20"/>
                <w:lang w:val="en-US" w:eastAsia="zh-CN"/>
              </w:rPr>
              <w:t>上海申安医疗器械厂</w:t>
            </w:r>
          </w:p>
        </w:tc>
      </w:tr>
      <w:tr w14:paraId="6CF1E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2442" w:type="dxa"/>
            <w:vAlign w:val="center"/>
          </w:tcPr>
          <w:p w14:paraId="3FB7D3B8">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标准COD消解器</w:t>
            </w:r>
          </w:p>
        </w:tc>
        <w:tc>
          <w:tcPr>
            <w:tcW w:w="1536" w:type="dxa"/>
            <w:vAlign w:val="center"/>
          </w:tcPr>
          <w:p w14:paraId="72F5800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 xml:space="preserve"> HCA-103</w:t>
            </w:r>
          </w:p>
        </w:tc>
        <w:tc>
          <w:tcPr>
            <w:tcW w:w="2003" w:type="dxa"/>
            <w:vAlign w:val="center"/>
          </w:tcPr>
          <w:p w14:paraId="5DB40F93">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0"/>
                <w:szCs w:val="20"/>
              </w:rPr>
            </w:pPr>
            <w:r>
              <w:rPr>
                <w:rFonts w:hint="eastAsia" w:ascii="宋体" w:hAnsi="宋体" w:eastAsia="宋体" w:cs="宋体"/>
                <w:color w:val="auto"/>
                <w:sz w:val="20"/>
                <w:szCs w:val="20"/>
                <w:lang w:val="en-US" w:eastAsia="zh-CN"/>
              </w:rPr>
              <w:t>1</w:t>
            </w:r>
          </w:p>
        </w:tc>
        <w:tc>
          <w:tcPr>
            <w:tcW w:w="2079" w:type="dxa"/>
            <w:vAlign w:val="center"/>
          </w:tcPr>
          <w:p w14:paraId="79B84555">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0"/>
                <w:szCs w:val="20"/>
              </w:rPr>
            </w:pPr>
            <w:r>
              <w:rPr>
                <w:rFonts w:hint="eastAsia" w:ascii="宋体" w:hAnsi="宋体" w:eastAsia="宋体" w:cs="宋体"/>
                <w:color w:val="auto"/>
                <w:sz w:val="20"/>
                <w:szCs w:val="20"/>
                <w:highlight w:val="none"/>
                <w:shd w:val="clear"/>
                <w:lang w:val="en-US" w:eastAsia="zh-CN"/>
              </w:rPr>
              <w:t>台</w:t>
            </w:r>
          </w:p>
        </w:tc>
        <w:tc>
          <w:tcPr>
            <w:tcW w:w="1788" w:type="dxa"/>
            <w:vAlign w:val="center"/>
          </w:tcPr>
          <w:p w14:paraId="151BEE9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上海叶拓科技有限公司</w:t>
            </w:r>
          </w:p>
        </w:tc>
      </w:tr>
      <w:tr w14:paraId="267C0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2" w:type="dxa"/>
            <w:vAlign w:val="center"/>
          </w:tcPr>
          <w:p w14:paraId="32F078F3">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显微镜</w:t>
            </w:r>
          </w:p>
        </w:tc>
        <w:tc>
          <w:tcPr>
            <w:tcW w:w="1536" w:type="dxa"/>
            <w:vAlign w:val="center"/>
          </w:tcPr>
          <w:p w14:paraId="71505A11">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XSP-35TV-W</w:t>
            </w:r>
          </w:p>
        </w:tc>
        <w:tc>
          <w:tcPr>
            <w:tcW w:w="2003" w:type="dxa"/>
            <w:vAlign w:val="center"/>
          </w:tcPr>
          <w:p w14:paraId="6FD61238">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0"/>
                <w:szCs w:val="20"/>
              </w:rPr>
            </w:pPr>
            <w:r>
              <w:rPr>
                <w:rFonts w:hint="eastAsia" w:ascii="宋体" w:hAnsi="宋体" w:eastAsia="宋体" w:cs="宋体"/>
                <w:color w:val="auto"/>
                <w:sz w:val="20"/>
                <w:szCs w:val="20"/>
                <w:lang w:val="en-US" w:eastAsia="zh-CN"/>
              </w:rPr>
              <w:t>1</w:t>
            </w:r>
          </w:p>
        </w:tc>
        <w:tc>
          <w:tcPr>
            <w:tcW w:w="2079" w:type="dxa"/>
            <w:vAlign w:val="center"/>
          </w:tcPr>
          <w:p w14:paraId="2C53E8DB">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0"/>
                <w:szCs w:val="20"/>
              </w:rPr>
            </w:pPr>
            <w:r>
              <w:rPr>
                <w:rFonts w:hint="eastAsia" w:ascii="宋体" w:hAnsi="宋体" w:eastAsia="宋体" w:cs="宋体"/>
                <w:color w:val="auto"/>
                <w:sz w:val="20"/>
                <w:szCs w:val="20"/>
                <w:highlight w:val="none"/>
                <w:shd w:val="clear"/>
                <w:lang w:val="en-US" w:eastAsia="zh-CN"/>
              </w:rPr>
              <w:t>台</w:t>
            </w:r>
          </w:p>
        </w:tc>
        <w:tc>
          <w:tcPr>
            <w:tcW w:w="1788" w:type="dxa"/>
            <w:vAlign w:val="center"/>
          </w:tcPr>
          <w:p w14:paraId="139A4647">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美佳朗-北京江凤佳商贸有限公司</w:t>
            </w:r>
          </w:p>
        </w:tc>
      </w:tr>
      <w:tr w14:paraId="7702A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2" w:type="dxa"/>
            <w:vAlign w:val="center"/>
          </w:tcPr>
          <w:p w14:paraId="55C43B45">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0"/>
                <w:szCs w:val="20"/>
              </w:rPr>
            </w:pPr>
            <w:r>
              <w:rPr>
                <w:rFonts w:hint="eastAsia" w:ascii="宋体" w:hAnsi="宋体" w:eastAsia="宋体" w:cs="宋体"/>
                <w:b w:val="0"/>
                <w:bCs w:val="0"/>
                <w:color w:val="auto"/>
                <w:sz w:val="20"/>
                <w:szCs w:val="20"/>
                <w:lang w:val="en-US" w:eastAsia="zh-CN"/>
              </w:rPr>
              <w:t>紫外可见光光度计</w:t>
            </w:r>
          </w:p>
        </w:tc>
        <w:tc>
          <w:tcPr>
            <w:tcW w:w="1536" w:type="dxa"/>
            <w:vAlign w:val="center"/>
          </w:tcPr>
          <w:p w14:paraId="21FFBE25">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0"/>
                <w:szCs w:val="20"/>
              </w:rPr>
            </w:pPr>
            <w:r>
              <w:rPr>
                <w:rFonts w:hint="eastAsia" w:ascii="宋体" w:hAnsi="宋体" w:eastAsia="宋体" w:cs="宋体"/>
                <w:b w:val="0"/>
                <w:bCs w:val="0"/>
                <w:color w:val="auto"/>
                <w:sz w:val="20"/>
                <w:szCs w:val="20"/>
                <w:lang w:val="en-US" w:eastAsia="zh-CN"/>
              </w:rPr>
              <w:t>UV-5100</w:t>
            </w:r>
          </w:p>
        </w:tc>
        <w:tc>
          <w:tcPr>
            <w:tcW w:w="2003" w:type="dxa"/>
            <w:vAlign w:val="center"/>
          </w:tcPr>
          <w:p w14:paraId="427C966D">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0"/>
                <w:szCs w:val="20"/>
              </w:rPr>
            </w:pPr>
            <w:r>
              <w:rPr>
                <w:rFonts w:hint="eastAsia" w:ascii="宋体" w:hAnsi="宋体" w:eastAsia="宋体" w:cs="宋体"/>
                <w:color w:val="auto"/>
                <w:sz w:val="20"/>
                <w:szCs w:val="20"/>
                <w:lang w:val="en-US" w:eastAsia="zh-CN"/>
              </w:rPr>
              <w:t>1</w:t>
            </w:r>
          </w:p>
        </w:tc>
        <w:tc>
          <w:tcPr>
            <w:tcW w:w="2079" w:type="dxa"/>
            <w:vAlign w:val="center"/>
          </w:tcPr>
          <w:p w14:paraId="4B4011A4">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0"/>
                <w:szCs w:val="20"/>
              </w:rPr>
            </w:pPr>
            <w:r>
              <w:rPr>
                <w:rFonts w:hint="eastAsia" w:ascii="宋体" w:hAnsi="宋体" w:eastAsia="宋体" w:cs="宋体"/>
                <w:color w:val="auto"/>
                <w:sz w:val="20"/>
                <w:szCs w:val="20"/>
                <w:highlight w:val="none"/>
                <w:shd w:val="clear"/>
                <w:lang w:val="en-US" w:eastAsia="zh-CN"/>
              </w:rPr>
              <w:t>台</w:t>
            </w:r>
          </w:p>
        </w:tc>
        <w:tc>
          <w:tcPr>
            <w:tcW w:w="1788" w:type="dxa"/>
            <w:vAlign w:val="center"/>
          </w:tcPr>
          <w:p w14:paraId="5DAD5F3F">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0"/>
                <w:szCs w:val="20"/>
              </w:rPr>
            </w:pPr>
            <w:r>
              <w:rPr>
                <w:rFonts w:hint="eastAsia" w:ascii="宋体" w:hAnsi="宋体" w:eastAsia="宋体" w:cs="宋体"/>
                <w:b w:val="0"/>
                <w:bCs w:val="0"/>
                <w:color w:val="auto"/>
                <w:sz w:val="20"/>
                <w:szCs w:val="20"/>
                <w:lang w:val="en-US" w:eastAsia="zh-CN"/>
              </w:rPr>
              <w:t>上海元析仪器有限公司</w:t>
            </w:r>
          </w:p>
        </w:tc>
      </w:tr>
      <w:tr w14:paraId="07431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2" w:type="dxa"/>
            <w:vAlign w:val="center"/>
          </w:tcPr>
          <w:p w14:paraId="2453D385">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0"/>
                <w:szCs w:val="20"/>
              </w:rPr>
            </w:pPr>
            <w:r>
              <w:rPr>
                <w:rFonts w:hint="eastAsia" w:ascii="宋体" w:hAnsi="宋体" w:eastAsia="宋体" w:cs="宋体"/>
                <w:b w:val="0"/>
                <w:bCs w:val="0"/>
                <w:color w:val="auto"/>
                <w:sz w:val="20"/>
                <w:szCs w:val="20"/>
                <w:lang w:val="en-US" w:eastAsia="zh-CN"/>
              </w:rPr>
              <w:t>电子天平（万分之一）</w:t>
            </w:r>
          </w:p>
        </w:tc>
        <w:tc>
          <w:tcPr>
            <w:tcW w:w="1536" w:type="dxa"/>
            <w:vAlign w:val="center"/>
          </w:tcPr>
          <w:p w14:paraId="78848A5A">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0"/>
                <w:szCs w:val="20"/>
              </w:rPr>
            </w:pPr>
            <w:r>
              <w:rPr>
                <w:rFonts w:hint="eastAsia" w:ascii="宋体" w:hAnsi="宋体" w:eastAsia="宋体" w:cs="宋体"/>
                <w:b w:val="0"/>
                <w:bCs w:val="0"/>
                <w:color w:val="auto"/>
                <w:sz w:val="20"/>
                <w:szCs w:val="20"/>
                <w:lang w:val="en-US" w:eastAsia="zh-CN"/>
              </w:rPr>
              <w:t>FA2104</w:t>
            </w:r>
          </w:p>
        </w:tc>
        <w:tc>
          <w:tcPr>
            <w:tcW w:w="2003" w:type="dxa"/>
            <w:vAlign w:val="center"/>
          </w:tcPr>
          <w:p w14:paraId="1BD41D4E">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0"/>
                <w:szCs w:val="20"/>
              </w:rPr>
            </w:pPr>
            <w:r>
              <w:rPr>
                <w:rFonts w:hint="eastAsia" w:ascii="宋体" w:hAnsi="宋体" w:eastAsia="宋体" w:cs="宋体"/>
                <w:color w:val="auto"/>
                <w:sz w:val="20"/>
                <w:szCs w:val="20"/>
                <w:lang w:val="en-US" w:eastAsia="zh-CN"/>
              </w:rPr>
              <w:t>1</w:t>
            </w:r>
          </w:p>
        </w:tc>
        <w:tc>
          <w:tcPr>
            <w:tcW w:w="2079" w:type="dxa"/>
            <w:vAlign w:val="center"/>
          </w:tcPr>
          <w:p w14:paraId="32C6D4D8">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0"/>
                <w:szCs w:val="20"/>
              </w:rPr>
            </w:pPr>
            <w:r>
              <w:rPr>
                <w:rFonts w:hint="eastAsia" w:ascii="宋体" w:hAnsi="宋体" w:eastAsia="宋体" w:cs="宋体"/>
                <w:color w:val="auto"/>
                <w:sz w:val="20"/>
                <w:szCs w:val="20"/>
                <w:highlight w:val="none"/>
                <w:shd w:val="clear"/>
                <w:lang w:val="en-US" w:eastAsia="zh-CN"/>
              </w:rPr>
              <w:t>台</w:t>
            </w:r>
          </w:p>
        </w:tc>
        <w:tc>
          <w:tcPr>
            <w:tcW w:w="1788" w:type="dxa"/>
            <w:vAlign w:val="center"/>
          </w:tcPr>
          <w:p w14:paraId="261A70D6">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0"/>
                <w:szCs w:val="20"/>
              </w:rPr>
            </w:pPr>
            <w:r>
              <w:rPr>
                <w:rFonts w:hint="eastAsia" w:ascii="宋体" w:hAnsi="宋体" w:eastAsia="宋体" w:cs="宋体"/>
                <w:b w:val="0"/>
                <w:bCs w:val="0"/>
                <w:color w:val="auto"/>
                <w:sz w:val="20"/>
                <w:szCs w:val="20"/>
                <w:lang w:val="en-US" w:eastAsia="zh-CN"/>
              </w:rPr>
              <w:t>上海良平仪器仪表有限公司</w:t>
            </w:r>
          </w:p>
        </w:tc>
      </w:tr>
      <w:tr w14:paraId="67220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2" w:type="dxa"/>
            <w:vAlign w:val="center"/>
          </w:tcPr>
          <w:p w14:paraId="00E2E514">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0"/>
                <w:szCs w:val="20"/>
              </w:rPr>
            </w:pPr>
            <w:r>
              <w:rPr>
                <w:rFonts w:hint="eastAsia" w:ascii="宋体" w:hAnsi="宋体" w:eastAsia="宋体" w:cs="宋体"/>
                <w:b w:val="0"/>
                <w:bCs w:val="0"/>
                <w:i w:val="0"/>
                <w:color w:val="auto"/>
                <w:kern w:val="0"/>
                <w:sz w:val="20"/>
                <w:szCs w:val="20"/>
                <w:u w:val="none"/>
                <w:lang w:val="en-US" w:eastAsia="zh-CN" w:bidi="ar"/>
              </w:rPr>
              <w:t>电热鼓风干燥箱</w:t>
            </w:r>
          </w:p>
        </w:tc>
        <w:tc>
          <w:tcPr>
            <w:tcW w:w="1536" w:type="dxa"/>
            <w:vAlign w:val="center"/>
          </w:tcPr>
          <w:p w14:paraId="1AF7DBBD">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color w:val="FF0000"/>
                <w:sz w:val="20"/>
                <w:szCs w:val="20"/>
                <w:lang w:val="en-US"/>
              </w:rPr>
            </w:pPr>
            <w:r>
              <w:rPr>
                <w:rFonts w:hint="eastAsia" w:ascii="宋体" w:hAnsi="宋体" w:eastAsia="宋体" w:cs="宋体"/>
                <w:b w:val="0"/>
                <w:bCs w:val="0"/>
                <w:i w:val="0"/>
                <w:color w:val="auto"/>
                <w:kern w:val="0"/>
                <w:sz w:val="20"/>
                <w:szCs w:val="20"/>
                <w:u w:val="none"/>
                <w:lang w:val="en-US" w:eastAsia="zh-CN" w:bidi="ar"/>
              </w:rPr>
              <w:t>101-1AB</w:t>
            </w:r>
          </w:p>
        </w:tc>
        <w:tc>
          <w:tcPr>
            <w:tcW w:w="2003" w:type="dxa"/>
            <w:vAlign w:val="center"/>
          </w:tcPr>
          <w:p w14:paraId="4FD55FDA">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0"/>
                <w:szCs w:val="20"/>
              </w:rPr>
            </w:pPr>
            <w:r>
              <w:rPr>
                <w:rFonts w:hint="eastAsia" w:ascii="宋体" w:hAnsi="宋体" w:eastAsia="宋体" w:cs="宋体"/>
                <w:color w:val="auto"/>
                <w:sz w:val="20"/>
                <w:szCs w:val="20"/>
                <w:lang w:val="en-US" w:eastAsia="zh-CN"/>
              </w:rPr>
              <w:t>1</w:t>
            </w:r>
          </w:p>
        </w:tc>
        <w:tc>
          <w:tcPr>
            <w:tcW w:w="2079" w:type="dxa"/>
            <w:vAlign w:val="center"/>
          </w:tcPr>
          <w:p w14:paraId="680FE8DF">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0"/>
                <w:szCs w:val="20"/>
              </w:rPr>
            </w:pPr>
            <w:r>
              <w:rPr>
                <w:rFonts w:hint="eastAsia" w:ascii="宋体" w:hAnsi="宋体" w:eastAsia="宋体" w:cs="宋体"/>
                <w:color w:val="auto"/>
                <w:sz w:val="20"/>
                <w:szCs w:val="20"/>
                <w:highlight w:val="none"/>
                <w:shd w:val="clear"/>
                <w:lang w:val="en-US" w:eastAsia="zh-CN"/>
              </w:rPr>
              <w:t>台</w:t>
            </w:r>
          </w:p>
        </w:tc>
        <w:tc>
          <w:tcPr>
            <w:tcW w:w="1788" w:type="dxa"/>
            <w:vAlign w:val="center"/>
          </w:tcPr>
          <w:p w14:paraId="3FEE8D25">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0"/>
                <w:szCs w:val="20"/>
              </w:rPr>
            </w:pPr>
            <w:r>
              <w:rPr>
                <w:rFonts w:hint="eastAsia" w:ascii="宋体" w:hAnsi="宋体" w:eastAsia="宋体" w:cs="宋体"/>
                <w:b w:val="0"/>
                <w:bCs w:val="0"/>
                <w:i w:val="0"/>
                <w:color w:val="auto"/>
                <w:kern w:val="0"/>
                <w:sz w:val="20"/>
                <w:szCs w:val="20"/>
                <w:u w:val="none"/>
                <w:lang w:val="en-US" w:eastAsia="zh-CN" w:bidi="ar"/>
              </w:rPr>
              <w:t>天津天泰仪器有限公司</w:t>
            </w:r>
          </w:p>
        </w:tc>
      </w:tr>
      <w:tr w14:paraId="68DDD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2" w:type="dxa"/>
            <w:vAlign w:val="center"/>
          </w:tcPr>
          <w:p w14:paraId="7DEAE842">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0"/>
                <w:szCs w:val="20"/>
              </w:rPr>
            </w:pPr>
            <w:r>
              <w:rPr>
                <w:rFonts w:hint="eastAsia" w:ascii="宋体" w:hAnsi="宋体" w:eastAsia="宋体" w:cs="宋体"/>
                <w:b w:val="0"/>
                <w:bCs w:val="0"/>
                <w:i w:val="0"/>
                <w:color w:val="auto"/>
                <w:kern w:val="0"/>
                <w:sz w:val="20"/>
                <w:szCs w:val="20"/>
                <w:u w:val="none"/>
                <w:lang w:val="en-US" w:eastAsia="zh-CN" w:bidi="ar"/>
              </w:rPr>
              <w:t>pH计</w:t>
            </w:r>
          </w:p>
        </w:tc>
        <w:tc>
          <w:tcPr>
            <w:tcW w:w="1536" w:type="dxa"/>
            <w:vAlign w:val="center"/>
          </w:tcPr>
          <w:p w14:paraId="72A5233B">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0"/>
                <w:szCs w:val="20"/>
              </w:rPr>
            </w:pPr>
            <w:r>
              <w:rPr>
                <w:rFonts w:hint="eastAsia" w:ascii="宋体" w:hAnsi="宋体" w:eastAsia="宋体" w:cs="宋体"/>
                <w:b w:val="0"/>
                <w:bCs w:val="0"/>
                <w:i w:val="0"/>
                <w:color w:val="auto"/>
                <w:kern w:val="0"/>
                <w:sz w:val="20"/>
                <w:szCs w:val="20"/>
                <w:u w:val="none"/>
                <w:lang w:val="en-US" w:eastAsia="zh-CN" w:bidi="ar"/>
              </w:rPr>
              <w:t xml:space="preserve"> </w:t>
            </w:r>
            <w:r>
              <w:rPr>
                <w:rFonts w:hint="eastAsia" w:ascii="宋体" w:hAnsi="宋体" w:eastAsia="宋体" w:cs="宋体"/>
                <w:b w:val="0"/>
                <w:bCs w:val="0"/>
                <w:i w:val="0"/>
                <w:color w:val="auto"/>
                <w:kern w:val="0"/>
                <w:sz w:val="20"/>
                <w:szCs w:val="20"/>
                <w:u w:val="none"/>
                <w:lang w:val="en-US" w:eastAsia="zh-CN" w:bidi="ar"/>
              </w:rPr>
              <w:softHyphen/>
            </w:r>
            <w:r>
              <w:rPr>
                <w:rFonts w:hint="eastAsia" w:ascii="宋体" w:hAnsi="宋体" w:eastAsia="宋体" w:cs="宋体"/>
                <w:b w:val="0"/>
                <w:bCs w:val="0"/>
                <w:i w:val="0"/>
                <w:color w:val="auto"/>
                <w:kern w:val="0"/>
                <w:sz w:val="20"/>
                <w:szCs w:val="20"/>
                <w:u w:val="none"/>
                <w:lang w:val="en-US" w:eastAsia="zh-CN" w:bidi="ar"/>
              </w:rPr>
              <w:softHyphen/>
            </w:r>
            <w:r>
              <w:rPr>
                <w:rFonts w:hint="eastAsia" w:ascii="宋体" w:hAnsi="宋体" w:eastAsia="宋体" w:cs="宋体"/>
                <w:b w:val="0"/>
                <w:bCs w:val="0"/>
                <w:i w:val="0"/>
                <w:color w:val="auto"/>
                <w:kern w:val="0"/>
                <w:sz w:val="20"/>
                <w:szCs w:val="20"/>
                <w:u w:val="none"/>
                <w:lang w:val="en-US" w:eastAsia="zh-CN" w:bidi="ar"/>
              </w:rPr>
              <w:t>PHS-25</w:t>
            </w:r>
          </w:p>
        </w:tc>
        <w:tc>
          <w:tcPr>
            <w:tcW w:w="2003" w:type="dxa"/>
            <w:vAlign w:val="center"/>
          </w:tcPr>
          <w:p w14:paraId="6AD3E58E">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0"/>
                <w:szCs w:val="20"/>
              </w:rPr>
            </w:pPr>
            <w:r>
              <w:rPr>
                <w:rFonts w:hint="eastAsia" w:ascii="宋体" w:hAnsi="宋体" w:eastAsia="宋体" w:cs="宋体"/>
                <w:color w:val="auto"/>
                <w:sz w:val="20"/>
                <w:szCs w:val="20"/>
                <w:lang w:val="en-US" w:eastAsia="zh-CN"/>
              </w:rPr>
              <w:t>1</w:t>
            </w:r>
          </w:p>
        </w:tc>
        <w:tc>
          <w:tcPr>
            <w:tcW w:w="2079" w:type="dxa"/>
            <w:vAlign w:val="center"/>
          </w:tcPr>
          <w:p w14:paraId="45426C7B">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0"/>
                <w:szCs w:val="20"/>
              </w:rPr>
            </w:pPr>
            <w:r>
              <w:rPr>
                <w:rFonts w:hint="eastAsia" w:ascii="宋体" w:hAnsi="宋体" w:eastAsia="宋体" w:cs="宋体"/>
                <w:color w:val="auto"/>
                <w:sz w:val="20"/>
                <w:szCs w:val="20"/>
                <w:highlight w:val="none"/>
                <w:shd w:val="clear"/>
                <w:lang w:val="en-US" w:eastAsia="zh-CN"/>
              </w:rPr>
              <w:t>台</w:t>
            </w:r>
          </w:p>
        </w:tc>
        <w:tc>
          <w:tcPr>
            <w:tcW w:w="1788" w:type="dxa"/>
            <w:vAlign w:val="center"/>
          </w:tcPr>
          <w:p w14:paraId="510E56C7">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0"/>
                <w:szCs w:val="20"/>
              </w:rPr>
            </w:pPr>
            <w:r>
              <w:rPr>
                <w:rFonts w:hint="eastAsia" w:ascii="宋体" w:hAnsi="宋体" w:eastAsia="宋体" w:cs="宋体"/>
                <w:b w:val="0"/>
                <w:bCs w:val="0"/>
                <w:i w:val="0"/>
                <w:color w:val="auto"/>
                <w:kern w:val="0"/>
                <w:sz w:val="20"/>
                <w:szCs w:val="20"/>
                <w:u w:val="none"/>
                <w:lang w:val="en-US" w:eastAsia="zh-CN" w:bidi="ar"/>
              </w:rPr>
              <w:t>上海鹏顺科技仪器有限公司</w:t>
            </w:r>
          </w:p>
        </w:tc>
      </w:tr>
      <w:tr w14:paraId="65EB1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2" w:type="dxa"/>
            <w:vAlign w:val="center"/>
          </w:tcPr>
          <w:p w14:paraId="263FF804">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0"/>
                <w:szCs w:val="20"/>
              </w:rPr>
            </w:pPr>
            <w:r>
              <w:rPr>
                <w:rFonts w:hint="eastAsia" w:ascii="宋体" w:hAnsi="宋体" w:eastAsia="宋体" w:cs="宋体"/>
                <w:b w:val="0"/>
                <w:bCs w:val="0"/>
                <w:i w:val="0"/>
                <w:color w:val="auto"/>
                <w:kern w:val="0"/>
                <w:sz w:val="20"/>
                <w:szCs w:val="20"/>
                <w:u w:val="none"/>
                <w:lang w:val="en-US" w:eastAsia="zh-CN" w:bidi="ar"/>
              </w:rPr>
              <w:t>箱式电阻炉</w:t>
            </w:r>
          </w:p>
        </w:tc>
        <w:tc>
          <w:tcPr>
            <w:tcW w:w="1536" w:type="dxa"/>
            <w:vAlign w:val="center"/>
          </w:tcPr>
          <w:p w14:paraId="17BE428A">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0"/>
                <w:szCs w:val="20"/>
              </w:rPr>
            </w:pPr>
            <w:r>
              <w:rPr>
                <w:rFonts w:hint="eastAsia" w:ascii="宋体" w:hAnsi="宋体" w:eastAsia="宋体" w:cs="宋体"/>
                <w:b w:val="0"/>
                <w:bCs w:val="0"/>
                <w:i w:val="0"/>
                <w:color w:val="auto"/>
                <w:kern w:val="0"/>
                <w:sz w:val="20"/>
                <w:szCs w:val="20"/>
                <w:u w:val="none"/>
                <w:lang w:val="en-US" w:eastAsia="zh-CN" w:bidi="ar"/>
              </w:rPr>
              <w:t xml:space="preserve"> XS2-4-10</w:t>
            </w:r>
          </w:p>
        </w:tc>
        <w:tc>
          <w:tcPr>
            <w:tcW w:w="2003" w:type="dxa"/>
            <w:vAlign w:val="center"/>
          </w:tcPr>
          <w:p w14:paraId="0DF1C46D">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0"/>
                <w:szCs w:val="20"/>
              </w:rPr>
            </w:pPr>
            <w:r>
              <w:rPr>
                <w:rFonts w:hint="eastAsia" w:ascii="宋体" w:hAnsi="宋体" w:eastAsia="宋体" w:cs="宋体"/>
                <w:color w:val="auto"/>
                <w:sz w:val="20"/>
                <w:szCs w:val="20"/>
                <w:lang w:val="en-US" w:eastAsia="zh-CN"/>
              </w:rPr>
              <w:t>1</w:t>
            </w:r>
          </w:p>
        </w:tc>
        <w:tc>
          <w:tcPr>
            <w:tcW w:w="2079" w:type="dxa"/>
            <w:vAlign w:val="center"/>
          </w:tcPr>
          <w:p w14:paraId="6883EA91">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0"/>
                <w:szCs w:val="20"/>
              </w:rPr>
            </w:pPr>
            <w:r>
              <w:rPr>
                <w:rFonts w:hint="eastAsia" w:ascii="宋体" w:hAnsi="宋体" w:eastAsia="宋体" w:cs="宋体"/>
                <w:color w:val="auto"/>
                <w:sz w:val="20"/>
                <w:szCs w:val="20"/>
                <w:highlight w:val="none"/>
                <w:shd w:val="clear"/>
                <w:lang w:val="en-US" w:eastAsia="zh-CN"/>
              </w:rPr>
              <w:t>台</w:t>
            </w:r>
          </w:p>
        </w:tc>
        <w:tc>
          <w:tcPr>
            <w:tcW w:w="1788" w:type="dxa"/>
            <w:vAlign w:val="center"/>
          </w:tcPr>
          <w:p w14:paraId="6BC6D51C">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0"/>
                <w:szCs w:val="20"/>
              </w:rPr>
            </w:pPr>
            <w:r>
              <w:rPr>
                <w:rFonts w:hint="eastAsia" w:ascii="宋体" w:hAnsi="宋体" w:eastAsia="宋体" w:cs="宋体"/>
                <w:b w:val="0"/>
                <w:bCs w:val="0"/>
                <w:i w:val="0"/>
                <w:color w:val="auto"/>
                <w:kern w:val="0"/>
                <w:sz w:val="20"/>
                <w:szCs w:val="20"/>
                <w:u w:val="none"/>
                <w:lang w:val="en-US" w:eastAsia="zh-CN" w:bidi="ar"/>
              </w:rPr>
              <w:t>龙口市文太电炉制造有限公司</w:t>
            </w:r>
          </w:p>
        </w:tc>
      </w:tr>
      <w:tr w14:paraId="41CC9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2" w:type="dxa"/>
            <w:vAlign w:val="center"/>
          </w:tcPr>
          <w:p w14:paraId="36CD6665">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kern w:val="0"/>
                <w:sz w:val="20"/>
                <w:szCs w:val="20"/>
              </w:rPr>
            </w:pPr>
            <w:r>
              <w:rPr>
                <w:rFonts w:hint="eastAsia" w:ascii="宋体" w:hAnsi="宋体" w:eastAsia="宋体" w:cs="宋体"/>
                <w:b w:val="0"/>
                <w:bCs w:val="0"/>
                <w:color w:val="auto"/>
                <w:sz w:val="20"/>
                <w:szCs w:val="20"/>
                <w:lang w:val="en-US" w:eastAsia="zh-CN"/>
              </w:rPr>
              <w:t>电子天平（千分之一）</w:t>
            </w:r>
          </w:p>
        </w:tc>
        <w:tc>
          <w:tcPr>
            <w:tcW w:w="1536" w:type="dxa"/>
            <w:vAlign w:val="center"/>
          </w:tcPr>
          <w:p w14:paraId="5301A6B4">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color w:val="FF0000"/>
                <w:sz w:val="20"/>
                <w:szCs w:val="20"/>
                <w:lang w:val="en-US" w:eastAsia="zh-CN"/>
              </w:rPr>
            </w:pPr>
            <w:r>
              <w:rPr>
                <w:rFonts w:hint="eastAsia" w:ascii="宋体" w:hAnsi="宋体" w:eastAsia="宋体" w:cs="宋体"/>
                <w:color w:val="auto"/>
                <w:sz w:val="20"/>
                <w:szCs w:val="20"/>
                <w:lang w:val="en-US" w:eastAsia="zh-CN"/>
              </w:rPr>
              <w:t>JA2603N</w:t>
            </w:r>
          </w:p>
        </w:tc>
        <w:tc>
          <w:tcPr>
            <w:tcW w:w="2003" w:type="dxa"/>
            <w:vAlign w:val="center"/>
          </w:tcPr>
          <w:p w14:paraId="530B7DF9">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0"/>
                <w:szCs w:val="20"/>
              </w:rPr>
            </w:pPr>
            <w:r>
              <w:rPr>
                <w:rFonts w:hint="eastAsia" w:ascii="宋体" w:hAnsi="宋体" w:eastAsia="宋体" w:cs="宋体"/>
                <w:color w:val="auto"/>
                <w:sz w:val="20"/>
                <w:szCs w:val="20"/>
                <w:lang w:val="en-US" w:eastAsia="zh-CN"/>
              </w:rPr>
              <w:t>1</w:t>
            </w:r>
          </w:p>
        </w:tc>
        <w:tc>
          <w:tcPr>
            <w:tcW w:w="2079" w:type="dxa"/>
            <w:vAlign w:val="center"/>
          </w:tcPr>
          <w:p w14:paraId="619356C7">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0"/>
                <w:szCs w:val="20"/>
              </w:rPr>
            </w:pPr>
            <w:r>
              <w:rPr>
                <w:rFonts w:hint="eastAsia" w:ascii="宋体" w:hAnsi="宋体" w:eastAsia="宋体" w:cs="宋体"/>
                <w:color w:val="auto"/>
                <w:sz w:val="20"/>
                <w:szCs w:val="20"/>
                <w:highlight w:val="none"/>
                <w:shd w:val="clear"/>
                <w:lang w:val="en-US" w:eastAsia="zh-CN"/>
              </w:rPr>
              <w:t>台</w:t>
            </w:r>
          </w:p>
        </w:tc>
        <w:tc>
          <w:tcPr>
            <w:tcW w:w="1788" w:type="dxa"/>
            <w:vAlign w:val="center"/>
          </w:tcPr>
          <w:p w14:paraId="7755CF30">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0"/>
                <w:szCs w:val="20"/>
              </w:rPr>
            </w:pPr>
            <w:r>
              <w:rPr>
                <w:rFonts w:hint="eastAsia" w:ascii="宋体" w:hAnsi="宋体" w:eastAsia="宋体" w:cs="宋体"/>
                <w:b w:val="0"/>
                <w:bCs w:val="0"/>
                <w:color w:val="auto"/>
                <w:sz w:val="20"/>
                <w:szCs w:val="20"/>
                <w:lang w:val="en-US" w:eastAsia="zh-CN"/>
              </w:rPr>
              <w:t>上海佑科有限公司</w:t>
            </w:r>
          </w:p>
        </w:tc>
      </w:tr>
      <w:tr w14:paraId="2BD97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2" w:type="dxa"/>
            <w:vAlign w:val="center"/>
          </w:tcPr>
          <w:p w14:paraId="73E0493D">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kern w:val="0"/>
                <w:sz w:val="20"/>
                <w:szCs w:val="20"/>
              </w:rPr>
            </w:pPr>
            <w:r>
              <w:rPr>
                <w:rFonts w:hint="eastAsia" w:ascii="宋体" w:hAnsi="宋体" w:eastAsia="宋体" w:cs="宋体"/>
                <w:b w:val="0"/>
                <w:bCs w:val="0"/>
                <w:color w:val="auto"/>
                <w:sz w:val="20"/>
                <w:szCs w:val="20"/>
                <w:lang w:val="en-US" w:eastAsia="zh-CN"/>
              </w:rPr>
              <w:t>精密型</w:t>
            </w:r>
            <w:bookmarkStart w:id="3" w:name="_GoBack"/>
            <w:bookmarkEnd w:id="3"/>
            <w:r>
              <w:rPr>
                <w:rFonts w:hint="eastAsia" w:ascii="宋体" w:hAnsi="宋体" w:eastAsia="宋体" w:cs="宋体"/>
                <w:b w:val="0"/>
                <w:bCs w:val="0"/>
                <w:color w:val="auto"/>
                <w:sz w:val="20"/>
                <w:szCs w:val="20"/>
                <w:lang w:val="en-US" w:eastAsia="zh-CN"/>
              </w:rPr>
              <w:t>超纯水机</w:t>
            </w:r>
          </w:p>
        </w:tc>
        <w:tc>
          <w:tcPr>
            <w:tcW w:w="1536" w:type="dxa"/>
            <w:vAlign w:val="center"/>
          </w:tcPr>
          <w:p w14:paraId="25F9CC04">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0"/>
                <w:szCs w:val="20"/>
              </w:rPr>
            </w:pPr>
            <w:r>
              <w:rPr>
                <w:rFonts w:hint="eastAsia" w:ascii="宋体" w:hAnsi="宋体" w:eastAsia="宋体" w:cs="宋体"/>
                <w:b w:val="0"/>
                <w:bCs w:val="0"/>
                <w:color w:val="auto"/>
                <w:sz w:val="20"/>
                <w:szCs w:val="20"/>
                <w:lang w:val="en-US" w:eastAsia="zh-CN"/>
              </w:rPr>
              <w:t>FST-IT-20</w:t>
            </w:r>
          </w:p>
        </w:tc>
        <w:tc>
          <w:tcPr>
            <w:tcW w:w="2003" w:type="dxa"/>
            <w:vAlign w:val="center"/>
          </w:tcPr>
          <w:p w14:paraId="4CC1A0CA">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w:t>
            </w:r>
          </w:p>
        </w:tc>
        <w:tc>
          <w:tcPr>
            <w:tcW w:w="2079" w:type="dxa"/>
            <w:vAlign w:val="center"/>
          </w:tcPr>
          <w:p w14:paraId="418B17A2">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0"/>
                <w:szCs w:val="20"/>
              </w:rPr>
            </w:pPr>
            <w:r>
              <w:rPr>
                <w:rFonts w:hint="eastAsia" w:ascii="宋体" w:hAnsi="宋体" w:eastAsia="宋体" w:cs="宋体"/>
                <w:color w:val="auto"/>
                <w:sz w:val="20"/>
                <w:szCs w:val="20"/>
                <w:highlight w:val="none"/>
                <w:shd w:val="clear"/>
                <w:lang w:val="en-US" w:eastAsia="zh-CN"/>
              </w:rPr>
              <w:t>台</w:t>
            </w:r>
          </w:p>
        </w:tc>
        <w:tc>
          <w:tcPr>
            <w:tcW w:w="1788" w:type="dxa"/>
            <w:vAlign w:val="center"/>
          </w:tcPr>
          <w:p w14:paraId="78C68DEC">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0"/>
                <w:szCs w:val="20"/>
              </w:rPr>
            </w:pPr>
            <w:r>
              <w:rPr>
                <w:rFonts w:hint="eastAsia" w:ascii="宋体" w:hAnsi="宋体" w:eastAsia="宋体" w:cs="宋体"/>
                <w:b w:val="0"/>
                <w:bCs w:val="0"/>
                <w:color w:val="auto"/>
                <w:sz w:val="20"/>
                <w:szCs w:val="20"/>
                <w:lang w:val="en-US" w:eastAsia="zh-CN"/>
              </w:rPr>
              <w:t>上海富诗特环保科技有限公司</w:t>
            </w:r>
          </w:p>
        </w:tc>
      </w:tr>
      <w:tr w14:paraId="23FB9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2" w:type="dxa"/>
            <w:vAlign w:val="center"/>
          </w:tcPr>
          <w:p w14:paraId="57E03C61">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kern w:val="0"/>
                <w:sz w:val="20"/>
                <w:szCs w:val="20"/>
              </w:rPr>
            </w:pPr>
            <w:r>
              <w:rPr>
                <w:rFonts w:hint="eastAsia" w:ascii="宋体" w:hAnsi="宋体" w:eastAsia="宋体" w:cs="宋体"/>
                <w:b w:val="0"/>
                <w:bCs w:val="0"/>
                <w:color w:val="auto"/>
                <w:sz w:val="20"/>
                <w:szCs w:val="20"/>
                <w:lang w:val="en-US" w:eastAsia="zh-CN"/>
              </w:rPr>
              <w:t>电热恒温水浴锅</w:t>
            </w:r>
          </w:p>
        </w:tc>
        <w:tc>
          <w:tcPr>
            <w:tcW w:w="1536" w:type="dxa"/>
            <w:vAlign w:val="center"/>
          </w:tcPr>
          <w:p w14:paraId="656FB5FD">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0"/>
                <w:szCs w:val="20"/>
              </w:rPr>
            </w:pPr>
            <w:r>
              <w:rPr>
                <w:rFonts w:hint="eastAsia" w:ascii="宋体" w:hAnsi="宋体" w:eastAsia="宋体" w:cs="宋体"/>
                <w:b w:val="0"/>
                <w:bCs w:val="0"/>
                <w:color w:val="auto"/>
                <w:sz w:val="20"/>
                <w:szCs w:val="20"/>
                <w:lang w:val="en-US" w:eastAsia="zh-CN"/>
              </w:rPr>
              <w:t xml:space="preserve">HH-S2 </w:t>
            </w:r>
          </w:p>
        </w:tc>
        <w:tc>
          <w:tcPr>
            <w:tcW w:w="2003" w:type="dxa"/>
            <w:vAlign w:val="center"/>
          </w:tcPr>
          <w:p w14:paraId="04EF3BC3">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w:t>
            </w:r>
          </w:p>
        </w:tc>
        <w:tc>
          <w:tcPr>
            <w:tcW w:w="2079" w:type="dxa"/>
            <w:vAlign w:val="center"/>
          </w:tcPr>
          <w:p w14:paraId="4CAE3412">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0"/>
                <w:szCs w:val="20"/>
              </w:rPr>
            </w:pPr>
            <w:r>
              <w:rPr>
                <w:rFonts w:hint="eastAsia" w:ascii="宋体" w:hAnsi="宋体" w:eastAsia="宋体" w:cs="宋体"/>
                <w:color w:val="auto"/>
                <w:sz w:val="20"/>
                <w:szCs w:val="20"/>
                <w:highlight w:val="none"/>
                <w:shd w:val="clear"/>
                <w:lang w:val="en-US" w:eastAsia="zh-CN"/>
              </w:rPr>
              <w:t>台</w:t>
            </w:r>
          </w:p>
        </w:tc>
        <w:tc>
          <w:tcPr>
            <w:tcW w:w="1788" w:type="dxa"/>
            <w:vAlign w:val="center"/>
          </w:tcPr>
          <w:p w14:paraId="04048ABE">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0"/>
                <w:szCs w:val="20"/>
              </w:rPr>
            </w:pPr>
            <w:r>
              <w:rPr>
                <w:rFonts w:hint="eastAsia" w:ascii="宋体" w:hAnsi="宋体" w:eastAsia="宋体" w:cs="宋体"/>
                <w:b w:val="0"/>
                <w:bCs w:val="0"/>
                <w:color w:val="auto"/>
                <w:sz w:val="20"/>
                <w:szCs w:val="20"/>
                <w:lang w:val="en-US" w:eastAsia="zh-CN"/>
              </w:rPr>
              <w:t>金坛市大地自动化仪器厂</w:t>
            </w:r>
          </w:p>
        </w:tc>
      </w:tr>
    </w:tbl>
    <w:p w14:paraId="421E8A01">
      <w:pPr>
        <w:pStyle w:val="24"/>
        <w:spacing w:line="240" w:lineRule="auto"/>
        <w:ind w:firstLine="0" w:firstLineChars="0"/>
        <w:outlineLvl w:val="0"/>
        <w:rPr>
          <w:rFonts w:hint="eastAsia" w:ascii="宋体" w:hAnsi="宋体"/>
          <w:b/>
          <w:bCs/>
          <w:sz w:val="28"/>
          <w:szCs w:val="28"/>
          <w:lang w:val="en-US"/>
        </w:rPr>
      </w:pPr>
    </w:p>
    <w:p w14:paraId="0709041D">
      <w:pPr>
        <w:pStyle w:val="24"/>
        <w:spacing w:line="240" w:lineRule="auto"/>
        <w:ind w:firstLine="0" w:firstLineChars="0"/>
        <w:outlineLvl w:val="0"/>
        <w:rPr>
          <w:rFonts w:hint="eastAsia" w:ascii="宋体" w:hAnsi="宋体"/>
          <w:b/>
          <w:bCs/>
          <w:sz w:val="28"/>
          <w:szCs w:val="28"/>
          <w:lang w:val="en-US"/>
        </w:rPr>
      </w:pPr>
    </w:p>
    <w:p w14:paraId="4A8EA1AD">
      <w:pPr>
        <w:pStyle w:val="24"/>
        <w:spacing w:line="240" w:lineRule="auto"/>
        <w:ind w:firstLine="0" w:firstLineChars="0"/>
        <w:outlineLvl w:val="0"/>
        <w:rPr>
          <w:rFonts w:hint="eastAsia" w:ascii="宋体" w:hAnsi="宋体"/>
          <w:b/>
          <w:bCs/>
          <w:sz w:val="28"/>
          <w:szCs w:val="28"/>
          <w:lang w:val="en-US"/>
        </w:rPr>
      </w:pPr>
    </w:p>
    <w:p w14:paraId="7230BAB6">
      <w:pPr>
        <w:pStyle w:val="24"/>
        <w:spacing w:line="240" w:lineRule="auto"/>
        <w:ind w:firstLine="0" w:firstLineChars="0"/>
        <w:outlineLvl w:val="0"/>
        <w:rPr>
          <w:rFonts w:ascii="宋体" w:hAnsi="宋体"/>
          <w:b/>
          <w:bCs/>
          <w:sz w:val="28"/>
          <w:szCs w:val="28"/>
        </w:rPr>
      </w:pPr>
      <w:r>
        <w:rPr>
          <w:rFonts w:hint="eastAsia" w:ascii="宋体" w:hAnsi="宋体"/>
          <w:b/>
          <w:bCs/>
          <w:sz w:val="28"/>
          <w:szCs w:val="28"/>
          <w:lang w:val="en-US"/>
        </w:rPr>
        <w:t>五、</w:t>
      </w:r>
      <w:r>
        <w:rPr>
          <w:rFonts w:hint="eastAsia" w:ascii="宋体" w:hAnsi="宋体"/>
          <w:b/>
          <w:bCs/>
          <w:sz w:val="28"/>
          <w:szCs w:val="28"/>
        </w:rPr>
        <w:t>企业治理设施</w:t>
      </w:r>
    </w:p>
    <w:p w14:paraId="7136F355">
      <w:pPr>
        <w:outlineLvl w:val="1"/>
        <w:rPr>
          <w:rFonts w:ascii="宋体" w:hAnsi="宋体" w:eastAsia="宋体" w:cs="宋体"/>
          <w:sz w:val="28"/>
          <w:szCs w:val="28"/>
          <w:lang w:val="zh-CN"/>
        </w:rPr>
      </w:pPr>
      <w:r>
        <w:rPr>
          <w:rFonts w:hint="eastAsia" w:ascii="宋体" w:hAnsi="宋体" w:eastAsia="宋体" w:cs="宋体"/>
          <w:sz w:val="28"/>
          <w:szCs w:val="28"/>
        </w:rPr>
        <w:t>1、</w:t>
      </w:r>
      <w:r>
        <w:rPr>
          <w:rFonts w:hint="eastAsia" w:ascii="宋体" w:hAnsi="宋体" w:eastAsia="宋体" w:cs="宋体"/>
          <w:sz w:val="28"/>
          <w:szCs w:val="28"/>
          <w:lang w:val="zh-CN"/>
        </w:rPr>
        <w:t>废气治理设施</w:t>
      </w:r>
    </w:p>
    <w:tbl>
      <w:tblPr>
        <w:tblStyle w:val="15"/>
        <w:tblW w:w="92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44"/>
        <w:gridCol w:w="1675"/>
        <w:gridCol w:w="1675"/>
        <w:gridCol w:w="2347"/>
      </w:tblGrid>
      <w:tr w14:paraId="03670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4" w:type="dxa"/>
          </w:tcPr>
          <w:p w14:paraId="546EB93D">
            <w:pPr>
              <w:rPr>
                <w:rFonts w:ascii="宋体" w:hAnsi="宋体" w:eastAsia="宋体" w:cs="宋体"/>
                <w:color w:val="auto"/>
                <w:sz w:val="20"/>
                <w:szCs w:val="20"/>
              </w:rPr>
            </w:pPr>
            <w:r>
              <w:rPr>
                <w:rFonts w:hint="eastAsia" w:ascii="宋体" w:hAnsi="宋体" w:eastAsia="宋体" w:cs="宋体"/>
                <w:color w:val="auto"/>
                <w:sz w:val="20"/>
                <w:szCs w:val="20"/>
              </w:rPr>
              <w:t>设施名称</w:t>
            </w:r>
          </w:p>
        </w:tc>
        <w:tc>
          <w:tcPr>
            <w:tcW w:w="1675" w:type="dxa"/>
          </w:tcPr>
          <w:p w14:paraId="7CB67567">
            <w:pPr>
              <w:rPr>
                <w:rFonts w:ascii="宋体" w:hAnsi="宋体" w:eastAsia="宋体" w:cs="宋体"/>
                <w:color w:val="auto"/>
                <w:sz w:val="20"/>
                <w:szCs w:val="20"/>
              </w:rPr>
            </w:pPr>
            <w:r>
              <w:rPr>
                <w:rFonts w:hint="eastAsia" w:ascii="宋体" w:hAnsi="宋体" w:eastAsia="宋体" w:cs="宋体"/>
                <w:color w:val="auto"/>
                <w:sz w:val="20"/>
                <w:szCs w:val="20"/>
              </w:rPr>
              <w:t>所在排放设备</w:t>
            </w:r>
          </w:p>
        </w:tc>
        <w:tc>
          <w:tcPr>
            <w:tcW w:w="1675" w:type="dxa"/>
          </w:tcPr>
          <w:p w14:paraId="5E89F2E9">
            <w:pPr>
              <w:rPr>
                <w:rFonts w:ascii="宋体" w:hAnsi="宋体" w:eastAsia="宋体" w:cs="宋体"/>
                <w:color w:val="auto"/>
                <w:sz w:val="20"/>
                <w:szCs w:val="20"/>
              </w:rPr>
            </w:pPr>
            <w:r>
              <w:rPr>
                <w:rFonts w:hint="eastAsia" w:ascii="宋体" w:hAnsi="宋体" w:eastAsia="宋体" w:cs="宋体"/>
                <w:color w:val="auto"/>
                <w:sz w:val="20"/>
                <w:szCs w:val="20"/>
              </w:rPr>
              <w:t>设施类别</w:t>
            </w:r>
          </w:p>
        </w:tc>
        <w:tc>
          <w:tcPr>
            <w:tcW w:w="2347" w:type="dxa"/>
          </w:tcPr>
          <w:p w14:paraId="2D307EF8">
            <w:pPr>
              <w:rPr>
                <w:rFonts w:ascii="宋体" w:hAnsi="宋体" w:eastAsia="宋体" w:cs="宋体"/>
                <w:color w:val="auto"/>
                <w:sz w:val="20"/>
                <w:szCs w:val="20"/>
              </w:rPr>
            </w:pPr>
            <w:r>
              <w:rPr>
                <w:rFonts w:hint="eastAsia" w:ascii="宋体" w:hAnsi="宋体" w:eastAsia="宋体" w:cs="宋体"/>
                <w:color w:val="auto"/>
                <w:sz w:val="20"/>
                <w:szCs w:val="20"/>
              </w:rPr>
              <w:t>处理工艺</w:t>
            </w:r>
          </w:p>
        </w:tc>
      </w:tr>
      <w:tr w14:paraId="75D8E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4" w:type="dxa"/>
            <w:vAlign w:val="center"/>
          </w:tcPr>
          <w:p w14:paraId="60E17F3D">
            <w:pPr>
              <w:jc w:val="left"/>
              <w:rPr>
                <w:rFonts w:hint="default"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生物土壤滤池001</w:t>
            </w:r>
          </w:p>
        </w:tc>
        <w:tc>
          <w:tcPr>
            <w:tcW w:w="1675" w:type="dxa"/>
            <w:vAlign w:val="center"/>
          </w:tcPr>
          <w:p w14:paraId="47E918E4">
            <w:pPr>
              <w:jc w:val="left"/>
              <w:rPr>
                <w:rFonts w:hint="default"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粗格栅、细格栅、提升泵</w:t>
            </w:r>
          </w:p>
        </w:tc>
        <w:tc>
          <w:tcPr>
            <w:tcW w:w="1675" w:type="dxa"/>
            <w:vAlign w:val="center"/>
          </w:tcPr>
          <w:p w14:paraId="595E6F13">
            <w:pPr>
              <w:jc w:val="left"/>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除臭</w:t>
            </w:r>
          </w:p>
        </w:tc>
        <w:tc>
          <w:tcPr>
            <w:tcW w:w="2347" w:type="dxa"/>
            <w:vAlign w:val="center"/>
          </w:tcPr>
          <w:p w14:paraId="4841F921">
            <w:pPr>
              <w:jc w:val="left"/>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生物土壤滤池</w:t>
            </w:r>
          </w:p>
        </w:tc>
      </w:tr>
      <w:tr w14:paraId="5C6FB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4" w:type="dxa"/>
            <w:vAlign w:val="center"/>
          </w:tcPr>
          <w:p w14:paraId="00FC56E2">
            <w:pPr>
              <w:jc w:val="left"/>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生物土壤滤池002</w:t>
            </w:r>
          </w:p>
        </w:tc>
        <w:tc>
          <w:tcPr>
            <w:tcW w:w="1675" w:type="dxa"/>
            <w:vAlign w:val="center"/>
          </w:tcPr>
          <w:p w14:paraId="1A7E6A8E">
            <w:pPr>
              <w:jc w:val="left"/>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脱泥房</w:t>
            </w:r>
          </w:p>
        </w:tc>
        <w:tc>
          <w:tcPr>
            <w:tcW w:w="1675" w:type="dxa"/>
            <w:vAlign w:val="center"/>
          </w:tcPr>
          <w:p w14:paraId="7CDBAAB6">
            <w:pPr>
              <w:jc w:val="left"/>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除臭</w:t>
            </w:r>
          </w:p>
        </w:tc>
        <w:tc>
          <w:tcPr>
            <w:tcW w:w="2347" w:type="dxa"/>
            <w:vAlign w:val="center"/>
          </w:tcPr>
          <w:p w14:paraId="04650D6E">
            <w:pPr>
              <w:jc w:val="left"/>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生物土壤滤池</w:t>
            </w:r>
          </w:p>
        </w:tc>
      </w:tr>
    </w:tbl>
    <w:p w14:paraId="590CB4F5">
      <w:pPr>
        <w:pStyle w:val="10"/>
        <w:spacing w:line="240" w:lineRule="auto"/>
        <w:jc w:val="both"/>
        <w:rPr>
          <w:rFonts w:ascii="宋体" w:hAnsi="宋体" w:eastAsia="宋体" w:cs="宋体"/>
          <w:b w:val="0"/>
          <w:bCs w:val="0"/>
          <w:sz w:val="28"/>
          <w:szCs w:val="28"/>
        </w:rPr>
      </w:pPr>
      <w:r>
        <w:rPr>
          <w:rFonts w:hint="eastAsia" w:ascii="宋体" w:hAnsi="宋体" w:eastAsia="宋体" w:cs="宋体"/>
          <w:b w:val="0"/>
          <w:bCs w:val="0"/>
          <w:sz w:val="28"/>
          <w:szCs w:val="28"/>
        </w:rPr>
        <w:t>2、废水治理设施</w:t>
      </w:r>
    </w:p>
    <w:tbl>
      <w:tblPr>
        <w:tblStyle w:val="15"/>
        <w:tblW w:w="9252" w:type="dxa"/>
        <w:tblInd w:w="-3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1"/>
        <w:gridCol w:w="2020"/>
        <w:gridCol w:w="1875"/>
        <w:gridCol w:w="3286"/>
      </w:tblGrid>
      <w:tr w14:paraId="12107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vAlign w:val="center"/>
          </w:tcPr>
          <w:p w14:paraId="55951E22">
            <w:pPr>
              <w:jc w:val="center"/>
              <w:rPr>
                <w:rFonts w:ascii="宋体" w:hAnsi="宋体" w:eastAsia="宋体" w:cs="宋体"/>
                <w:sz w:val="20"/>
                <w:szCs w:val="20"/>
              </w:rPr>
            </w:pPr>
            <w:r>
              <w:rPr>
                <w:rFonts w:hint="eastAsia" w:ascii="宋体" w:hAnsi="宋体" w:eastAsia="宋体" w:cs="宋体"/>
                <w:sz w:val="20"/>
                <w:szCs w:val="20"/>
              </w:rPr>
              <w:t>设施名称</w:t>
            </w:r>
          </w:p>
        </w:tc>
        <w:tc>
          <w:tcPr>
            <w:tcW w:w="2020" w:type="dxa"/>
            <w:vAlign w:val="center"/>
          </w:tcPr>
          <w:p w14:paraId="25E05FB8">
            <w:pPr>
              <w:jc w:val="center"/>
              <w:rPr>
                <w:rFonts w:ascii="宋体" w:hAnsi="宋体" w:eastAsia="宋体" w:cs="宋体"/>
                <w:sz w:val="20"/>
                <w:szCs w:val="20"/>
              </w:rPr>
            </w:pPr>
            <w:r>
              <w:rPr>
                <w:rFonts w:hint="eastAsia" w:ascii="宋体" w:hAnsi="宋体" w:eastAsia="宋体" w:cs="宋体"/>
                <w:sz w:val="20"/>
                <w:szCs w:val="20"/>
              </w:rPr>
              <w:t>处理方法</w:t>
            </w:r>
          </w:p>
        </w:tc>
        <w:tc>
          <w:tcPr>
            <w:tcW w:w="1875" w:type="dxa"/>
            <w:vAlign w:val="center"/>
          </w:tcPr>
          <w:p w14:paraId="600903EF">
            <w:pPr>
              <w:jc w:val="center"/>
              <w:rPr>
                <w:rFonts w:ascii="宋体" w:hAnsi="宋体" w:eastAsia="宋体" w:cs="宋体"/>
                <w:sz w:val="20"/>
                <w:szCs w:val="20"/>
              </w:rPr>
            </w:pPr>
            <w:r>
              <w:rPr>
                <w:rFonts w:hint="eastAsia" w:ascii="宋体" w:hAnsi="宋体" w:eastAsia="宋体" w:cs="宋体"/>
                <w:sz w:val="20"/>
                <w:szCs w:val="20"/>
              </w:rPr>
              <w:t>处理能力</w:t>
            </w:r>
          </w:p>
        </w:tc>
        <w:tc>
          <w:tcPr>
            <w:tcW w:w="3286" w:type="dxa"/>
            <w:vAlign w:val="center"/>
          </w:tcPr>
          <w:p w14:paraId="0715A8DA">
            <w:pPr>
              <w:jc w:val="center"/>
              <w:rPr>
                <w:rFonts w:ascii="宋体" w:hAnsi="宋体" w:eastAsia="宋体" w:cs="宋体"/>
                <w:sz w:val="20"/>
                <w:szCs w:val="20"/>
              </w:rPr>
            </w:pPr>
            <w:r>
              <w:rPr>
                <w:rFonts w:hint="eastAsia" w:ascii="宋体" w:hAnsi="宋体" w:eastAsia="宋体" w:cs="宋体"/>
                <w:sz w:val="20"/>
                <w:szCs w:val="20"/>
              </w:rPr>
              <w:t>处理工艺</w:t>
            </w:r>
          </w:p>
        </w:tc>
      </w:tr>
      <w:tr w14:paraId="78E09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vAlign w:val="center"/>
          </w:tcPr>
          <w:p w14:paraId="2B144DF1">
            <w:pPr>
              <w:keepNext w:val="0"/>
              <w:keepLines w:val="0"/>
              <w:pageBreakBefore w:val="0"/>
              <w:kinsoku/>
              <w:wordWrap/>
              <w:overflowPunct/>
              <w:topLinePunct w:val="0"/>
              <w:autoSpaceDE/>
              <w:autoSpaceDN/>
              <w:bidi w:val="0"/>
              <w:spacing w:line="240" w:lineRule="auto"/>
              <w:jc w:val="left"/>
              <w:rPr>
                <w:rFonts w:ascii="宋体" w:hAnsi="宋体" w:eastAsia="宋体" w:cs="宋体"/>
                <w:color w:val="FF0000"/>
                <w:sz w:val="20"/>
                <w:szCs w:val="20"/>
              </w:rPr>
            </w:pPr>
            <w:r>
              <w:rPr>
                <w:rFonts w:hint="eastAsia" w:ascii="宋体" w:hAnsi="宋体" w:eastAsia="宋体" w:cs="宋体"/>
                <w:b w:val="0"/>
                <w:bCs w:val="0"/>
                <w:color w:val="auto"/>
                <w:sz w:val="20"/>
                <w:szCs w:val="20"/>
                <w:lang w:val="en-US" w:eastAsia="zh-CN"/>
              </w:rPr>
              <w:t>粗格栅、细格栅、提升泵房、沉砂池、氧化沟、配水井、二沉池、高效沉淀池、连续砂滤池、接触消毒池</w:t>
            </w:r>
          </w:p>
        </w:tc>
        <w:tc>
          <w:tcPr>
            <w:tcW w:w="2020" w:type="dxa"/>
            <w:vAlign w:val="center"/>
          </w:tcPr>
          <w:p w14:paraId="4627645B">
            <w:pPr>
              <w:keepNext w:val="0"/>
              <w:keepLines w:val="0"/>
              <w:pageBreakBefore w:val="0"/>
              <w:kinsoku/>
              <w:wordWrap/>
              <w:overflowPunct/>
              <w:topLinePunct w:val="0"/>
              <w:autoSpaceDE/>
              <w:autoSpaceDN/>
              <w:bidi w:val="0"/>
              <w:spacing w:line="240" w:lineRule="auto"/>
              <w:jc w:val="left"/>
              <w:rPr>
                <w:rFonts w:ascii="宋体" w:hAnsi="宋体" w:eastAsia="宋体" w:cs="宋体"/>
                <w:color w:val="FF0000"/>
                <w:sz w:val="20"/>
                <w:szCs w:val="20"/>
              </w:rPr>
            </w:pPr>
            <w:r>
              <w:rPr>
                <w:rFonts w:hint="eastAsia" w:ascii="宋体" w:hAnsi="宋体" w:eastAsia="宋体" w:cs="宋体"/>
                <w:b w:val="0"/>
                <w:bCs w:val="0"/>
                <w:color w:val="auto"/>
                <w:sz w:val="20"/>
                <w:szCs w:val="20"/>
                <w:lang w:val="en-US" w:eastAsia="zh-CN"/>
              </w:rPr>
              <w:t>活性污泥法</w:t>
            </w:r>
          </w:p>
        </w:tc>
        <w:tc>
          <w:tcPr>
            <w:tcW w:w="1875" w:type="dxa"/>
            <w:vAlign w:val="center"/>
          </w:tcPr>
          <w:p w14:paraId="50ED2EB4">
            <w:pPr>
              <w:keepNext w:val="0"/>
              <w:keepLines w:val="0"/>
              <w:pageBreakBefore w:val="0"/>
              <w:kinsoku/>
              <w:wordWrap/>
              <w:overflowPunct/>
              <w:topLinePunct w:val="0"/>
              <w:autoSpaceDE/>
              <w:autoSpaceDN/>
              <w:bidi w:val="0"/>
              <w:spacing w:line="240" w:lineRule="auto"/>
              <w:jc w:val="left"/>
              <w:rPr>
                <w:rFonts w:ascii="宋体" w:hAnsi="宋体" w:eastAsia="宋体" w:cs="宋体"/>
                <w:color w:val="FF0000"/>
                <w:sz w:val="20"/>
                <w:szCs w:val="20"/>
              </w:rPr>
            </w:pPr>
            <w:r>
              <w:rPr>
                <w:rFonts w:hint="eastAsia" w:ascii="宋体" w:hAnsi="宋体" w:eastAsia="宋体" w:cs="宋体"/>
                <w:b w:val="0"/>
                <w:bCs w:val="0"/>
                <w:color w:val="auto"/>
                <w:sz w:val="20"/>
                <w:szCs w:val="20"/>
                <w:lang w:val="en-US" w:eastAsia="zh-CN"/>
              </w:rPr>
              <w:t>3万吨/日</w:t>
            </w:r>
          </w:p>
        </w:tc>
        <w:tc>
          <w:tcPr>
            <w:tcW w:w="3286" w:type="dxa"/>
            <w:vAlign w:val="center"/>
          </w:tcPr>
          <w:p w14:paraId="620F81A1">
            <w:pPr>
              <w:keepNext w:val="0"/>
              <w:keepLines w:val="0"/>
              <w:pageBreakBefore w:val="0"/>
              <w:kinsoku/>
              <w:wordWrap/>
              <w:overflowPunct/>
              <w:topLinePunct w:val="0"/>
              <w:autoSpaceDE/>
              <w:autoSpaceDN/>
              <w:bidi w:val="0"/>
              <w:spacing w:line="240" w:lineRule="auto"/>
              <w:jc w:val="left"/>
              <w:rPr>
                <w:rFonts w:ascii="宋体" w:hAnsi="宋体" w:eastAsia="宋体" w:cs="宋体"/>
                <w:color w:val="FF0000"/>
                <w:sz w:val="20"/>
                <w:szCs w:val="20"/>
              </w:rPr>
            </w:pPr>
            <w:r>
              <w:rPr>
                <w:rFonts w:hint="eastAsia" w:ascii="宋体" w:hAnsi="宋体" w:eastAsia="宋体" w:cs="宋体"/>
                <w:b w:val="0"/>
                <w:bCs w:val="0"/>
                <w:color w:val="auto"/>
                <w:sz w:val="21"/>
                <w:szCs w:val="21"/>
                <w:lang w:val="en-US" w:eastAsia="zh-CN"/>
              </w:rPr>
              <w:t>改良型氧化沟工艺+高效沉淀池+连续砂滤池+接触消毒池</w:t>
            </w:r>
          </w:p>
        </w:tc>
      </w:tr>
    </w:tbl>
    <w:p w14:paraId="29F36733">
      <w:pPr>
        <w:ind w:firstLine="560" w:firstLineChars="200"/>
        <w:jc w:val="center"/>
        <w:outlineLvl w:val="1"/>
        <w:rPr>
          <w:rFonts w:ascii="宋体" w:hAnsi="宋体" w:eastAsia="宋体" w:cs="宋体"/>
          <w:sz w:val="28"/>
          <w:szCs w:val="28"/>
          <w:highlight w:val="yellow"/>
          <w:lang w:val="zh-CN"/>
        </w:rPr>
      </w:pPr>
    </w:p>
    <w:p w14:paraId="53074867">
      <w:pPr>
        <w:pStyle w:val="24"/>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六、样品采集和保存</w:t>
      </w:r>
    </w:p>
    <w:p w14:paraId="6EDB565E">
      <w:pPr>
        <w:pStyle w:val="24"/>
        <w:spacing w:line="240" w:lineRule="auto"/>
        <w:ind w:left="-420" w:leftChars="-200" w:firstLine="560"/>
        <w:outlineLvl w:val="1"/>
        <w:rPr>
          <w:rFonts w:ascii="宋体" w:hAnsi="宋体"/>
          <w:sz w:val="28"/>
          <w:szCs w:val="28"/>
          <w:lang w:val="en-US"/>
        </w:rPr>
      </w:pPr>
      <w:r>
        <w:rPr>
          <w:rFonts w:hint="eastAsia" w:ascii="宋体" w:hAnsi="宋体"/>
          <w:sz w:val="28"/>
          <w:szCs w:val="28"/>
          <w:highlight w:val="none"/>
          <w:lang w:val="en-US"/>
        </w:rPr>
        <w:t>1、样品的采样按照《污水监测技术规范》</w:t>
      </w:r>
      <w:r>
        <w:rPr>
          <w:rFonts w:hint="eastAsia" w:ascii="宋体" w:hAnsi="宋体"/>
          <w:color w:val="auto"/>
          <w:sz w:val="28"/>
          <w:szCs w:val="28"/>
          <w:highlight w:val="none"/>
          <w:lang w:val="en-US"/>
        </w:rPr>
        <w:t>HJ91.1-2019</w:t>
      </w:r>
      <w:r>
        <w:rPr>
          <w:rFonts w:hint="eastAsia" w:ascii="宋体" w:hAnsi="宋体"/>
          <w:sz w:val="28"/>
          <w:szCs w:val="28"/>
          <w:highlight w:val="none"/>
          <w:lang w:val="en-US"/>
        </w:rPr>
        <w:t>执</w:t>
      </w:r>
      <w:r>
        <w:rPr>
          <w:rFonts w:hint="eastAsia" w:ascii="宋体" w:hAnsi="宋体"/>
          <w:sz w:val="28"/>
          <w:szCs w:val="28"/>
          <w:lang w:val="en-US"/>
        </w:rPr>
        <w:t>行。</w:t>
      </w:r>
    </w:p>
    <w:p w14:paraId="510F1169">
      <w:pPr>
        <w:pStyle w:val="24"/>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1.1采样时应保证采样点的位置准确。</w:t>
      </w:r>
    </w:p>
    <w:p w14:paraId="17337368">
      <w:pPr>
        <w:pStyle w:val="24"/>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1.2认真填写采样记录表，字迹应端正清晰，保证采样按时、准确、安全。</w:t>
      </w:r>
    </w:p>
    <w:p w14:paraId="09DE8F37">
      <w:pPr>
        <w:pStyle w:val="24"/>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1.3测定油类的水样，应在水面至水面下300 毫米采集柱状水样，并单独采样，全部用于测定。采样瓶不能用采集的水样冲洗。</w:t>
      </w:r>
    </w:p>
    <w:p w14:paraId="604711CF">
      <w:pPr>
        <w:pStyle w:val="24"/>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1.4测溶解氧、五日生化需氧量和有机污染物等项目时的水样，必须注满容器，不留空间，并用蒸馏水封口。</w:t>
      </w:r>
    </w:p>
    <w:p w14:paraId="3689583E">
      <w:pPr>
        <w:pStyle w:val="24"/>
        <w:spacing w:line="240" w:lineRule="auto"/>
        <w:ind w:left="-420" w:leftChars="-200" w:firstLine="560"/>
        <w:outlineLvl w:val="1"/>
        <w:rPr>
          <w:rFonts w:hint="eastAsia" w:ascii="宋体" w:hAnsi="宋体"/>
          <w:sz w:val="28"/>
          <w:szCs w:val="28"/>
          <w:highlight w:val="none"/>
          <w:lang w:val="en-US"/>
        </w:rPr>
      </w:pPr>
      <w:r>
        <w:rPr>
          <w:rFonts w:hint="eastAsia" w:ascii="宋体" w:hAnsi="宋体"/>
          <w:sz w:val="28"/>
          <w:szCs w:val="28"/>
          <w:highlight w:val="none"/>
          <w:lang w:val="en-US"/>
        </w:rPr>
        <w:t>1.5测定</w:t>
      </w:r>
      <w:r>
        <w:rPr>
          <w:rFonts w:hint="eastAsia" w:ascii="宋体" w:hAnsi="宋体"/>
          <w:sz w:val="28"/>
          <w:szCs w:val="28"/>
          <w:highlight w:val="none"/>
          <w:lang w:val="en-US" w:eastAsia="zh-CN"/>
        </w:rPr>
        <w:t>水温、pH值、色度、</w:t>
      </w:r>
      <w:r>
        <w:rPr>
          <w:rFonts w:hint="eastAsia" w:ascii="宋体" w:hAnsi="宋体"/>
          <w:sz w:val="28"/>
          <w:szCs w:val="28"/>
          <w:highlight w:val="none"/>
          <w:lang w:val="en-US"/>
        </w:rPr>
        <w:t>油类、五日生化需氧量、溶解氧、硫化物、余氯、粪大肠菌群、悬浮物、放射性等项目要单独采样。</w:t>
      </w:r>
    </w:p>
    <w:p w14:paraId="257A0482">
      <w:pPr>
        <w:pStyle w:val="24"/>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1.6在采样期间必须避免样品受到污染。应该考虑到所有可能的污染来源，必须采取适当的控制措施以避免污染。</w:t>
      </w:r>
    </w:p>
    <w:p w14:paraId="22E6CAF4">
      <w:pPr>
        <w:pStyle w:val="24"/>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2、样品的保存按照HJ91.1-2019执行。</w:t>
      </w:r>
    </w:p>
    <w:p w14:paraId="4DADAB04">
      <w:pPr>
        <w:pStyle w:val="24"/>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2.1各种水质的水样，从采集到分析这段时间内，由于物理的、化学的、生物的作用会发生不同程度的变化，这些变化使得进行分析时的样品已不再是采样时的样品，为了使这种变化降低到最小的程度，必须在采样时对样品加以保护。</w:t>
      </w:r>
    </w:p>
    <w:p w14:paraId="56155B76">
      <w:pPr>
        <w:pStyle w:val="24"/>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2.2最大限度地防止容器及瓶塞对样品的污染。</w:t>
      </w:r>
    </w:p>
    <w:p w14:paraId="18CE977A">
      <w:pPr>
        <w:pStyle w:val="24"/>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2.3容器壁应易于清洗、处理，以减少如重金属或放射性核类的微量元素对容器的表面污染。</w:t>
      </w:r>
    </w:p>
    <w:p w14:paraId="7779E852">
      <w:pPr>
        <w:pStyle w:val="24"/>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2.4容器或容器塞的化学和生物性质应该是惰性的，以防止容器与样品组分发生反应。如测氟时，水样不能贮于玻璃瓶中，因为玻璃与氟化物发生反应。</w:t>
      </w:r>
    </w:p>
    <w:p w14:paraId="4ECCC8F6">
      <w:pPr>
        <w:pStyle w:val="24"/>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2.5防止容器吸收或吸附待测组分，引起待测组分浓度的变化。微量金属易于受这些因素的影响，其他如清洁剂、杀虫剂、磷酸盐同样也受到影响。</w:t>
      </w:r>
    </w:p>
    <w:p w14:paraId="3889A13D">
      <w:pPr>
        <w:pStyle w:val="24"/>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3、地表水与废气的采集及保存方法</w:t>
      </w:r>
    </w:p>
    <w:p w14:paraId="22B96593">
      <w:pPr>
        <w:pStyle w:val="24"/>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lang w:val="en-US"/>
        </w:rPr>
        <w:t>3.1、地表水的采集按照《地表水</w:t>
      </w:r>
      <w:r>
        <w:rPr>
          <w:rFonts w:hint="eastAsia" w:ascii="宋体" w:hAnsi="宋体"/>
          <w:sz w:val="28"/>
          <w:szCs w:val="28"/>
          <w:highlight w:val="none"/>
          <w:lang w:val="en-US" w:eastAsia="zh-CN"/>
        </w:rPr>
        <w:t>环境质量监测技术规范</w:t>
      </w:r>
      <w:r>
        <w:rPr>
          <w:rFonts w:hint="eastAsia" w:ascii="宋体" w:hAnsi="宋体"/>
          <w:sz w:val="28"/>
          <w:szCs w:val="28"/>
          <w:highlight w:val="none"/>
          <w:lang w:val="en-US"/>
        </w:rPr>
        <w:t>》HJ 91</w:t>
      </w:r>
      <w:r>
        <w:rPr>
          <w:rFonts w:hint="eastAsia" w:ascii="宋体" w:hAnsi="宋体"/>
          <w:sz w:val="28"/>
          <w:szCs w:val="28"/>
          <w:highlight w:val="none"/>
          <w:lang w:val="en-US" w:eastAsia="zh-CN"/>
        </w:rPr>
        <w:t>.2</w:t>
      </w:r>
      <w:r>
        <w:rPr>
          <w:rFonts w:hint="eastAsia" w:ascii="宋体" w:hAnsi="宋体"/>
          <w:sz w:val="28"/>
          <w:szCs w:val="28"/>
          <w:highlight w:val="none"/>
          <w:lang w:val="en-US"/>
        </w:rPr>
        <w:t>-20</w:t>
      </w:r>
      <w:r>
        <w:rPr>
          <w:rFonts w:hint="eastAsia" w:ascii="宋体" w:hAnsi="宋体"/>
          <w:sz w:val="28"/>
          <w:szCs w:val="28"/>
          <w:highlight w:val="none"/>
          <w:lang w:val="en-US" w:eastAsia="zh-CN"/>
        </w:rPr>
        <w:t>2</w:t>
      </w:r>
      <w:r>
        <w:rPr>
          <w:rFonts w:hint="eastAsia" w:ascii="宋体" w:hAnsi="宋体"/>
          <w:sz w:val="28"/>
          <w:szCs w:val="28"/>
          <w:highlight w:val="none"/>
          <w:lang w:val="en-US"/>
        </w:rPr>
        <w:t>2</w:t>
      </w:r>
      <w:r>
        <w:rPr>
          <w:rFonts w:hint="eastAsia" w:ascii="宋体" w:hAnsi="宋体"/>
          <w:sz w:val="28"/>
          <w:szCs w:val="28"/>
          <w:highlight w:val="none"/>
        </w:rPr>
        <w:t xml:space="preserve"> 执行，采样方法按照以下要求执行。</w:t>
      </w:r>
    </w:p>
    <w:p w14:paraId="6BCB0A3F">
      <w:pPr>
        <w:pStyle w:val="24"/>
        <w:spacing w:line="240" w:lineRule="auto"/>
        <w:ind w:left="-420" w:leftChars="-200" w:firstLine="560"/>
        <w:outlineLvl w:val="1"/>
        <w:rPr>
          <w:rFonts w:ascii="宋体" w:hAnsi="宋体"/>
          <w:sz w:val="28"/>
          <w:szCs w:val="28"/>
        </w:rPr>
      </w:pPr>
      <w:r>
        <w:rPr>
          <w:rFonts w:hint="eastAsia" w:ascii="宋体" w:hAnsi="宋体"/>
          <w:sz w:val="28"/>
          <w:szCs w:val="28"/>
          <w:lang w:val="en-US"/>
        </w:rPr>
        <w:t>3.1.1、</w:t>
      </w:r>
      <w:r>
        <w:rPr>
          <w:rFonts w:hint="eastAsia" w:ascii="宋体" w:hAnsi="宋体"/>
          <w:sz w:val="28"/>
          <w:szCs w:val="28"/>
        </w:rPr>
        <w:t>在同一监测断面分层采样时，应自上而下进行，避免不同层次水体混扰；</w:t>
      </w:r>
    </w:p>
    <w:p w14:paraId="05D07795">
      <w:pPr>
        <w:pStyle w:val="24"/>
        <w:spacing w:line="240" w:lineRule="auto"/>
        <w:ind w:left="-420" w:leftChars="-200" w:firstLine="560"/>
        <w:outlineLvl w:val="1"/>
        <w:rPr>
          <w:rFonts w:ascii="宋体" w:hAnsi="宋体"/>
          <w:sz w:val="28"/>
          <w:szCs w:val="28"/>
        </w:rPr>
      </w:pPr>
      <w:r>
        <w:rPr>
          <w:rFonts w:hint="eastAsia" w:ascii="宋体" w:hAnsi="宋体"/>
          <w:sz w:val="28"/>
          <w:szCs w:val="28"/>
          <w:lang w:val="en-US"/>
        </w:rPr>
        <w:t>3.1.2、</w:t>
      </w:r>
      <w:r>
        <w:rPr>
          <w:rFonts w:hint="eastAsia" w:ascii="宋体" w:hAnsi="宋体"/>
          <w:sz w:val="28"/>
          <w:szCs w:val="28"/>
        </w:rPr>
        <w:t>除标准分析方法有特殊要求的监测项目外，采样器、静置容器和样品瓶在使用前应先用水样分别荡洗2～3次；</w:t>
      </w:r>
    </w:p>
    <w:p w14:paraId="00CD4610">
      <w:pPr>
        <w:pStyle w:val="24"/>
        <w:spacing w:line="240" w:lineRule="auto"/>
        <w:ind w:left="-420" w:leftChars="-200" w:firstLine="560"/>
        <w:outlineLvl w:val="1"/>
        <w:rPr>
          <w:rFonts w:ascii="宋体" w:hAnsi="宋体"/>
          <w:sz w:val="28"/>
          <w:szCs w:val="28"/>
        </w:rPr>
      </w:pPr>
      <w:r>
        <w:rPr>
          <w:rFonts w:hint="eastAsia" w:ascii="宋体" w:hAnsi="宋体"/>
          <w:sz w:val="28"/>
          <w:szCs w:val="28"/>
          <w:lang w:val="en-US"/>
        </w:rPr>
        <w:t>3.1.3、</w:t>
      </w:r>
      <w:r>
        <w:rPr>
          <w:rFonts w:hint="eastAsia" w:ascii="宋体" w:hAnsi="宋体"/>
          <w:sz w:val="28"/>
          <w:szCs w:val="28"/>
        </w:rPr>
        <w:t>采样时不可搅动水底的沉积物。除标准分析方法有特殊要求的监测项目外，采集的水样倒入静置容器中，保证足够用量，自然静置30 min。自然静置时，使用防尘盖遮挡，避免灰尘污染；</w:t>
      </w:r>
    </w:p>
    <w:p w14:paraId="2270D5ED">
      <w:pPr>
        <w:pStyle w:val="24"/>
        <w:spacing w:line="240" w:lineRule="auto"/>
        <w:ind w:left="-420" w:leftChars="-200" w:firstLine="560"/>
        <w:outlineLvl w:val="1"/>
        <w:rPr>
          <w:rFonts w:ascii="宋体" w:hAnsi="宋体"/>
          <w:sz w:val="28"/>
          <w:szCs w:val="28"/>
        </w:rPr>
      </w:pPr>
      <w:r>
        <w:rPr>
          <w:rFonts w:hint="eastAsia" w:ascii="宋体" w:hAnsi="宋体"/>
          <w:sz w:val="28"/>
          <w:szCs w:val="28"/>
          <w:lang w:val="en-US"/>
        </w:rPr>
        <w:t>3.1.4、</w:t>
      </w:r>
      <w:r>
        <w:rPr>
          <w:rFonts w:hint="eastAsia" w:ascii="宋体" w:hAnsi="宋体"/>
          <w:sz w:val="28"/>
          <w:szCs w:val="28"/>
        </w:rPr>
        <w:t>使用虹吸装置取上层不含沉降性固体的水样，移入样品瓶，虹吸装置进水尖嘴应保持插至水样表层50 mm以下位置。</w:t>
      </w:r>
    </w:p>
    <w:p w14:paraId="31EA510F">
      <w:pPr>
        <w:pStyle w:val="24"/>
        <w:spacing w:line="240" w:lineRule="auto"/>
        <w:ind w:left="-420" w:leftChars="-200" w:firstLine="560"/>
        <w:outlineLvl w:val="1"/>
        <w:rPr>
          <w:rFonts w:ascii="宋体" w:hAnsi="宋体"/>
          <w:sz w:val="28"/>
          <w:szCs w:val="28"/>
        </w:rPr>
      </w:pPr>
      <w:r>
        <w:rPr>
          <w:rFonts w:hint="eastAsia" w:ascii="宋体" w:hAnsi="宋体"/>
          <w:sz w:val="28"/>
          <w:szCs w:val="28"/>
        </w:rPr>
        <w:t>3.2、废气采集方法。</w:t>
      </w:r>
    </w:p>
    <w:p w14:paraId="7F4799D5">
      <w:pPr>
        <w:pStyle w:val="24"/>
        <w:spacing w:line="240" w:lineRule="auto"/>
        <w:ind w:left="-420" w:leftChars="-200" w:firstLine="560"/>
        <w:outlineLvl w:val="1"/>
        <w:rPr>
          <w:rFonts w:hint="eastAsia" w:ascii="宋体" w:hAnsi="宋体"/>
          <w:sz w:val="28"/>
          <w:szCs w:val="28"/>
          <w:lang w:val="en-US"/>
        </w:rPr>
      </w:pPr>
      <w:r>
        <w:rPr>
          <w:rFonts w:hint="eastAsia" w:ascii="宋体" w:hAnsi="宋体"/>
          <w:sz w:val="28"/>
          <w:szCs w:val="28"/>
          <w:lang w:val="en-US"/>
        </w:rPr>
        <w:t>3.2.</w:t>
      </w:r>
      <w:r>
        <w:rPr>
          <w:rFonts w:hint="eastAsia" w:ascii="宋体" w:hAnsi="宋体"/>
          <w:sz w:val="28"/>
          <w:szCs w:val="28"/>
          <w:lang w:val="en-US" w:eastAsia="zh-CN"/>
        </w:rPr>
        <w:t>1</w:t>
      </w:r>
      <w:r>
        <w:rPr>
          <w:rFonts w:hint="eastAsia" w:ascii="宋体" w:hAnsi="宋体"/>
          <w:sz w:val="28"/>
          <w:szCs w:val="28"/>
          <w:lang w:val="en-US"/>
        </w:rPr>
        <w:t>、</w:t>
      </w:r>
      <w:r>
        <w:rPr>
          <w:rFonts w:hint="eastAsia" w:ascii="宋体" w:hAnsi="宋体"/>
          <w:sz w:val="28"/>
          <w:szCs w:val="28"/>
        </w:rPr>
        <w:t>无组织废气采样按《</w:t>
      </w:r>
      <w:r>
        <w:rPr>
          <w:rFonts w:hint="eastAsia" w:ascii="宋体" w:hAnsi="宋体"/>
          <w:sz w:val="28"/>
          <w:szCs w:val="28"/>
          <w:lang w:val="en-US"/>
        </w:rPr>
        <w:t>大气污染物无组织排放监测技术导则</w:t>
      </w:r>
      <w:r>
        <w:rPr>
          <w:rFonts w:hint="eastAsia" w:ascii="宋体" w:hAnsi="宋体"/>
          <w:sz w:val="28"/>
          <w:szCs w:val="28"/>
        </w:rPr>
        <w:t>》HJ/T 55—2000执行。</w:t>
      </w:r>
    </w:p>
    <w:p w14:paraId="5BCA1B33">
      <w:pPr>
        <w:pStyle w:val="24"/>
        <w:spacing w:line="240" w:lineRule="auto"/>
        <w:ind w:left="-420" w:leftChars="-200" w:firstLine="560"/>
        <w:outlineLvl w:val="1"/>
        <w:rPr>
          <w:rFonts w:ascii="宋体" w:hAnsi="宋体"/>
          <w:sz w:val="28"/>
          <w:szCs w:val="28"/>
          <w:lang w:val="en-US"/>
        </w:rPr>
      </w:pPr>
      <w:r>
        <w:rPr>
          <w:rFonts w:hint="eastAsia" w:ascii="宋体" w:hAnsi="宋体"/>
          <w:sz w:val="28"/>
          <w:szCs w:val="28"/>
        </w:rPr>
        <w:t>3.3、</w:t>
      </w:r>
      <w:r>
        <w:rPr>
          <w:rFonts w:hint="eastAsia" w:ascii="宋体" w:hAnsi="宋体"/>
          <w:sz w:val="28"/>
          <w:szCs w:val="28"/>
          <w:lang w:val="en-US"/>
        </w:rPr>
        <w:t>地表水与废气的保存方法</w:t>
      </w:r>
    </w:p>
    <w:tbl>
      <w:tblPr>
        <w:tblStyle w:val="14"/>
        <w:tblW w:w="8100" w:type="dxa"/>
        <w:tblInd w:w="93" w:type="dxa"/>
        <w:tblLayout w:type="autofit"/>
        <w:tblCellMar>
          <w:top w:w="0" w:type="dxa"/>
          <w:left w:w="108" w:type="dxa"/>
          <w:bottom w:w="0" w:type="dxa"/>
          <w:right w:w="108" w:type="dxa"/>
        </w:tblCellMar>
      </w:tblPr>
      <w:tblGrid>
        <w:gridCol w:w="1796"/>
        <w:gridCol w:w="2391"/>
        <w:gridCol w:w="3913"/>
      </w:tblGrid>
      <w:tr w14:paraId="1965AC18">
        <w:tblPrEx>
          <w:tblCellMar>
            <w:top w:w="0" w:type="dxa"/>
            <w:left w:w="108" w:type="dxa"/>
            <w:bottom w:w="0" w:type="dxa"/>
            <w:right w:w="108" w:type="dxa"/>
          </w:tblCellMar>
        </w:tblPrEx>
        <w:trPr>
          <w:trHeight w:val="285" w:hRule="atLeast"/>
        </w:trPr>
        <w:tc>
          <w:tcPr>
            <w:tcW w:w="1796" w:type="dxa"/>
            <w:tcBorders>
              <w:top w:val="single" w:color="000000" w:sz="8" w:space="0"/>
              <w:left w:val="single" w:color="000000" w:sz="8" w:space="0"/>
              <w:bottom w:val="nil"/>
              <w:right w:val="single" w:color="000000" w:sz="8" w:space="0"/>
            </w:tcBorders>
            <w:shd w:val="clear" w:color="auto" w:fill="auto"/>
            <w:vAlign w:val="center"/>
          </w:tcPr>
          <w:p w14:paraId="438DA41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样品类别</w:t>
            </w:r>
          </w:p>
        </w:tc>
        <w:tc>
          <w:tcPr>
            <w:tcW w:w="2391" w:type="dxa"/>
            <w:tcBorders>
              <w:top w:val="single" w:color="000000" w:sz="8" w:space="0"/>
              <w:left w:val="single" w:color="000000" w:sz="8" w:space="0"/>
              <w:bottom w:val="nil"/>
              <w:right w:val="single" w:color="000000" w:sz="8" w:space="0"/>
            </w:tcBorders>
            <w:shd w:val="clear" w:color="auto" w:fill="auto"/>
            <w:vAlign w:val="center"/>
          </w:tcPr>
          <w:p w14:paraId="4BC10982">
            <w:pPr>
              <w:widowControl/>
              <w:ind w:firstLine="400" w:firstLineChars="20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检测项目</w:t>
            </w:r>
          </w:p>
        </w:tc>
        <w:tc>
          <w:tcPr>
            <w:tcW w:w="3913" w:type="dxa"/>
            <w:tcBorders>
              <w:top w:val="single" w:color="000000" w:sz="8" w:space="0"/>
              <w:left w:val="single" w:color="000000" w:sz="8" w:space="0"/>
              <w:bottom w:val="nil"/>
              <w:right w:val="single" w:color="000000" w:sz="8" w:space="0"/>
            </w:tcBorders>
            <w:shd w:val="clear" w:color="auto" w:fill="auto"/>
          </w:tcPr>
          <w:p w14:paraId="32643D6E">
            <w:pPr>
              <w:widowControl/>
              <w:ind w:firstLine="400" w:firstLineChars="200"/>
              <w:jc w:val="center"/>
              <w:textAlignment w:val="top"/>
              <w:rPr>
                <w:rFonts w:ascii="宋体" w:hAnsi="宋体" w:eastAsia="宋体" w:cs="宋体"/>
                <w:color w:val="000000"/>
                <w:sz w:val="20"/>
                <w:szCs w:val="20"/>
              </w:rPr>
            </w:pPr>
            <w:r>
              <w:rPr>
                <w:rFonts w:hint="eastAsia" w:ascii="宋体" w:hAnsi="宋体" w:eastAsia="宋体" w:cs="宋体"/>
                <w:color w:val="000000"/>
                <w:kern w:val="0"/>
                <w:sz w:val="20"/>
                <w:szCs w:val="20"/>
              </w:rPr>
              <w:t>保存方式</w:t>
            </w:r>
          </w:p>
        </w:tc>
      </w:tr>
      <w:tr w14:paraId="2BE15B5B">
        <w:tblPrEx>
          <w:tblCellMar>
            <w:top w:w="0" w:type="dxa"/>
            <w:left w:w="108" w:type="dxa"/>
            <w:bottom w:w="0" w:type="dxa"/>
            <w:right w:w="108" w:type="dxa"/>
          </w:tblCellMar>
        </w:tblPrEx>
        <w:trPr>
          <w:trHeight w:val="285" w:hRule="atLeast"/>
        </w:trPr>
        <w:tc>
          <w:tcPr>
            <w:tcW w:w="1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F99F2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地表水</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4D09E">
            <w:pPr>
              <w:widowControl/>
              <w:ind w:firstLine="400" w:firstLineChars="20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PH值</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2D2E3056">
            <w:pPr>
              <w:widowControl/>
              <w:ind w:firstLine="400" w:firstLineChars="200"/>
              <w:jc w:val="center"/>
              <w:textAlignment w:val="top"/>
              <w:rPr>
                <w:rFonts w:ascii="宋体" w:hAnsi="宋体" w:eastAsia="宋体" w:cs="宋体"/>
                <w:color w:val="000000"/>
                <w:sz w:val="20"/>
                <w:szCs w:val="20"/>
              </w:rPr>
            </w:pPr>
            <w:r>
              <w:rPr>
                <w:rFonts w:hint="eastAsia" w:ascii="宋体" w:hAnsi="宋体" w:eastAsia="宋体" w:cs="宋体"/>
                <w:color w:val="000000"/>
                <w:kern w:val="0"/>
                <w:sz w:val="20"/>
                <w:szCs w:val="20"/>
              </w:rPr>
              <w:t>采集后立即密封保存，尽量现场测定</w:t>
            </w:r>
          </w:p>
        </w:tc>
      </w:tr>
      <w:tr w14:paraId="5FDBE510">
        <w:tblPrEx>
          <w:tblCellMar>
            <w:top w:w="0" w:type="dxa"/>
            <w:left w:w="108" w:type="dxa"/>
            <w:bottom w:w="0" w:type="dxa"/>
            <w:right w:w="108" w:type="dxa"/>
          </w:tblCellMar>
        </w:tblPrEx>
        <w:trPr>
          <w:trHeight w:val="28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731A6">
            <w:pPr>
              <w:ind w:firstLine="400" w:firstLineChars="200"/>
              <w:jc w:val="center"/>
              <w:rPr>
                <w:rFonts w:ascii="宋体" w:hAnsi="宋体" w:eastAsia="宋体" w:cs="宋体"/>
                <w:color w:val="000000"/>
                <w:sz w:val="20"/>
                <w:szCs w:val="20"/>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7A964">
            <w:pPr>
              <w:widowControl/>
              <w:ind w:firstLine="400" w:firstLineChars="20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悬浮物</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3810ED50">
            <w:pPr>
              <w:widowControl/>
              <w:ind w:firstLine="400" w:firstLineChars="200"/>
              <w:jc w:val="center"/>
              <w:textAlignment w:val="top"/>
              <w:rPr>
                <w:rFonts w:ascii="宋体" w:hAnsi="宋体" w:eastAsia="宋体" w:cs="宋体"/>
                <w:color w:val="000000"/>
                <w:sz w:val="20"/>
                <w:szCs w:val="20"/>
              </w:rPr>
            </w:pPr>
            <w:r>
              <w:rPr>
                <w:rFonts w:hint="eastAsia" w:ascii="宋体" w:hAnsi="宋体" w:eastAsia="宋体" w:cs="宋体"/>
                <w:color w:val="000000"/>
                <w:kern w:val="0"/>
                <w:sz w:val="20"/>
                <w:szCs w:val="20"/>
              </w:rPr>
              <w:t>冷藏，避光</w:t>
            </w:r>
          </w:p>
        </w:tc>
      </w:tr>
      <w:tr w14:paraId="2A020E9C">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AB699">
            <w:pPr>
              <w:ind w:firstLine="400" w:firstLineChars="200"/>
              <w:jc w:val="center"/>
              <w:rPr>
                <w:rFonts w:ascii="宋体" w:hAnsi="宋体" w:eastAsia="宋体" w:cs="宋体"/>
                <w:color w:val="000000"/>
                <w:sz w:val="20"/>
                <w:szCs w:val="20"/>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A2BA7">
            <w:pPr>
              <w:widowControl/>
              <w:ind w:firstLine="400" w:firstLineChars="20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化学需氧量</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1BDA1C74">
            <w:pPr>
              <w:widowControl/>
              <w:ind w:firstLine="400" w:firstLineChars="200"/>
              <w:jc w:val="center"/>
              <w:textAlignment w:val="top"/>
              <w:rPr>
                <w:rFonts w:ascii="宋体" w:hAnsi="宋体" w:eastAsia="宋体" w:cs="宋体"/>
                <w:color w:val="000000"/>
                <w:sz w:val="20"/>
                <w:szCs w:val="20"/>
              </w:rPr>
            </w:pPr>
            <w:r>
              <w:rPr>
                <w:rFonts w:hint="eastAsia" w:ascii="宋体" w:hAnsi="宋体" w:eastAsia="宋体" w:cs="宋体"/>
                <w:color w:val="000000"/>
                <w:kern w:val="0"/>
                <w:sz w:val="20"/>
                <w:szCs w:val="20"/>
              </w:rPr>
              <w:t>用硫酸酸化，</w:t>
            </w:r>
            <w:r>
              <w:rPr>
                <w:rFonts w:ascii="Calibri" w:hAnsi="Calibri" w:eastAsia="宋体" w:cs="Calibri"/>
                <w:color w:val="000000"/>
                <w:kern w:val="0"/>
                <w:sz w:val="20"/>
                <w:szCs w:val="20"/>
              </w:rPr>
              <w:t>pH</w:t>
            </w:r>
            <w:r>
              <w:rPr>
                <w:rFonts w:hint="eastAsia" w:ascii="宋体" w:hAnsi="宋体" w:eastAsia="宋体" w:cs="宋体"/>
                <w:color w:val="000000"/>
                <w:kern w:val="0"/>
                <w:sz w:val="20"/>
                <w:szCs w:val="20"/>
              </w:rPr>
              <w:t>≤</w:t>
            </w:r>
            <w:r>
              <w:rPr>
                <w:rFonts w:ascii="Calibri" w:hAnsi="Calibri" w:eastAsia="宋体" w:cs="Calibri"/>
                <w:color w:val="000000"/>
                <w:kern w:val="0"/>
                <w:sz w:val="20"/>
                <w:szCs w:val="20"/>
              </w:rPr>
              <w:t>2</w:t>
            </w:r>
          </w:p>
        </w:tc>
      </w:tr>
      <w:tr w14:paraId="572E8784">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19DE1">
            <w:pPr>
              <w:ind w:firstLine="400" w:firstLineChars="200"/>
              <w:jc w:val="center"/>
              <w:rPr>
                <w:rFonts w:ascii="宋体" w:hAnsi="宋体" w:eastAsia="宋体" w:cs="宋体"/>
                <w:color w:val="000000"/>
                <w:sz w:val="20"/>
                <w:szCs w:val="20"/>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47E15">
            <w:pPr>
              <w:widowControl/>
              <w:ind w:firstLine="400" w:firstLineChars="20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五日生化需氧量</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6AA5BAF6">
            <w:pPr>
              <w:widowControl/>
              <w:ind w:firstLine="400" w:firstLineChars="200"/>
              <w:jc w:val="center"/>
              <w:textAlignment w:val="top"/>
              <w:rPr>
                <w:rFonts w:ascii="Calibri" w:hAnsi="Calibri" w:eastAsia="宋体" w:cs="Calibri"/>
                <w:color w:val="000000"/>
                <w:sz w:val="20"/>
                <w:szCs w:val="20"/>
              </w:rPr>
            </w:pPr>
            <w:r>
              <w:rPr>
                <w:rFonts w:ascii="Calibri" w:hAnsi="Calibri" w:eastAsia="宋体" w:cs="Calibri"/>
                <w:color w:val="000000"/>
                <w:kern w:val="0"/>
                <w:sz w:val="20"/>
                <w:szCs w:val="20"/>
              </w:rPr>
              <w:t>1</w:t>
            </w:r>
            <w:r>
              <w:rPr>
                <w:rFonts w:hint="eastAsia" w:ascii="宋体" w:hAnsi="宋体" w:eastAsia="宋体" w:cs="宋体"/>
                <w:color w:val="000000"/>
                <w:kern w:val="0"/>
                <w:sz w:val="20"/>
                <w:szCs w:val="20"/>
              </w:rPr>
              <w:t>～</w:t>
            </w:r>
            <w:r>
              <w:rPr>
                <w:rFonts w:ascii="Calibri" w:hAnsi="Calibri" w:eastAsia="宋体" w:cs="Calibri"/>
                <w:color w:val="000000"/>
                <w:kern w:val="0"/>
                <w:sz w:val="20"/>
                <w:szCs w:val="20"/>
              </w:rPr>
              <w:t>5</w:t>
            </w:r>
            <w:r>
              <w:rPr>
                <w:rFonts w:hint="eastAsia" w:ascii="宋体" w:hAnsi="宋体" w:eastAsia="宋体" w:cs="宋体"/>
                <w:color w:val="000000"/>
                <w:kern w:val="0"/>
                <w:sz w:val="20"/>
                <w:szCs w:val="20"/>
              </w:rPr>
              <w:t>℃暗处冷藏</w:t>
            </w:r>
          </w:p>
        </w:tc>
      </w:tr>
      <w:tr w14:paraId="3B49AEFB">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3D6DF">
            <w:pPr>
              <w:ind w:firstLine="400" w:firstLineChars="200"/>
              <w:jc w:val="center"/>
              <w:rPr>
                <w:rFonts w:ascii="宋体" w:hAnsi="宋体" w:eastAsia="宋体" w:cs="宋体"/>
                <w:color w:val="000000"/>
                <w:sz w:val="20"/>
                <w:szCs w:val="20"/>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57953">
            <w:pPr>
              <w:widowControl/>
              <w:ind w:firstLine="400" w:firstLineChars="20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氨氮</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1F3D9D5A">
            <w:pPr>
              <w:widowControl/>
              <w:ind w:firstLine="400" w:firstLineChars="200"/>
              <w:jc w:val="center"/>
              <w:textAlignment w:val="top"/>
              <w:rPr>
                <w:rFonts w:ascii="宋体" w:hAnsi="宋体" w:eastAsia="宋体" w:cs="宋体"/>
                <w:color w:val="000000"/>
                <w:sz w:val="20"/>
                <w:szCs w:val="20"/>
              </w:rPr>
            </w:pPr>
            <w:r>
              <w:rPr>
                <w:rFonts w:hint="eastAsia" w:ascii="宋体" w:hAnsi="宋体" w:eastAsia="宋体" w:cs="宋体"/>
                <w:color w:val="000000"/>
                <w:kern w:val="0"/>
                <w:sz w:val="20"/>
                <w:szCs w:val="20"/>
              </w:rPr>
              <w:t>用硫酸酸化，</w:t>
            </w:r>
            <w:r>
              <w:rPr>
                <w:rFonts w:ascii="Calibri" w:hAnsi="Calibri" w:eastAsia="宋体" w:cs="Calibri"/>
                <w:color w:val="000000"/>
                <w:kern w:val="0"/>
                <w:sz w:val="20"/>
                <w:szCs w:val="20"/>
              </w:rPr>
              <w:t>pH</w:t>
            </w:r>
            <w:r>
              <w:rPr>
                <w:rFonts w:hint="eastAsia" w:ascii="宋体" w:hAnsi="宋体" w:eastAsia="宋体" w:cs="宋体"/>
                <w:color w:val="000000"/>
                <w:kern w:val="0"/>
                <w:sz w:val="20"/>
                <w:szCs w:val="20"/>
              </w:rPr>
              <w:t>≤</w:t>
            </w:r>
            <w:r>
              <w:rPr>
                <w:rFonts w:ascii="Calibri" w:hAnsi="Calibri" w:eastAsia="宋体" w:cs="Calibri"/>
                <w:color w:val="000000"/>
                <w:kern w:val="0"/>
                <w:sz w:val="20"/>
                <w:szCs w:val="20"/>
              </w:rPr>
              <w:t>2</w:t>
            </w:r>
          </w:p>
        </w:tc>
      </w:tr>
      <w:tr w14:paraId="28EAB503">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42214">
            <w:pPr>
              <w:ind w:firstLine="400" w:firstLineChars="200"/>
              <w:jc w:val="center"/>
              <w:rPr>
                <w:rFonts w:ascii="宋体" w:hAnsi="宋体" w:eastAsia="宋体" w:cs="宋体"/>
                <w:color w:val="000000"/>
                <w:sz w:val="20"/>
                <w:szCs w:val="20"/>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F3EDF">
            <w:pPr>
              <w:widowControl/>
              <w:ind w:firstLine="400" w:firstLineChars="20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总磷</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08AAEDE2">
            <w:pPr>
              <w:widowControl/>
              <w:ind w:firstLine="400" w:firstLineChars="200"/>
              <w:jc w:val="center"/>
              <w:textAlignment w:val="top"/>
              <w:rPr>
                <w:rFonts w:ascii="宋体" w:hAnsi="宋体" w:eastAsia="宋体" w:cs="宋体"/>
                <w:color w:val="000000"/>
                <w:sz w:val="20"/>
                <w:szCs w:val="20"/>
              </w:rPr>
            </w:pPr>
            <w:r>
              <w:rPr>
                <w:rFonts w:hint="eastAsia" w:ascii="宋体" w:hAnsi="宋体" w:eastAsia="宋体" w:cs="宋体"/>
                <w:color w:val="000000"/>
                <w:kern w:val="0"/>
                <w:sz w:val="20"/>
                <w:szCs w:val="20"/>
              </w:rPr>
              <w:t>用硫酸酸化，盐酸酸化至</w:t>
            </w:r>
            <w:r>
              <w:rPr>
                <w:rFonts w:ascii="Calibri" w:hAnsi="Calibri" w:eastAsia="宋体" w:cs="Calibri"/>
                <w:color w:val="000000"/>
                <w:kern w:val="0"/>
                <w:sz w:val="20"/>
                <w:szCs w:val="20"/>
              </w:rPr>
              <w:t>pH</w:t>
            </w:r>
            <w:r>
              <w:rPr>
                <w:rFonts w:hint="eastAsia" w:ascii="宋体" w:hAnsi="宋体" w:eastAsia="宋体" w:cs="宋体"/>
                <w:color w:val="000000"/>
                <w:kern w:val="0"/>
                <w:sz w:val="20"/>
                <w:szCs w:val="20"/>
              </w:rPr>
              <w:t>≤</w:t>
            </w:r>
            <w:r>
              <w:rPr>
                <w:rFonts w:ascii="Calibri" w:hAnsi="Calibri" w:eastAsia="宋体" w:cs="Calibri"/>
                <w:color w:val="000000"/>
                <w:kern w:val="0"/>
                <w:sz w:val="20"/>
                <w:szCs w:val="20"/>
              </w:rPr>
              <w:t>2</w:t>
            </w:r>
          </w:p>
        </w:tc>
      </w:tr>
      <w:tr w14:paraId="3165F3EB">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F8DFC">
            <w:pPr>
              <w:ind w:firstLine="400" w:firstLineChars="200"/>
              <w:jc w:val="center"/>
              <w:rPr>
                <w:rFonts w:ascii="宋体" w:hAnsi="宋体" w:eastAsia="宋体" w:cs="宋体"/>
                <w:color w:val="000000"/>
                <w:sz w:val="20"/>
                <w:szCs w:val="20"/>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697D2">
            <w:pPr>
              <w:widowControl/>
              <w:ind w:firstLine="400" w:firstLineChars="20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总氮</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3FFED487">
            <w:pPr>
              <w:widowControl/>
              <w:ind w:firstLine="400" w:firstLineChars="200"/>
              <w:jc w:val="center"/>
              <w:textAlignment w:val="top"/>
              <w:rPr>
                <w:rFonts w:ascii="宋体" w:hAnsi="宋体" w:eastAsia="宋体" w:cs="宋体"/>
                <w:color w:val="000000"/>
                <w:sz w:val="20"/>
                <w:szCs w:val="20"/>
              </w:rPr>
            </w:pPr>
            <w:r>
              <w:rPr>
                <w:rFonts w:hint="eastAsia" w:ascii="宋体" w:hAnsi="宋体" w:eastAsia="宋体" w:cs="宋体"/>
                <w:color w:val="000000"/>
                <w:kern w:val="0"/>
                <w:sz w:val="20"/>
                <w:szCs w:val="20"/>
              </w:rPr>
              <w:t>用硫酸酸化，</w:t>
            </w:r>
            <w:r>
              <w:rPr>
                <w:rFonts w:ascii="Calibri" w:hAnsi="Calibri" w:eastAsia="宋体" w:cs="Calibri"/>
                <w:color w:val="000000"/>
                <w:kern w:val="0"/>
                <w:sz w:val="20"/>
                <w:szCs w:val="20"/>
              </w:rPr>
              <w:t>pH 1</w:t>
            </w:r>
            <w:r>
              <w:rPr>
                <w:rFonts w:hint="eastAsia" w:ascii="宋体" w:hAnsi="宋体" w:eastAsia="宋体" w:cs="宋体"/>
                <w:color w:val="000000"/>
                <w:kern w:val="0"/>
                <w:sz w:val="20"/>
                <w:szCs w:val="20"/>
              </w:rPr>
              <w:t>～</w:t>
            </w:r>
            <w:r>
              <w:rPr>
                <w:rFonts w:ascii="Calibri" w:hAnsi="Calibri" w:eastAsia="宋体" w:cs="Calibri"/>
                <w:color w:val="000000"/>
                <w:kern w:val="0"/>
                <w:sz w:val="20"/>
                <w:szCs w:val="20"/>
              </w:rPr>
              <w:t>2</w:t>
            </w:r>
          </w:p>
        </w:tc>
      </w:tr>
      <w:tr w14:paraId="346E052E">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80826">
            <w:pPr>
              <w:ind w:firstLine="400" w:firstLineChars="200"/>
              <w:jc w:val="center"/>
              <w:rPr>
                <w:rFonts w:ascii="宋体" w:hAnsi="宋体" w:eastAsia="宋体" w:cs="宋体"/>
                <w:color w:val="000000"/>
                <w:sz w:val="20"/>
                <w:szCs w:val="20"/>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B5178">
            <w:pPr>
              <w:widowControl/>
              <w:ind w:firstLine="400" w:firstLineChars="20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石油类</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3D878B09">
            <w:pPr>
              <w:widowControl/>
              <w:ind w:firstLine="400" w:firstLineChars="200"/>
              <w:jc w:val="center"/>
              <w:textAlignment w:val="top"/>
              <w:rPr>
                <w:rFonts w:ascii="宋体" w:hAnsi="宋体" w:eastAsia="宋体" w:cs="宋体"/>
                <w:color w:val="000000"/>
                <w:sz w:val="20"/>
                <w:szCs w:val="20"/>
              </w:rPr>
            </w:pPr>
            <w:r>
              <w:rPr>
                <w:rFonts w:hint="eastAsia" w:ascii="宋体" w:hAnsi="宋体" w:eastAsia="宋体" w:cs="宋体"/>
                <w:color w:val="000000"/>
                <w:kern w:val="0"/>
                <w:sz w:val="20"/>
                <w:szCs w:val="20"/>
              </w:rPr>
              <w:t xml:space="preserve">用 盐酸 酸化至 </w:t>
            </w:r>
            <w:r>
              <w:rPr>
                <w:rFonts w:ascii="Calibri" w:hAnsi="Calibri" w:eastAsia="宋体" w:cs="Calibri"/>
                <w:color w:val="000000"/>
                <w:kern w:val="0"/>
                <w:sz w:val="20"/>
                <w:szCs w:val="20"/>
              </w:rPr>
              <w:t>pH</w:t>
            </w:r>
            <w:r>
              <w:rPr>
                <w:rFonts w:hint="eastAsia" w:ascii="宋体" w:hAnsi="宋体" w:eastAsia="宋体" w:cs="宋体"/>
                <w:color w:val="000000"/>
                <w:kern w:val="0"/>
                <w:sz w:val="20"/>
                <w:szCs w:val="20"/>
              </w:rPr>
              <w:t>≤</w:t>
            </w:r>
            <w:r>
              <w:rPr>
                <w:rFonts w:ascii="Calibri" w:hAnsi="Calibri" w:eastAsia="宋体" w:cs="Calibri"/>
                <w:color w:val="000000"/>
                <w:kern w:val="0"/>
                <w:sz w:val="20"/>
                <w:szCs w:val="20"/>
              </w:rPr>
              <w:t>2</w:t>
            </w:r>
          </w:p>
        </w:tc>
      </w:tr>
      <w:tr w14:paraId="47213ED8">
        <w:tblPrEx>
          <w:tblCellMar>
            <w:top w:w="0" w:type="dxa"/>
            <w:left w:w="108" w:type="dxa"/>
            <w:bottom w:w="0" w:type="dxa"/>
            <w:right w:w="108" w:type="dxa"/>
          </w:tblCellMar>
        </w:tblPrEx>
        <w:trPr>
          <w:trHeight w:val="28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51043">
            <w:pPr>
              <w:ind w:firstLine="400" w:firstLineChars="200"/>
              <w:jc w:val="center"/>
              <w:rPr>
                <w:rFonts w:ascii="宋体" w:hAnsi="宋体" w:eastAsia="宋体" w:cs="宋体"/>
                <w:color w:val="000000"/>
                <w:sz w:val="20"/>
                <w:szCs w:val="20"/>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048E2">
            <w:pPr>
              <w:widowControl/>
              <w:ind w:firstLine="400" w:firstLineChars="20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余氯</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75DA2686">
            <w:pPr>
              <w:widowControl/>
              <w:ind w:firstLine="400" w:firstLineChars="200"/>
              <w:jc w:val="center"/>
              <w:textAlignment w:val="top"/>
              <w:rPr>
                <w:rFonts w:ascii="宋体" w:hAnsi="宋体" w:eastAsia="宋体" w:cs="宋体"/>
                <w:color w:val="000000"/>
                <w:sz w:val="20"/>
                <w:szCs w:val="20"/>
              </w:rPr>
            </w:pPr>
            <w:r>
              <w:rPr>
                <w:rFonts w:hint="eastAsia" w:ascii="宋体" w:hAnsi="宋体" w:eastAsia="宋体" w:cs="宋体"/>
                <w:color w:val="000000"/>
                <w:kern w:val="0"/>
                <w:sz w:val="20"/>
                <w:szCs w:val="20"/>
              </w:rPr>
              <w:t>避光，尽量现场测定</w:t>
            </w:r>
          </w:p>
        </w:tc>
      </w:tr>
      <w:tr w14:paraId="1FA3AD3A">
        <w:tblPrEx>
          <w:tblCellMar>
            <w:top w:w="0" w:type="dxa"/>
            <w:left w:w="108" w:type="dxa"/>
            <w:bottom w:w="0" w:type="dxa"/>
            <w:right w:w="108" w:type="dxa"/>
          </w:tblCellMar>
        </w:tblPrEx>
        <w:trPr>
          <w:trHeight w:val="300" w:hRule="atLeast"/>
        </w:trPr>
        <w:tc>
          <w:tcPr>
            <w:tcW w:w="1796" w:type="dxa"/>
            <w:vMerge w:val="restart"/>
            <w:tcBorders>
              <w:top w:val="nil"/>
              <w:left w:val="single" w:color="000000" w:sz="8" w:space="0"/>
              <w:bottom w:val="single" w:color="000000" w:sz="8" w:space="0"/>
              <w:right w:val="single" w:color="000000" w:sz="8" w:space="0"/>
            </w:tcBorders>
            <w:shd w:val="clear" w:color="auto" w:fill="auto"/>
            <w:vAlign w:val="center"/>
          </w:tcPr>
          <w:p w14:paraId="792EAA8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废气</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（无组织）</w:t>
            </w:r>
          </w:p>
        </w:tc>
        <w:tc>
          <w:tcPr>
            <w:tcW w:w="2391" w:type="dxa"/>
            <w:tcBorders>
              <w:top w:val="nil"/>
              <w:left w:val="single" w:color="000000" w:sz="8" w:space="0"/>
              <w:bottom w:val="single" w:color="000000" w:sz="8" w:space="0"/>
              <w:right w:val="single" w:color="000000" w:sz="8" w:space="0"/>
            </w:tcBorders>
            <w:shd w:val="clear" w:color="auto" w:fill="auto"/>
            <w:vAlign w:val="center"/>
          </w:tcPr>
          <w:p w14:paraId="4918B4E7">
            <w:pPr>
              <w:widowControl/>
              <w:ind w:firstLine="400" w:firstLineChars="20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氨</w:t>
            </w:r>
          </w:p>
        </w:tc>
        <w:tc>
          <w:tcPr>
            <w:tcW w:w="3913" w:type="dxa"/>
            <w:tcBorders>
              <w:top w:val="nil"/>
              <w:left w:val="single" w:color="000000" w:sz="8" w:space="0"/>
              <w:bottom w:val="single" w:color="000000" w:sz="8" w:space="0"/>
              <w:right w:val="single" w:color="000000" w:sz="8" w:space="0"/>
            </w:tcBorders>
            <w:shd w:val="clear" w:color="auto" w:fill="auto"/>
          </w:tcPr>
          <w:p w14:paraId="1C45DCCB">
            <w:pPr>
              <w:widowControl/>
              <w:ind w:firstLine="400" w:firstLineChars="200"/>
              <w:jc w:val="center"/>
              <w:textAlignment w:val="top"/>
              <w:rPr>
                <w:rFonts w:ascii="宋体" w:hAnsi="宋体" w:eastAsia="宋体" w:cs="宋体"/>
                <w:color w:val="000000"/>
                <w:sz w:val="20"/>
                <w:szCs w:val="20"/>
              </w:rPr>
            </w:pPr>
            <w:r>
              <w:rPr>
                <w:rFonts w:hint="eastAsia" w:ascii="宋体" w:hAnsi="宋体" w:eastAsia="宋体" w:cs="宋体"/>
                <w:color w:val="000000"/>
                <w:kern w:val="0"/>
                <w:sz w:val="20"/>
                <w:szCs w:val="20"/>
              </w:rPr>
              <w:t>避光，冷藏</w:t>
            </w:r>
          </w:p>
        </w:tc>
      </w:tr>
      <w:tr w14:paraId="223FE2B3">
        <w:tblPrEx>
          <w:tblCellMar>
            <w:top w:w="0" w:type="dxa"/>
            <w:left w:w="108" w:type="dxa"/>
            <w:bottom w:w="0" w:type="dxa"/>
            <w:right w:w="108" w:type="dxa"/>
          </w:tblCellMar>
        </w:tblPrEx>
        <w:trPr>
          <w:trHeight w:val="300" w:hRule="atLeast"/>
        </w:trPr>
        <w:tc>
          <w:tcPr>
            <w:tcW w:w="1796" w:type="dxa"/>
            <w:vMerge w:val="continue"/>
            <w:tcBorders>
              <w:top w:val="nil"/>
              <w:left w:val="single" w:color="000000" w:sz="8" w:space="0"/>
              <w:bottom w:val="single" w:color="000000" w:sz="8" w:space="0"/>
              <w:right w:val="single" w:color="000000" w:sz="8" w:space="0"/>
            </w:tcBorders>
            <w:shd w:val="clear" w:color="auto" w:fill="auto"/>
            <w:vAlign w:val="center"/>
          </w:tcPr>
          <w:p w14:paraId="62F00EE2">
            <w:pPr>
              <w:ind w:firstLine="400" w:firstLineChars="200"/>
              <w:jc w:val="center"/>
              <w:rPr>
                <w:rFonts w:ascii="宋体" w:hAnsi="宋体" w:eastAsia="宋体" w:cs="宋体"/>
                <w:color w:val="000000"/>
                <w:sz w:val="20"/>
                <w:szCs w:val="20"/>
              </w:rPr>
            </w:pPr>
          </w:p>
        </w:tc>
        <w:tc>
          <w:tcPr>
            <w:tcW w:w="2391" w:type="dxa"/>
            <w:tcBorders>
              <w:top w:val="nil"/>
              <w:left w:val="single" w:color="000000" w:sz="8" w:space="0"/>
              <w:bottom w:val="single" w:color="000000" w:sz="8" w:space="0"/>
              <w:right w:val="single" w:color="000000" w:sz="8" w:space="0"/>
            </w:tcBorders>
            <w:shd w:val="clear" w:color="auto" w:fill="auto"/>
            <w:vAlign w:val="center"/>
          </w:tcPr>
          <w:p w14:paraId="0522A167">
            <w:pPr>
              <w:widowControl/>
              <w:ind w:firstLine="400" w:firstLineChars="20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硫化氢</w:t>
            </w:r>
          </w:p>
        </w:tc>
        <w:tc>
          <w:tcPr>
            <w:tcW w:w="3913" w:type="dxa"/>
            <w:tcBorders>
              <w:top w:val="nil"/>
              <w:left w:val="single" w:color="000000" w:sz="8" w:space="0"/>
              <w:bottom w:val="single" w:color="000000" w:sz="8" w:space="0"/>
              <w:right w:val="single" w:color="000000" w:sz="8" w:space="0"/>
            </w:tcBorders>
            <w:shd w:val="clear" w:color="auto" w:fill="auto"/>
          </w:tcPr>
          <w:p w14:paraId="5F6AF85B">
            <w:pPr>
              <w:widowControl/>
              <w:ind w:firstLine="400" w:firstLineChars="200"/>
              <w:jc w:val="center"/>
              <w:textAlignment w:val="top"/>
              <w:rPr>
                <w:rFonts w:ascii="宋体" w:hAnsi="宋体" w:eastAsia="宋体" w:cs="宋体"/>
                <w:color w:val="000000"/>
                <w:sz w:val="20"/>
                <w:szCs w:val="20"/>
              </w:rPr>
            </w:pPr>
            <w:r>
              <w:rPr>
                <w:rFonts w:hint="eastAsia" w:ascii="宋体" w:hAnsi="宋体" w:eastAsia="宋体" w:cs="宋体"/>
                <w:color w:val="000000"/>
                <w:kern w:val="0"/>
                <w:sz w:val="20"/>
                <w:szCs w:val="20"/>
              </w:rPr>
              <w:t>避光，冷藏</w:t>
            </w:r>
          </w:p>
        </w:tc>
      </w:tr>
      <w:tr w14:paraId="7C5CAF5D">
        <w:tblPrEx>
          <w:tblCellMar>
            <w:top w:w="0" w:type="dxa"/>
            <w:left w:w="108" w:type="dxa"/>
            <w:bottom w:w="0" w:type="dxa"/>
            <w:right w:w="108" w:type="dxa"/>
          </w:tblCellMar>
        </w:tblPrEx>
        <w:trPr>
          <w:trHeight w:val="300" w:hRule="atLeast"/>
        </w:trPr>
        <w:tc>
          <w:tcPr>
            <w:tcW w:w="1796" w:type="dxa"/>
            <w:vMerge w:val="continue"/>
            <w:tcBorders>
              <w:top w:val="nil"/>
              <w:left w:val="single" w:color="000000" w:sz="8" w:space="0"/>
              <w:bottom w:val="single" w:color="000000" w:sz="8" w:space="0"/>
              <w:right w:val="single" w:color="000000" w:sz="8" w:space="0"/>
            </w:tcBorders>
            <w:shd w:val="clear" w:color="auto" w:fill="auto"/>
            <w:vAlign w:val="center"/>
          </w:tcPr>
          <w:p w14:paraId="0E07BF43">
            <w:pPr>
              <w:ind w:firstLine="400" w:firstLineChars="200"/>
              <w:jc w:val="center"/>
              <w:rPr>
                <w:rFonts w:ascii="宋体" w:hAnsi="宋体" w:eastAsia="宋体" w:cs="宋体"/>
                <w:color w:val="000000"/>
                <w:sz w:val="20"/>
                <w:szCs w:val="20"/>
              </w:rPr>
            </w:pPr>
          </w:p>
        </w:tc>
        <w:tc>
          <w:tcPr>
            <w:tcW w:w="2391" w:type="dxa"/>
            <w:tcBorders>
              <w:top w:val="nil"/>
              <w:left w:val="single" w:color="000000" w:sz="8" w:space="0"/>
              <w:bottom w:val="single" w:color="000000" w:sz="8" w:space="0"/>
              <w:right w:val="single" w:color="000000" w:sz="8" w:space="0"/>
            </w:tcBorders>
            <w:shd w:val="clear" w:color="auto" w:fill="auto"/>
            <w:vAlign w:val="center"/>
          </w:tcPr>
          <w:p w14:paraId="0C179D03">
            <w:pPr>
              <w:widowControl/>
              <w:ind w:firstLine="400" w:firstLineChars="20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臭气浓度</w:t>
            </w:r>
          </w:p>
        </w:tc>
        <w:tc>
          <w:tcPr>
            <w:tcW w:w="3913" w:type="dxa"/>
            <w:tcBorders>
              <w:top w:val="nil"/>
              <w:left w:val="single" w:color="000000" w:sz="8" w:space="0"/>
              <w:bottom w:val="single" w:color="000000" w:sz="8" w:space="0"/>
              <w:right w:val="single" w:color="000000" w:sz="8" w:space="0"/>
            </w:tcBorders>
            <w:shd w:val="clear" w:color="auto" w:fill="auto"/>
          </w:tcPr>
          <w:p w14:paraId="23124B78">
            <w:pPr>
              <w:widowControl/>
              <w:ind w:firstLine="400" w:firstLineChars="200"/>
              <w:jc w:val="center"/>
              <w:textAlignment w:val="top"/>
              <w:rPr>
                <w:rFonts w:ascii="宋体" w:hAnsi="宋体" w:eastAsia="宋体" w:cs="宋体"/>
                <w:color w:val="000000"/>
                <w:sz w:val="20"/>
                <w:szCs w:val="20"/>
              </w:rPr>
            </w:pPr>
            <w:r>
              <w:rPr>
                <w:rFonts w:hint="eastAsia" w:ascii="宋体" w:hAnsi="宋体" w:eastAsia="宋体" w:cs="宋体"/>
                <w:color w:val="000000"/>
                <w:kern w:val="0"/>
                <w:sz w:val="20"/>
                <w:szCs w:val="20"/>
              </w:rPr>
              <w:t>避光，室温</w:t>
            </w:r>
          </w:p>
        </w:tc>
      </w:tr>
    </w:tbl>
    <w:p w14:paraId="3CB27705">
      <w:pPr>
        <w:pStyle w:val="24"/>
        <w:spacing w:line="240" w:lineRule="auto"/>
        <w:ind w:firstLine="0" w:firstLineChars="0"/>
        <w:jc w:val="left"/>
        <w:outlineLvl w:val="1"/>
        <w:rPr>
          <w:rFonts w:ascii="宋体" w:hAnsi="宋体"/>
          <w:sz w:val="28"/>
          <w:szCs w:val="28"/>
          <w:highlight w:val="none"/>
          <w:lang w:val="en-US"/>
        </w:rPr>
      </w:pPr>
      <w:r>
        <w:rPr>
          <w:rFonts w:hint="eastAsia" w:ascii="宋体" w:hAnsi="宋体"/>
          <w:sz w:val="28"/>
          <w:szCs w:val="28"/>
          <w:highlight w:val="none"/>
          <w:lang w:val="en-US"/>
        </w:rPr>
        <w:t>七、监测质量保证与质量控制措施</w:t>
      </w:r>
    </w:p>
    <w:p w14:paraId="1A14EF28">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outlineLvl w:val="9"/>
        <w:rPr>
          <w:rFonts w:hint="eastAsia" w:ascii="宋体" w:hAnsi="宋体" w:eastAsia="宋体" w:cs="宋体"/>
          <w:kern w:val="2"/>
          <w:sz w:val="26"/>
          <w:szCs w:val="26"/>
          <w:lang w:val="zh-CN" w:eastAsia="zh-CN" w:bidi="ar-SA"/>
        </w:rPr>
      </w:pPr>
      <w:r>
        <w:rPr>
          <w:rFonts w:hint="eastAsia" w:ascii="宋体" w:hAnsi="宋体" w:eastAsia="宋体" w:cs="宋体"/>
          <w:kern w:val="2"/>
          <w:sz w:val="26"/>
          <w:szCs w:val="26"/>
          <w:lang w:val="zh-CN" w:eastAsia="zh-CN" w:bidi="ar-SA"/>
        </w:rPr>
        <w:t>（一）污水厂化验室质量保证与控制措施</w:t>
      </w:r>
    </w:p>
    <w:p w14:paraId="70861EB7">
      <w:pPr>
        <w:pStyle w:val="24"/>
        <w:keepNext w:val="0"/>
        <w:keepLines w:val="0"/>
        <w:pageBreakBefore w:val="0"/>
        <w:widowControl w:val="0"/>
        <w:kinsoku/>
        <w:wordWrap/>
        <w:overflowPunct/>
        <w:topLinePunct w:val="0"/>
        <w:autoSpaceDE/>
        <w:autoSpaceDN/>
        <w:bidi w:val="0"/>
        <w:adjustRightInd/>
        <w:snapToGrid/>
        <w:spacing w:line="560" w:lineRule="exact"/>
        <w:ind w:left="-420" w:leftChars="-200" w:firstLine="560"/>
        <w:textAlignment w:val="auto"/>
        <w:outlineLvl w:val="9"/>
        <w:rPr>
          <w:rFonts w:hint="eastAsia" w:ascii="宋体" w:hAnsi="宋体" w:eastAsia="宋体" w:cs="宋体"/>
          <w:kern w:val="2"/>
          <w:sz w:val="26"/>
          <w:szCs w:val="26"/>
          <w:lang w:val="en-US" w:eastAsia="zh-CN" w:bidi="ar-SA"/>
        </w:rPr>
      </w:pPr>
      <w:r>
        <w:rPr>
          <w:rFonts w:hint="eastAsia" w:ascii="宋体" w:hAnsi="宋体" w:eastAsia="宋体" w:cs="宋体"/>
          <w:kern w:val="2"/>
          <w:sz w:val="26"/>
          <w:szCs w:val="26"/>
          <w:lang w:val="en-US" w:eastAsia="zh-CN" w:bidi="ar-SA"/>
        </w:rPr>
        <w:t>严格按照国家认监委国认实〔2016〕33号文件及《检验检测机构资质认证评审准则》要求建立了质量管理体系。由质量负责人主导，进行了宣贯。工作中按照评审准则及公司体系文件要求开展各项检测工作并持续改进质量管理体系。</w:t>
      </w:r>
    </w:p>
    <w:p w14:paraId="71AF421D">
      <w:pPr>
        <w:pStyle w:val="24"/>
        <w:keepNext w:val="0"/>
        <w:keepLines w:val="0"/>
        <w:pageBreakBefore w:val="0"/>
        <w:widowControl w:val="0"/>
        <w:kinsoku/>
        <w:wordWrap/>
        <w:overflowPunct/>
        <w:topLinePunct w:val="0"/>
        <w:autoSpaceDE/>
        <w:autoSpaceDN/>
        <w:bidi w:val="0"/>
        <w:adjustRightInd/>
        <w:snapToGrid/>
        <w:spacing w:line="560" w:lineRule="exact"/>
        <w:ind w:left="-420" w:leftChars="-200" w:firstLine="560"/>
        <w:textAlignment w:val="auto"/>
        <w:outlineLvl w:val="9"/>
        <w:rPr>
          <w:rFonts w:hint="eastAsia" w:ascii="宋体" w:hAnsi="宋体" w:eastAsia="宋体" w:cs="宋体"/>
          <w:kern w:val="2"/>
          <w:sz w:val="26"/>
          <w:szCs w:val="26"/>
          <w:lang w:val="en-US" w:eastAsia="zh-CN" w:bidi="ar-SA"/>
        </w:rPr>
      </w:pPr>
      <w:r>
        <w:rPr>
          <w:rFonts w:hint="eastAsia" w:ascii="宋体" w:hAnsi="宋体" w:eastAsia="宋体" w:cs="宋体"/>
          <w:kern w:val="2"/>
          <w:sz w:val="26"/>
          <w:szCs w:val="26"/>
          <w:lang w:val="en-US" w:eastAsia="zh-CN" w:bidi="ar-SA"/>
        </w:rPr>
        <w:t>从事污水监测的监测人员、监测仪器与设备设施等按《检验检测机构资质认定能力评价 检验监测机构通用要求》RB/T 214-2017、《HJ 630、HJ/T 373》 等相关内容执行。</w:t>
      </w:r>
    </w:p>
    <w:p w14:paraId="7A21BBAB">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outlineLvl w:val="9"/>
        <w:rPr>
          <w:rFonts w:hint="eastAsia" w:ascii="宋体" w:hAnsi="宋体" w:eastAsia="宋体" w:cs="宋体"/>
          <w:kern w:val="2"/>
          <w:sz w:val="26"/>
          <w:szCs w:val="26"/>
          <w:lang w:val="zh-CN" w:eastAsia="zh-CN" w:bidi="ar-SA"/>
        </w:rPr>
      </w:pPr>
      <w:r>
        <w:rPr>
          <w:rFonts w:hint="eastAsia" w:ascii="宋体" w:hAnsi="宋体" w:eastAsia="宋体" w:cs="宋体"/>
          <w:kern w:val="2"/>
          <w:sz w:val="26"/>
          <w:szCs w:val="26"/>
          <w:lang w:val="zh-CN" w:eastAsia="zh-CN" w:bidi="ar-SA"/>
        </w:rPr>
        <w:t xml:space="preserve">污水厂检测人员: </w:t>
      </w:r>
      <w:r>
        <w:rPr>
          <w:rFonts w:hint="eastAsia" w:ascii="宋体" w:hAnsi="宋体" w:eastAsia="宋体" w:cs="宋体"/>
          <w:color w:val="auto"/>
          <w:sz w:val="28"/>
          <w:szCs w:val="28"/>
          <w:highlight w:val="none"/>
          <w:u w:val="none"/>
          <w:lang w:val="en-US" w:eastAsia="zh-CN"/>
        </w:rPr>
        <w:t>胡晓芬、胡敏英、唐庚梅</w:t>
      </w:r>
    </w:p>
    <w:p w14:paraId="408C7CFE">
      <w:pPr>
        <w:pStyle w:val="24"/>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outlineLvl w:val="9"/>
        <w:rPr>
          <w:rFonts w:hint="default" w:ascii="宋体" w:hAnsi="宋体" w:eastAsia="宋体" w:cs="宋体"/>
          <w:kern w:val="2"/>
          <w:sz w:val="26"/>
          <w:szCs w:val="26"/>
          <w:lang w:val="en-US" w:eastAsia="zh-CN" w:bidi="ar-SA"/>
        </w:rPr>
      </w:pPr>
      <w:r>
        <w:rPr>
          <w:rFonts w:hint="eastAsia" w:ascii="宋体" w:hAnsi="宋体" w:eastAsia="宋体" w:cs="宋体"/>
          <w:kern w:val="2"/>
          <w:sz w:val="26"/>
          <w:szCs w:val="26"/>
          <w:lang w:val="en-US" w:eastAsia="zh-CN" w:bidi="ar-SA"/>
        </w:rPr>
        <w:t xml:space="preserve">污水厂主要检测仪器与设备: </w:t>
      </w:r>
      <w:r>
        <w:rPr>
          <w:rFonts w:hint="eastAsia" w:ascii="宋体" w:hAnsi="宋体"/>
          <w:color w:val="auto"/>
          <w:sz w:val="28"/>
          <w:szCs w:val="28"/>
          <w:u w:val="none"/>
          <w:lang w:eastAsia="zh-CN"/>
        </w:rPr>
        <w:t>生化培养箱、高温</w:t>
      </w:r>
      <w:r>
        <w:rPr>
          <w:rFonts w:hint="eastAsia" w:ascii="宋体" w:hAnsi="宋体"/>
          <w:color w:val="auto"/>
          <w:sz w:val="28"/>
          <w:szCs w:val="28"/>
          <w:u w:val="none"/>
        </w:rPr>
        <w:t>灭菌器</w:t>
      </w:r>
      <w:r>
        <w:rPr>
          <w:rFonts w:hint="eastAsia" w:ascii="宋体" w:hAnsi="宋体"/>
          <w:color w:val="auto"/>
          <w:sz w:val="28"/>
          <w:szCs w:val="28"/>
          <w:u w:val="none"/>
          <w:lang w:eastAsia="zh-CN"/>
        </w:rPr>
        <w:t>、</w:t>
      </w:r>
      <w:r>
        <w:rPr>
          <w:rFonts w:hint="eastAsia" w:ascii="宋体" w:hAnsi="宋体"/>
          <w:color w:val="auto"/>
          <w:sz w:val="28"/>
          <w:szCs w:val="28"/>
          <w:u w:val="none"/>
        </w:rPr>
        <w:t>COD消解装置</w:t>
      </w:r>
      <w:r>
        <w:rPr>
          <w:rFonts w:hint="eastAsia" w:ascii="宋体" w:hAnsi="宋体"/>
          <w:color w:val="auto"/>
          <w:sz w:val="28"/>
          <w:szCs w:val="28"/>
          <w:u w:val="none"/>
          <w:lang w:eastAsia="zh-CN"/>
        </w:rPr>
        <w:t>、</w:t>
      </w:r>
      <w:r>
        <w:rPr>
          <w:rFonts w:hint="eastAsia" w:ascii="宋体" w:hAnsi="宋体"/>
          <w:color w:val="auto"/>
          <w:sz w:val="28"/>
          <w:szCs w:val="28"/>
          <w:u w:val="none"/>
        </w:rPr>
        <w:t>显微镜</w:t>
      </w:r>
      <w:r>
        <w:rPr>
          <w:rFonts w:hint="eastAsia" w:ascii="宋体" w:hAnsi="宋体"/>
          <w:color w:val="auto"/>
          <w:sz w:val="28"/>
          <w:szCs w:val="28"/>
          <w:u w:val="none"/>
          <w:lang w:eastAsia="zh-CN"/>
        </w:rPr>
        <w:t>、</w:t>
      </w:r>
      <w:r>
        <w:rPr>
          <w:rFonts w:hint="eastAsia" w:ascii="宋体" w:hAnsi="宋体"/>
          <w:color w:val="auto"/>
          <w:sz w:val="28"/>
          <w:szCs w:val="28"/>
          <w:u w:val="none"/>
        </w:rPr>
        <w:t>紫外可见光光度计</w:t>
      </w:r>
      <w:r>
        <w:rPr>
          <w:rFonts w:hint="eastAsia" w:ascii="宋体" w:hAnsi="宋体"/>
          <w:color w:val="auto"/>
          <w:sz w:val="28"/>
          <w:szCs w:val="28"/>
          <w:u w:val="none"/>
          <w:lang w:eastAsia="zh-CN"/>
        </w:rPr>
        <w:t>、</w:t>
      </w:r>
      <w:r>
        <w:rPr>
          <w:rFonts w:hint="eastAsia" w:ascii="宋体" w:hAnsi="宋体"/>
          <w:color w:val="auto"/>
          <w:sz w:val="28"/>
          <w:szCs w:val="28"/>
          <w:u w:val="none"/>
        </w:rPr>
        <w:t>万分之一分析天平</w:t>
      </w:r>
      <w:r>
        <w:rPr>
          <w:rFonts w:hint="eastAsia" w:ascii="宋体" w:hAnsi="宋体"/>
          <w:color w:val="auto"/>
          <w:sz w:val="28"/>
          <w:szCs w:val="28"/>
          <w:u w:val="none"/>
          <w:lang w:eastAsia="zh-CN"/>
        </w:rPr>
        <w:t>、</w:t>
      </w:r>
      <w:r>
        <w:rPr>
          <w:rFonts w:hint="eastAsia" w:ascii="宋体" w:hAnsi="宋体"/>
          <w:color w:val="auto"/>
          <w:sz w:val="28"/>
          <w:szCs w:val="28"/>
          <w:u w:val="none"/>
        </w:rPr>
        <w:t>电热恒温干燥箱</w:t>
      </w:r>
      <w:r>
        <w:rPr>
          <w:rFonts w:hint="eastAsia" w:ascii="宋体" w:hAnsi="宋体"/>
          <w:color w:val="auto"/>
          <w:sz w:val="28"/>
          <w:szCs w:val="28"/>
          <w:u w:val="none"/>
          <w:lang w:eastAsia="zh-CN"/>
        </w:rPr>
        <w:t>、</w:t>
      </w:r>
      <w:r>
        <w:rPr>
          <w:rFonts w:hint="eastAsia" w:ascii="宋体" w:hAnsi="宋体"/>
          <w:color w:val="auto"/>
          <w:sz w:val="28"/>
          <w:szCs w:val="28"/>
          <w:u w:val="none"/>
        </w:rPr>
        <w:t>pH计</w:t>
      </w:r>
      <w:r>
        <w:rPr>
          <w:rFonts w:hint="eastAsia" w:ascii="宋体" w:hAnsi="宋体"/>
          <w:color w:val="auto"/>
          <w:sz w:val="28"/>
          <w:szCs w:val="28"/>
          <w:u w:val="none"/>
          <w:lang w:eastAsia="zh-CN"/>
        </w:rPr>
        <w:t>、</w:t>
      </w:r>
      <w:r>
        <w:rPr>
          <w:rFonts w:hint="eastAsia" w:ascii="宋体" w:hAnsi="宋体"/>
          <w:color w:val="auto"/>
          <w:sz w:val="28"/>
          <w:szCs w:val="28"/>
          <w:u w:val="none"/>
        </w:rPr>
        <w:t xml:space="preserve">箱式电阻炉 </w:t>
      </w:r>
      <w:r>
        <w:rPr>
          <w:rFonts w:hint="eastAsia" w:ascii="宋体" w:hAnsi="宋体"/>
          <w:color w:val="auto"/>
          <w:sz w:val="28"/>
          <w:szCs w:val="28"/>
          <w:u w:val="none"/>
          <w:lang w:eastAsia="zh-CN"/>
        </w:rPr>
        <w:t>、</w:t>
      </w:r>
      <w:r>
        <w:rPr>
          <w:rFonts w:hint="eastAsia" w:ascii="宋体" w:hAnsi="宋体"/>
          <w:color w:val="auto"/>
          <w:sz w:val="28"/>
          <w:szCs w:val="28"/>
          <w:u w:val="none"/>
        </w:rPr>
        <w:t>千分之一分析</w:t>
      </w:r>
      <w:r>
        <w:rPr>
          <w:rFonts w:hint="eastAsia" w:ascii="宋体" w:hAnsi="宋体"/>
          <w:color w:val="auto"/>
          <w:sz w:val="28"/>
          <w:szCs w:val="28"/>
          <w:u w:val="none"/>
          <w:lang w:eastAsia="zh-CN"/>
        </w:rPr>
        <w:t>、</w:t>
      </w:r>
      <w:r>
        <w:rPr>
          <w:rFonts w:hint="eastAsia" w:ascii="宋体" w:hAnsi="宋体"/>
          <w:color w:val="auto"/>
          <w:sz w:val="28"/>
          <w:szCs w:val="28"/>
          <w:u w:val="none"/>
          <w:lang w:val="en-US" w:eastAsia="zh-CN"/>
        </w:rPr>
        <w:t>水份检测仪、</w:t>
      </w:r>
      <w:r>
        <w:rPr>
          <w:rFonts w:hint="eastAsia" w:ascii="宋体" w:hAnsi="宋体"/>
          <w:color w:val="auto"/>
          <w:sz w:val="28"/>
          <w:szCs w:val="28"/>
          <w:u w:val="none"/>
        </w:rPr>
        <w:t>超纯水机</w:t>
      </w:r>
      <w:r>
        <w:rPr>
          <w:rFonts w:hint="eastAsia" w:ascii="宋体" w:hAnsi="宋体"/>
          <w:color w:val="auto"/>
          <w:sz w:val="28"/>
          <w:szCs w:val="28"/>
          <w:u w:val="none"/>
          <w:lang w:eastAsia="zh-CN"/>
        </w:rPr>
        <w:t>、</w:t>
      </w:r>
      <w:r>
        <w:rPr>
          <w:rFonts w:hint="eastAsia" w:ascii="宋体" w:hAnsi="宋体"/>
          <w:color w:val="auto"/>
          <w:sz w:val="28"/>
          <w:szCs w:val="28"/>
          <w:u w:val="none"/>
        </w:rPr>
        <w:t>电热恒温水浴锅</w:t>
      </w:r>
      <w:r>
        <w:rPr>
          <w:rFonts w:hint="eastAsia" w:ascii="宋体" w:hAnsi="宋体" w:eastAsia="宋体" w:cs="宋体"/>
          <w:kern w:val="2"/>
          <w:sz w:val="26"/>
          <w:szCs w:val="26"/>
          <w:lang w:val="en-US" w:eastAsia="zh-CN" w:bidi="ar-SA"/>
        </w:rPr>
        <w:t>。</w:t>
      </w:r>
    </w:p>
    <w:p w14:paraId="3285A26D">
      <w:pPr>
        <w:pStyle w:val="24"/>
        <w:keepNext w:val="0"/>
        <w:keepLines w:val="0"/>
        <w:pageBreakBefore w:val="0"/>
        <w:widowControl w:val="0"/>
        <w:kinsoku/>
        <w:wordWrap/>
        <w:overflowPunct/>
        <w:topLinePunct w:val="0"/>
        <w:autoSpaceDE/>
        <w:autoSpaceDN/>
        <w:bidi w:val="0"/>
        <w:adjustRightInd/>
        <w:snapToGrid/>
        <w:spacing w:line="560" w:lineRule="exact"/>
        <w:ind w:left="-420" w:leftChars="-200" w:firstLine="560"/>
        <w:textAlignment w:val="auto"/>
        <w:outlineLvl w:val="9"/>
        <w:rPr>
          <w:rFonts w:hint="eastAsia" w:ascii="宋体" w:hAnsi="宋体" w:eastAsia="宋体" w:cs="宋体"/>
          <w:kern w:val="2"/>
          <w:sz w:val="26"/>
          <w:szCs w:val="26"/>
          <w:lang w:val="en-US" w:eastAsia="zh-CN" w:bidi="ar-SA"/>
        </w:rPr>
      </w:pPr>
      <w:r>
        <w:rPr>
          <w:rFonts w:hint="eastAsia" w:ascii="宋体" w:hAnsi="宋体" w:eastAsia="宋体" w:cs="宋体"/>
          <w:kern w:val="2"/>
          <w:sz w:val="26"/>
          <w:szCs w:val="26"/>
          <w:lang w:val="en-US" w:eastAsia="zh-CN" w:bidi="ar-SA"/>
        </w:rPr>
        <w:t>1.2 监测设施与环境</w:t>
      </w:r>
    </w:p>
    <w:p w14:paraId="2BE42B80">
      <w:pPr>
        <w:pStyle w:val="24"/>
        <w:keepNext w:val="0"/>
        <w:keepLines w:val="0"/>
        <w:pageBreakBefore w:val="0"/>
        <w:widowControl w:val="0"/>
        <w:kinsoku/>
        <w:wordWrap/>
        <w:overflowPunct/>
        <w:topLinePunct w:val="0"/>
        <w:autoSpaceDE/>
        <w:autoSpaceDN/>
        <w:bidi w:val="0"/>
        <w:adjustRightInd/>
        <w:snapToGrid/>
        <w:spacing w:line="560" w:lineRule="exact"/>
        <w:ind w:left="-420" w:leftChars="-200" w:firstLine="560"/>
        <w:textAlignment w:val="auto"/>
        <w:outlineLvl w:val="9"/>
        <w:rPr>
          <w:rFonts w:hint="eastAsia" w:ascii="宋体" w:hAnsi="宋体" w:eastAsia="宋体" w:cs="宋体"/>
          <w:kern w:val="2"/>
          <w:sz w:val="26"/>
          <w:szCs w:val="26"/>
          <w:lang w:val="en-US" w:eastAsia="zh-CN" w:bidi="ar-SA"/>
        </w:rPr>
      </w:pPr>
      <w:r>
        <w:rPr>
          <w:rFonts w:hint="eastAsia" w:ascii="宋体" w:hAnsi="宋体" w:eastAsia="宋体" w:cs="宋体"/>
          <w:kern w:val="2"/>
          <w:sz w:val="26"/>
          <w:szCs w:val="26"/>
          <w:lang w:val="en-US" w:eastAsia="zh-CN" w:bidi="ar-SA"/>
        </w:rPr>
        <w:t xml:space="preserve"> 公司具备固定的适合开展检测工作的实验场所。配备了适合开展工作的设施及满足检测工作的需要的环境条件。</w:t>
      </w:r>
    </w:p>
    <w:p w14:paraId="774F093A">
      <w:pPr>
        <w:pStyle w:val="24"/>
        <w:keepNext w:val="0"/>
        <w:keepLines w:val="0"/>
        <w:pageBreakBefore w:val="0"/>
        <w:widowControl w:val="0"/>
        <w:kinsoku/>
        <w:wordWrap/>
        <w:overflowPunct/>
        <w:topLinePunct w:val="0"/>
        <w:autoSpaceDE/>
        <w:autoSpaceDN/>
        <w:bidi w:val="0"/>
        <w:adjustRightInd/>
        <w:snapToGrid/>
        <w:spacing w:line="560" w:lineRule="exact"/>
        <w:ind w:left="-420" w:leftChars="-200" w:firstLine="560"/>
        <w:textAlignment w:val="auto"/>
        <w:outlineLvl w:val="9"/>
        <w:rPr>
          <w:rFonts w:hint="eastAsia" w:ascii="宋体" w:hAnsi="宋体" w:eastAsia="宋体" w:cs="宋体"/>
          <w:kern w:val="2"/>
          <w:sz w:val="26"/>
          <w:szCs w:val="26"/>
          <w:lang w:val="en-US" w:eastAsia="zh-CN" w:bidi="ar-SA"/>
        </w:rPr>
      </w:pPr>
      <w:r>
        <w:rPr>
          <w:rFonts w:hint="eastAsia" w:ascii="宋体" w:hAnsi="宋体" w:eastAsia="宋体" w:cs="宋体"/>
          <w:kern w:val="2"/>
          <w:sz w:val="26"/>
          <w:szCs w:val="26"/>
          <w:lang w:val="en-US" w:eastAsia="zh-CN" w:bidi="ar-SA"/>
        </w:rPr>
        <w:t>1.3 监测仪器设备和实验试剂</w:t>
      </w:r>
    </w:p>
    <w:p w14:paraId="6F56CFF4">
      <w:pPr>
        <w:pStyle w:val="24"/>
        <w:keepNext w:val="0"/>
        <w:keepLines w:val="0"/>
        <w:pageBreakBefore w:val="0"/>
        <w:widowControl w:val="0"/>
        <w:kinsoku/>
        <w:wordWrap/>
        <w:overflowPunct/>
        <w:topLinePunct w:val="0"/>
        <w:autoSpaceDE/>
        <w:autoSpaceDN/>
        <w:bidi w:val="0"/>
        <w:adjustRightInd/>
        <w:snapToGrid/>
        <w:spacing w:line="560" w:lineRule="exact"/>
        <w:ind w:left="-420" w:leftChars="-200" w:firstLine="560"/>
        <w:textAlignment w:val="auto"/>
        <w:outlineLvl w:val="9"/>
        <w:rPr>
          <w:rFonts w:hint="eastAsia" w:ascii="宋体" w:hAnsi="宋体" w:eastAsia="宋体" w:cs="宋体"/>
          <w:kern w:val="2"/>
          <w:sz w:val="26"/>
          <w:szCs w:val="26"/>
          <w:lang w:val="en-US" w:eastAsia="zh-CN" w:bidi="ar-SA"/>
        </w:rPr>
      </w:pPr>
      <w:r>
        <w:rPr>
          <w:rFonts w:hint="eastAsia" w:ascii="宋体" w:hAnsi="宋体" w:eastAsia="宋体" w:cs="宋体"/>
          <w:kern w:val="2"/>
          <w:sz w:val="26"/>
          <w:szCs w:val="26"/>
          <w:lang w:val="en-US" w:eastAsia="zh-CN" w:bidi="ar-SA"/>
        </w:rPr>
        <w:t>公司监测仪器设备均按照《检验检测机构资质认定评审准则》的以及国家强检计量器具要求进行了检定、校准，在用所有监测仪器设备均在校准（或检定）有效期内；公司实验试剂均按照项目分析方法标准进行采购并验收，确保分析过程中实验试剂适用性，符合监测工作项目分析的需要。</w:t>
      </w:r>
    </w:p>
    <w:p w14:paraId="2EF7F96B">
      <w:pPr>
        <w:pStyle w:val="24"/>
        <w:keepNext w:val="0"/>
        <w:keepLines w:val="0"/>
        <w:pageBreakBefore w:val="0"/>
        <w:widowControl w:val="0"/>
        <w:kinsoku/>
        <w:wordWrap/>
        <w:overflowPunct/>
        <w:topLinePunct w:val="0"/>
        <w:autoSpaceDE/>
        <w:autoSpaceDN/>
        <w:bidi w:val="0"/>
        <w:adjustRightInd/>
        <w:snapToGrid/>
        <w:spacing w:line="560" w:lineRule="exact"/>
        <w:ind w:left="-420" w:leftChars="-200" w:firstLine="560"/>
        <w:textAlignment w:val="auto"/>
        <w:outlineLvl w:val="9"/>
        <w:rPr>
          <w:rFonts w:hint="eastAsia" w:ascii="宋体" w:hAnsi="宋体" w:eastAsia="宋体" w:cs="宋体"/>
          <w:kern w:val="2"/>
          <w:sz w:val="26"/>
          <w:szCs w:val="26"/>
          <w:lang w:val="en-US" w:eastAsia="zh-CN" w:bidi="ar-SA"/>
        </w:rPr>
      </w:pPr>
      <w:r>
        <w:rPr>
          <w:rFonts w:hint="eastAsia" w:ascii="宋体" w:hAnsi="宋体" w:eastAsia="宋体" w:cs="宋体"/>
          <w:kern w:val="2"/>
          <w:sz w:val="26"/>
          <w:szCs w:val="26"/>
          <w:lang w:val="en-US" w:eastAsia="zh-CN" w:bidi="ar-SA"/>
        </w:rPr>
        <w:t>1.4 监测方法技术能力验证</w:t>
      </w:r>
    </w:p>
    <w:p w14:paraId="043ED6AE">
      <w:pPr>
        <w:pStyle w:val="24"/>
        <w:keepNext w:val="0"/>
        <w:keepLines w:val="0"/>
        <w:pageBreakBefore w:val="0"/>
        <w:widowControl w:val="0"/>
        <w:kinsoku/>
        <w:wordWrap/>
        <w:overflowPunct/>
        <w:topLinePunct w:val="0"/>
        <w:autoSpaceDE/>
        <w:autoSpaceDN/>
        <w:bidi w:val="0"/>
        <w:adjustRightInd/>
        <w:snapToGrid/>
        <w:spacing w:line="560" w:lineRule="exact"/>
        <w:ind w:left="-420" w:leftChars="-200" w:firstLine="560"/>
        <w:textAlignment w:val="auto"/>
        <w:outlineLvl w:val="9"/>
        <w:rPr>
          <w:rFonts w:hint="eastAsia" w:ascii="宋体" w:hAnsi="宋体" w:eastAsia="宋体" w:cs="宋体"/>
          <w:kern w:val="2"/>
          <w:sz w:val="26"/>
          <w:szCs w:val="26"/>
          <w:lang w:val="en-US" w:eastAsia="zh-CN" w:bidi="ar-SA"/>
        </w:rPr>
      </w:pPr>
      <w:r>
        <w:rPr>
          <w:rFonts w:hint="eastAsia" w:ascii="宋体" w:hAnsi="宋体" w:eastAsia="宋体" w:cs="宋体"/>
          <w:kern w:val="2"/>
          <w:sz w:val="26"/>
          <w:szCs w:val="26"/>
          <w:lang w:val="en-US" w:eastAsia="zh-CN" w:bidi="ar-SA"/>
        </w:rPr>
        <w:t>按照国家标准分析方法要求，污水厂对检测能力范围内所有项目的检出限、精密度、准确度等指标进行了方法验证，验证结果均符合方法标准要求。</w:t>
      </w:r>
    </w:p>
    <w:p w14:paraId="692D50CF">
      <w:pPr>
        <w:pStyle w:val="24"/>
        <w:keepNext w:val="0"/>
        <w:keepLines w:val="0"/>
        <w:pageBreakBefore w:val="0"/>
        <w:widowControl w:val="0"/>
        <w:kinsoku/>
        <w:wordWrap/>
        <w:overflowPunct/>
        <w:topLinePunct w:val="0"/>
        <w:autoSpaceDE/>
        <w:autoSpaceDN/>
        <w:bidi w:val="0"/>
        <w:adjustRightInd/>
        <w:snapToGrid/>
        <w:spacing w:line="560" w:lineRule="exact"/>
        <w:ind w:left="-420" w:leftChars="-200" w:firstLine="560"/>
        <w:textAlignment w:val="auto"/>
        <w:outlineLvl w:val="9"/>
        <w:rPr>
          <w:rFonts w:hint="eastAsia" w:ascii="宋体" w:hAnsi="宋体" w:eastAsia="宋体" w:cs="宋体"/>
          <w:kern w:val="2"/>
          <w:sz w:val="26"/>
          <w:szCs w:val="26"/>
          <w:lang w:val="en-US" w:eastAsia="zh-CN" w:bidi="ar-SA"/>
        </w:rPr>
      </w:pPr>
      <w:r>
        <w:rPr>
          <w:rFonts w:hint="eastAsia" w:ascii="宋体" w:hAnsi="宋体" w:eastAsia="宋体" w:cs="宋体"/>
          <w:kern w:val="2"/>
          <w:sz w:val="26"/>
          <w:szCs w:val="26"/>
          <w:lang w:val="en-US" w:eastAsia="zh-CN" w:bidi="ar-SA"/>
        </w:rPr>
        <w:t>2、质量控制</w:t>
      </w:r>
    </w:p>
    <w:p w14:paraId="4ECD8629">
      <w:pPr>
        <w:pStyle w:val="24"/>
        <w:keepNext w:val="0"/>
        <w:keepLines w:val="0"/>
        <w:pageBreakBefore w:val="0"/>
        <w:widowControl w:val="0"/>
        <w:kinsoku/>
        <w:wordWrap/>
        <w:overflowPunct/>
        <w:topLinePunct w:val="0"/>
        <w:autoSpaceDE/>
        <w:autoSpaceDN/>
        <w:bidi w:val="0"/>
        <w:adjustRightInd/>
        <w:snapToGrid/>
        <w:spacing w:line="560" w:lineRule="exact"/>
        <w:ind w:left="-420" w:leftChars="-200" w:firstLine="560"/>
        <w:textAlignment w:val="auto"/>
        <w:outlineLvl w:val="9"/>
        <w:rPr>
          <w:rFonts w:hint="eastAsia" w:ascii="宋体" w:hAnsi="宋体" w:eastAsia="宋体" w:cs="宋体"/>
          <w:kern w:val="2"/>
          <w:sz w:val="26"/>
          <w:szCs w:val="26"/>
          <w:lang w:val="en-US" w:eastAsia="zh-CN" w:bidi="ar-SA"/>
        </w:rPr>
      </w:pPr>
      <w:r>
        <w:rPr>
          <w:rFonts w:hint="eastAsia" w:ascii="宋体" w:hAnsi="宋体" w:eastAsia="宋体" w:cs="宋体"/>
          <w:kern w:val="2"/>
          <w:sz w:val="26"/>
          <w:szCs w:val="26"/>
          <w:lang w:val="en-US" w:eastAsia="zh-CN" w:bidi="ar-SA"/>
        </w:rPr>
        <w:t>2.1 检测过程质量控制：</w:t>
      </w:r>
    </w:p>
    <w:p w14:paraId="22045792">
      <w:pPr>
        <w:pStyle w:val="24"/>
        <w:keepNext w:val="0"/>
        <w:keepLines w:val="0"/>
        <w:pageBreakBefore w:val="0"/>
        <w:widowControl w:val="0"/>
        <w:kinsoku/>
        <w:wordWrap/>
        <w:overflowPunct/>
        <w:topLinePunct w:val="0"/>
        <w:autoSpaceDE/>
        <w:autoSpaceDN/>
        <w:bidi w:val="0"/>
        <w:adjustRightInd/>
        <w:snapToGrid/>
        <w:spacing w:line="560" w:lineRule="exact"/>
        <w:ind w:left="-420" w:leftChars="-200" w:firstLine="560"/>
        <w:textAlignment w:val="auto"/>
        <w:outlineLvl w:val="9"/>
        <w:rPr>
          <w:rFonts w:hint="eastAsia" w:ascii="宋体" w:hAnsi="宋体" w:eastAsia="宋体" w:cs="宋体"/>
          <w:kern w:val="2"/>
          <w:sz w:val="26"/>
          <w:szCs w:val="26"/>
          <w:lang w:val="en-US" w:eastAsia="zh-CN" w:bidi="ar-SA"/>
        </w:rPr>
      </w:pPr>
      <w:r>
        <w:rPr>
          <w:rFonts w:hint="eastAsia" w:ascii="宋体" w:hAnsi="宋体" w:eastAsia="宋体" w:cs="宋体"/>
          <w:kern w:val="2"/>
          <w:sz w:val="26"/>
          <w:szCs w:val="26"/>
          <w:lang w:val="en-US" w:eastAsia="zh-CN" w:bidi="ar-SA"/>
        </w:rPr>
        <w:t>污水厂化验室的质控措施包括全程序空白样、平行样、加标回收或质控样的测定，以及仪器仪表的校准。具体措施如下：</w:t>
      </w:r>
    </w:p>
    <w:p w14:paraId="74A55FAB">
      <w:pPr>
        <w:pStyle w:val="24"/>
        <w:keepNext w:val="0"/>
        <w:keepLines w:val="0"/>
        <w:pageBreakBefore w:val="0"/>
        <w:widowControl w:val="0"/>
        <w:kinsoku/>
        <w:wordWrap/>
        <w:overflowPunct/>
        <w:topLinePunct w:val="0"/>
        <w:autoSpaceDE/>
        <w:autoSpaceDN/>
        <w:bidi w:val="0"/>
        <w:adjustRightInd/>
        <w:snapToGrid/>
        <w:spacing w:line="560" w:lineRule="exact"/>
        <w:ind w:left="-420" w:leftChars="-200" w:firstLine="560"/>
        <w:textAlignment w:val="auto"/>
        <w:outlineLvl w:val="9"/>
        <w:rPr>
          <w:rFonts w:hint="eastAsia" w:ascii="宋体" w:hAnsi="宋体" w:eastAsia="宋体" w:cs="宋体"/>
          <w:kern w:val="2"/>
          <w:sz w:val="26"/>
          <w:szCs w:val="26"/>
          <w:lang w:val="en-US" w:eastAsia="zh-CN" w:bidi="ar-SA"/>
        </w:rPr>
      </w:pPr>
      <w:r>
        <w:rPr>
          <w:rFonts w:hint="eastAsia" w:ascii="宋体" w:hAnsi="宋体" w:eastAsia="宋体" w:cs="宋体"/>
          <w:kern w:val="2"/>
          <w:sz w:val="26"/>
          <w:szCs w:val="26"/>
          <w:lang w:val="en-US" w:eastAsia="zh-CN" w:bidi="ar-SA"/>
        </w:rPr>
        <w:t xml:space="preserve"> 空白样：化验室对分析的所有污染因子实施全程序空白样，每批样品检测必带空白样检测，以屏蔽其他外在因子对水样分析结果造成影响；</w:t>
      </w:r>
    </w:p>
    <w:p w14:paraId="2F2BBDB2">
      <w:pPr>
        <w:pStyle w:val="24"/>
        <w:keepNext w:val="0"/>
        <w:keepLines w:val="0"/>
        <w:pageBreakBefore w:val="0"/>
        <w:widowControl w:val="0"/>
        <w:kinsoku/>
        <w:wordWrap/>
        <w:overflowPunct/>
        <w:topLinePunct w:val="0"/>
        <w:autoSpaceDE/>
        <w:autoSpaceDN/>
        <w:bidi w:val="0"/>
        <w:adjustRightInd/>
        <w:snapToGrid/>
        <w:spacing w:line="560" w:lineRule="exact"/>
        <w:ind w:left="-420" w:leftChars="-200" w:firstLine="560"/>
        <w:textAlignment w:val="auto"/>
        <w:outlineLvl w:val="9"/>
        <w:rPr>
          <w:rFonts w:hint="eastAsia" w:ascii="宋体" w:hAnsi="宋体" w:eastAsia="宋体" w:cs="宋体"/>
          <w:kern w:val="2"/>
          <w:sz w:val="26"/>
          <w:szCs w:val="26"/>
          <w:lang w:val="en-US" w:eastAsia="zh-CN" w:bidi="ar-SA"/>
        </w:rPr>
      </w:pPr>
      <w:r>
        <w:rPr>
          <w:rFonts w:hint="eastAsia" w:ascii="宋体" w:hAnsi="宋体" w:eastAsia="宋体" w:cs="宋体"/>
          <w:kern w:val="2"/>
          <w:sz w:val="26"/>
          <w:szCs w:val="26"/>
          <w:lang w:val="en-US" w:eastAsia="zh-CN" w:bidi="ar-SA"/>
        </w:rPr>
        <w:t>平行样：对厂部所有分析水样做平行样检测，以减少实验误差对水样结果的影响；</w:t>
      </w:r>
    </w:p>
    <w:p w14:paraId="61BE55F6">
      <w:pPr>
        <w:pStyle w:val="24"/>
        <w:keepNext w:val="0"/>
        <w:keepLines w:val="0"/>
        <w:pageBreakBefore w:val="0"/>
        <w:widowControl w:val="0"/>
        <w:kinsoku/>
        <w:wordWrap/>
        <w:overflowPunct/>
        <w:topLinePunct w:val="0"/>
        <w:autoSpaceDE/>
        <w:autoSpaceDN/>
        <w:bidi w:val="0"/>
        <w:adjustRightInd/>
        <w:snapToGrid/>
        <w:spacing w:line="560" w:lineRule="exact"/>
        <w:ind w:left="-420" w:leftChars="-200" w:firstLine="560"/>
        <w:textAlignment w:val="auto"/>
        <w:outlineLvl w:val="9"/>
        <w:rPr>
          <w:rFonts w:hint="eastAsia" w:ascii="宋体" w:hAnsi="宋体" w:eastAsia="宋体" w:cs="宋体"/>
          <w:kern w:val="2"/>
          <w:sz w:val="26"/>
          <w:szCs w:val="26"/>
          <w:lang w:val="en-US" w:eastAsia="zh-CN" w:bidi="ar-SA"/>
        </w:rPr>
      </w:pPr>
      <w:r>
        <w:rPr>
          <w:rFonts w:hint="eastAsia" w:ascii="宋体" w:hAnsi="宋体" w:eastAsia="宋体" w:cs="宋体"/>
          <w:kern w:val="2"/>
          <w:sz w:val="26"/>
          <w:szCs w:val="26"/>
          <w:lang w:val="en-US" w:eastAsia="zh-CN" w:bidi="ar-SA"/>
        </w:rPr>
        <w:t>加标回收或质控样：按检测规范要求，厂部会对检测的污染因子进行加标回收或者质控样品的测定，以验证实验结果的准确性；</w:t>
      </w:r>
    </w:p>
    <w:p w14:paraId="4C9E93FD">
      <w:pPr>
        <w:pStyle w:val="24"/>
        <w:keepNext w:val="0"/>
        <w:keepLines w:val="0"/>
        <w:pageBreakBefore w:val="0"/>
        <w:widowControl w:val="0"/>
        <w:kinsoku/>
        <w:wordWrap/>
        <w:overflowPunct/>
        <w:topLinePunct w:val="0"/>
        <w:autoSpaceDE/>
        <w:autoSpaceDN/>
        <w:bidi w:val="0"/>
        <w:adjustRightInd/>
        <w:snapToGrid/>
        <w:spacing w:line="560" w:lineRule="exact"/>
        <w:ind w:left="-420" w:leftChars="-200" w:firstLine="560"/>
        <w:textAlignment w:val="auto"/>
        <w:outlineLvl w:val="9"/>
        <w:rPr>
          <w:rFonts w:hint="eastAsia" w:ascii="宋体" w:hAnsi="宋体" w:eastAsia="宋体" w:cs="宋体"/>
          <w:kern w:val="2"/>
          <w:sz w:val="26"/>
          <w:szCs w:val="26"/>
          <w:lang w:val="en-US" w:eastAsia="zh-CN" w:bidi="ar-SA"/>
        </w:rPr>
      </w:pPr>
      <w:r>
        <w:rPr>
          <w:rFonts w:hint="eastAsia" w:ascii="宋体" w:hAnsi="宋体" w:eastAsia="宋体" w:cs="宋体"/>
          <w:kern w:val="2"/>
          <w:sz w:val="26"/>
          <w:szCs w:val="26"/>
          <w:lang w:val="en-US" w:eastAsia="zh-CN" w:bidi="ar-SA"/>
        </w:rPr>
        <w:t>仪器仪表校准：每年定期委托有资质的第三方公司对化验室仪器仪表进行调试校准，并出具校准报告；化验人员按规范对标准曲线和标准物质进行校准和标定，用标准物质对常用仪器如pH计、分光光度计等进行校准并记录。</w:t>
      </w:r>
    </w:p>
    <w:p w14:paraId="41487EB0">
      <w:pPr>
        <w:pStyle w:val="24"/>
        <w:keepNext w:val="0"/>
        <w:keepLines w:val="0"/>
        <w:pageBreakBefore w:val="0"/>
        <w:widowControl w:val="0"/>
        <w:kinsoku/>
        <w:wordWrap/>
        <w:overflowPunct/>
        <w:topLinePunct w:val="0"/>
        <w:autoSpaceDE/>
        <w:autoSpaceDN/>
        <w:bidi w:val="0"/>
        <w:adjustRightInd/>
        <w:snapToGrid/>
        <w:spacing w:line="560" w:lineRule="exact"/>
        <w:ind w:left="-420" w:leftChars="-200" w:firstLine="560"/>
        <w:textAlignment w:val="auto"/>
        <w:outlineLvl w:val="9"/>
        <w:rPr>
          <w:rFonts w:hint="eastAsia" w:ascii="宋体" w:hAnsi="宋体" w:eastAsia="宋体" w:cs="宋体"/>
          <w:kern w:val="2"/>
          <w:sz w:val="26"/>
          <w:szCs w:val="26"/>
          <w:lang w:val="en-US" w:eastAsia="zh-CN" w:bidi="ar-SA"/>
        </w:rPr>
      </w:pPr>
      <w:r>
        <w:rPr>
          <w:rFonts w:hint="eastAsia" w:ascii="宋体" w:hAnsi="宋体" w:eastAsia="宋体" w:cs="宋体"/>
          <w:kern w:val="2"/>
          <w:sz w:val="26"/>
          <w:szCs w:val="26"/>
          <w:lang w:val="en-US" w:eastAsia="zh-CN" w:bidi="ar-SA"/>
        </w:rPr>
        <w:t>（二）第三方检测质量保证与质量控制措施</w:t>
      </w:r>
    </w:p>
    <w:p w14:paraId="437E5D14">
      <w:pPr>
        <w:pStyle w:val="24"/>
        <w:keepNext w:val="0"/>
        <w:keepLines w:val="0"/>
        <w:pageBreakBefore w:val="0"/>
        <w:widowControl w:val="0"/>
        <w:kinsoku/>
        <w:wordWrap/>
        <w:overflowPunct/>
        <w:topLinePunct w:val="0"/>
        <w:autoSpaceDE/>
        <w:autoSpaceDN/>
        <w:bidi w:val="0"/>
        <w:adjustRightInd/>
        <w:snapToGrid/>
        <w:spacing w:line="560" w:lineRule="exact"/>
        <w:ind w:left="-420" w:leftChars="-200" w:firstLine="560"/>
        <w:textAlignment w:val="auto"/>
        <w:outlineLvl w:val="9"/>
        <w:rPr>
          <w:rFonts w:hint="eastAsia" w:ascii="宋体" w:hAnsi="宋体" w:eastAsia="宋体" w:cs="宋体"/>
          <w:kern w:val="2"/>
          <w:sz w:val="26"/>
          <w:szCs w:val="26"/>
          <w:lang w:val="en-US" w:eastAsia="zh-CN" w:bidi="ar-SA"/>
        </w:rPr>
      </w:pPr>
      <w:r>
        <w:rPr>
          <w:rFonts w:hint="eastAsia" w:ascii="宋体" w:hAnsi="宋体" w:eastAsia="宋体" w:cs="宋体"/>
          <w:kern w:val="2"/>
          <w:sz w:val="26"/>
          <w:szCs w:val="26"/>
          <w:lang w:val="en-US" w:eastAsia="zh-CN" w:bidi="ar-SA"/>
        </w:rPr>
        <w:t>1、质量保证：</w:t>
      </w:r>
    </w:p>
    <w:p w14:paraId="34578731">
      <w:pPr>
        <w:pStyle w:val="24"/>
        <w:keepNext w:val="0"/>
        <w:keepLines w:val="0"/>
        <w:pageBreakBefore w:val="0"/>
        <w:widowControl w:val="0"/>
        <w:kinsoku/>
        <w:wordWrap/>
        <w:overflowPunct/>
        <w:topLinePunct w:val="0"/>
        <w:autoSpaceDE/>
        <w:autoSpaceDN/>
        <w:bidi w:val="0"/>
        <w:adjustRightInd/>
        <w:snapToGrid/>
        <w:spacing w:line="560" w:lineRule="exact"/>
        <w:ind w:left="-420" w:leftChars="-200" w:firstLine="560"/>
        <w:textAlignment w:val="auto"/>
        <w:outlineLvl w:val="9"/>
        <w:rPr>
          <w:rFonts w:hint="eastAsia" w:ascii="宋体" w:hAnsi="宋体" w:eastAsia="宋体" w:cs="宋体"/>
          <w:kern w:val="2"/>
          <w:sz w:val="26"/>
          <w:szCs w:val="26"/>
          <w:lang w:val="en-US" w:eastAsia="zh-CN" w:bidi="ar-SA"/>
        </w:rPr>
      </w:pPr>
      <w:r>
        <w:rPr>
          <w:rFonts w:hint="eastAsia" w:ascii="宋体" w:hAnsi="宋体" w:eastAsia="宋体" w:cs="宋体"/>
          <w:kern w:val="2"/>
          <w:sz w:val="26"/>
          <w:szCs w:val="26"/>
          <w:lang w:val="en-US" w:eastAsia="zh-CN" w:bidi="ar-SA"/>
        </w:rPr>
        <w:t>1.1 对第三方的检测要求：</w:t>
      </w:r>
    </w:p>
    <w:p w14:paraId="674EAF89">
      <w:pPr>
        <w:pStyle w:val="24"/>
        <w:keepNext w:val="0"/>
        <w:keepLines w:val="0"/>
        <w:pageBreakBefore w:val="0"/>
        <w:widowControl w:val="0"/>
        <w:kinsoku/>
        <w:wordWrap/>
        <w:overflowPunct/>
        <w:topLinePunct w:val="0"/>
        <w:autoSpaceDE/>
        <w:autoSpaceDN/>
        <w:bidi w:val="0"/>
        <w:adjustRightInd/>
        <w:snapToGrid/>
        <w:spacing w:line="560" w:lineRule="exact"/>
        <w:ind w:left="-420" w:leftChars="-200" w:firstLine="560"/>
        <w:textAlignment w:val="auto"/>
        <w:outlineLvl w:val="9"/>
        <w:rPr>
          <w:rFonts w:hint="eastAsia" w:ascii="宋体" w:hAnsi="宋体" w:eastAsia="宋体" w:cs="宋体"/>
          <w:kern w:val="2"/>
          <w:sz w:val="26"/>
          <w:szCs w:val="26"/>
          <w:lang w:val="en-US" w:eastAsia="zh-CN" w:bidi="ar-SA"/>
        </w:rPr>
      </w:pPr>
      <w:r>
        <w:rPr>
          <w:rFonts w:hint="eastAsia" w:ascii="宋体" w:hAnsi="宋体" w:eastAsia="宋体" w:cs="宋体"/>
          <w:kern w:val="2"/>
          <w:sz w:val="26"/>
          <w:szCs w:val="26"/>
          <w:lang w:val="en-US" w:eastAsia="zh-CN" w:bidi="ar-SA"/>
        </w:rPr>
        <w:t>1.1.1 本污水厂委托检测的要求（检测项目、采样点位、检测频率、检测因子），第三方检测单位的检测能力应达到或优于本污水厂的要求，且符合国家有关标准和规范要求；</w:t>
      </w:r>
    </w:p>
    <w:p w14:paraId="00897F29">
      <w:pPr>
        <w:pStyle w:val="24"/>
        <w:keepNext w:val="0"/>
        <w:keepLines w:val="0"/>
        <w:pageBreakBefore w:val="0"/>
        <w:widowControl w:val="0"/>
        <w:kinsoku/>
        <w:wordWrap/>
        <w:overflowPunct/>
        <w:topLinePunct w:val="0"/>
        <w:autoSpaceDE/>
        <w:autoSpaceDN/>
        <w:bidi w:val="0"/>
        <w:adjustRightInd/>
        <w:snapToGrid/>
        <w:spacing w:line="560" w:lineRule="exact"/>
        <w:ind w:left="-420" w:leftChars="-200" w:firstLine="560"/>
        <w:textAlignment w:val="auto"/>
        <w:outlineLvl w:val="9"/>
        <w:rPr>
          <w:rFonts w:hint="eastAsia" w:ascii="宋体" w:hAnsi="宋体" w:eastAsia="宋体" w:cs="宋体"/>
          <w:kern w:val="2"/>
          <w:sz w:val="26"/>
          <w:szCs w:val="26"/>
          <w:lang w:val="en-US" w:eastAsia="zh-CN" w:bidi="ar-SA"/>
        </w:rPr>
      </w:pPr>
      <w:r>
        <w:rPr>
          <w:rFonts w:hint="eastAsia" w:ascii="宋体" w:hAnsi="宋体" w:eastAsia="宋体" w:cs="宋体"/>
          <w:kern w:val="2"/>
          <w:sz w:val="26"/>
          <w:szCs w:val="26"/>
          <w:lang w:val="en-US" w:eastAsia="zh-CN" w:bidi="ar-SA"/>
        </w:rPr>
        <w:t>1.1.2  拥有独立的专项检测实验室；</w:t>
      </w:r>
    </w:p>
    <w:p w14:paraId="1BE16E78">
      <w:pPr>
        <w:pStyle w:val="24"/>
        <w:keepNext w:val="0"/>
        <w:keepLines w:val="0"/>
        <w:pageBreakBefore w:val="0"/>
        <w:widowControl w:val="0"/>
        <w:kinsoku/>
        <w:wordWrap/>
        <w:overflowPunct/>
        <w:topLinePunct w:val="0"/>
        <w:autoSpaceDE/>
        <w:autoSpaceDN/>
        <w:bidi w:val="0"/>
        <w:adjustRightInd/>
        <w:snapToGrid/>
        <w:spacing w:line="560" w:lineRule="exact"/>
        <w:ind w:left="-420" w:leftChars="-200" w:firstLine="560"/>
        <w:textAlignment w:val="auto"/>
        <w:outlineLvl w:val="9"/>
        <w:rPr>
          <w:rFonts w:hint="eastAsia" w:ascii="宋体" w:hAnsi="宋体" w:eastAsia="宋体" w:cs="宋体"/>
          <w:kern w:val="2"/>
          <w:sz w:val="26"/>
          <w:szCs w:val="26"/>
          <w:lang w:val="en-US" w:eastAsia="zh-CN" w:bidi="ar-SA"/>
        </w:rPr>
      </w:pPr>
      <w:r>
        <w:rPr>
          <w:rFonts w:hint="eastAsia" w:ascii="宋体" w:hAnsi="宋体" w:eastAsia="宋体" w:cs="宋体"/>
          <w:kern w:val="2"/>
          <w:sz w:val="26"/>
          <w:szCs w:val="26"/>
          <w:lang w:val="en-US" w:eastAsia="zh-CN" w:bidi="ar-SA"/>
        </w:rPr>
        <w:t>1.1.3  实验室有相关的内部质量控制管理和外部质量控制管理。</w:t>
      </w:r>
    </w:p>
    <w:p w14:paraId="4851762F">
      <w:pPr>
        <w:pStyle w:val="24"/>
        <w:keepNext w:val="0"/>
        <w:keepLines w:val="0"/>
        <w:pageBreakBefore w:val="0"/>
        <w:widowControl w:val="0"/>
        <w:kinsoku/>
        <w:wordWrap/>
        <w:overflowPunct/>
        <w:topLinePunct w:val="0"/>
        <w:autoSpaceDE/>
        <w:autoSpaceDN/>
        <w:bidi w:val="0"/>
        <w:adjustRightInd/>
        <w:snapToGrid/>
        <w:spacing w:line="560" w:lineRule="exact"/>
        <w:ind w:left="-420" w:leftChars="-200" w:firstLine="560"/>
        <w:textAlignment w:val="auto"/>
        <w:outlineLvl w:val="9"/>
        <w:rPr>
          <w:rFonts w:hint="eastAsia" w:ascii="宋体" w:hAnsi="宋体" w:eastAsia="宋体" w:cs="宋体"/>
          <w:kern w:val="2"/>
          <w:sz w:val="26"/>
          <w:szCs w:val="26"/>
          <w:lang w:val="en-US" w:eastAsia="zh-CN" w:bidi="ar-SA"/>
        </w:rPr>
      </w:pPr>
      <w:r>
        <w:rPr>
          <w:rFonts w:hint="eastAsia" w:ascii="宋体" w:hAnsi="宋体" w:eastAsia="宋体" w:cs="宋体"/>
          <w:kern w:val="2"/>
          <w:sz w:val="26"/>
          <w:szCs w:val="26"/>
          <w:lang w:val="en-US" w:eastAsia="zh-CN" w:bidi="ar-SA"/>
        </w:rPr>
        <w:t>1.1.4  需配备实验所需的检测仪器；使用的仪器设备需定期进行检定合格和校准并符合相关要求。</w:t>
      </w:r>
    </w:p>
    <w:p w14:paraId="2591C62F">
      <w:pPr>
        <w:pStyle w:val="24"/>
        <w:keepNext w:val="0"/>
        <w:keepLines w:val="0"/>
        <w:pageBreakBefore w:val="0"/>
        <w:widowControl w:val="0"/>
        <w:kinsoku/>
        <w:wordWrap/>
        <w:overflowPunct/>
        <w:topLinePunct w:val="0"/>
        <w:autoSpaceDE/>
        <w:autoSpaceDN/>
        <w:bidi w:val="0"/>
        <w:adjustRightInd/>
        <w:snapToGrid/>
        <w:spacing w:line="560" w:lineRule="exact"/>
        <w:ind w:left="-420" w:leftChars="-200" w:firstLine="560"/>
        <w:textAlignment w:val="auto"/>
        <w:outlineLvl w:val="9"/>
        <w:rPr>
          <w:rFonts w:hint="eastAsia" w:ascii="宋体" w:hAnsi="宋体" w:eastAsia="宋体" w:cs="宋体"/>
          <w:kern w:val="2"/>
          <w:sz w:val="26"/>
          <w:szCs w:val="26"/>
          <w:lang w:val="en-US" w:eastAsia="zh-CN" w:bidi="ar-SA"/>
        </w:rPr>
      </w:pPr>
      <w:r>
        <w:rPr>
          <w:rFonts w:hint="eastAsia" w:ascii="宋体" w:hAnsi="宋体" w:eastAsia="宋体" w:cs="宋体"/>
          <w:kern w:val="2"/>
          <w:sz w:val="26"/>
          <w:szCs w:val="26"/>
          <w:lang w:val="en-US" w:eastAsia="zh-CN" w:bidi="ar-SA"/>
        </w:rPr>
        <w:t>1.1.5  按照《水质采样 样品的保存和管理技术规定》HJ493-2009规范要求，保障样品及时进入实验室；</w:t>
      </w:r>
    </w:p>
    <w:p w14:paraId="17A1AE8F">
      <w:pPr>
        <w:pStyle w:val="24"/>
        <w:keepNext w:val="0"/>
        <w:keepLines w:val="0"/>
        <w:pageBreakBefore w:val="0"/>
        <w:widowControl w:val="0"/>
        <w:kinsoku/>
        <w:wordWrap/>
        <w:overflowPunct/>
        <w:topLinePunct w:val="0"/>
        <w:autoSpaceDE/>
        <w:autoSpaceDN/>
        <w:bidi w:val="0"/>
        <w:adjustRightInd/>
        <w:snapToGrid/>
        <w:spacing w:line="560" w:lineRule="exact"/>
        <w:ind w:left="-420" w:leftChars="-200" w:firstLine="560"/>
        <w:textAlignment w:val="auto"/>
        <w:outlineLvl w:val="9"/>
        <w:rPr>
          <w:rFonts w:hint="eastAsia" w:ascii="宋体" w:hAnsi="宋体" w:eastAsia="宋体" w:cs="宋体"/>
          <w:kern w:val="2"/>
          <w:sz w:val="26"/>
          <w:szCs w:val="26"/>
          <w:lang w:val="en-US" w:eastAsia="zh-CN" w:bidi="ar-SA"/>
        </w:rPr>
      </w:pPr>
      <w:r>
        <w:rPr>
          <w:rFonts w:hint="eastAsia" w:ascii="宋体" w:hAnsi="宋体" w:eastAsia="宋体" w:cs="宋体"/>
          <w:kern w:val="2"/>
          <w:sz w:val="26"/>
          <w:szCs w:val="26"/>
          <w:lang w:val="en-US" w:eastAsia="zh-CN" w:bidi="ar-SA"/>
        </w:rPr>
        <w:t>1.1.6  样品采样、运输、检测、留样由第三方检测机构自行负责。</w:t>
      </w:r>
    </w:p>
    <w:p w14:paraId="585CE6C8">
      <w:pPr>
        <w:pStyle w:val="24"/>
        <w:keepNext w:val="0"/>
        <w:keepLines w:val="0"/>
        <w:pageBreakBefore w:val="0"/>
        <w:widowControl w:val="0"/>
        <w:kinsoku/>
        <w:wordWrap/>
        <w:overflowPunct/>
        <w:topLinePunct w:val="0"/>
        <w:autoSpaceDE/>
        <w:autoSpaceDN/>
        <w:bidi w:val="0"/>
        <w:adjustRightInd/>
        <w:snapToGrid/>
        <w:spacing w:line="560" w:lineRule="exact"/>
        <w:ind w:left="-420" w:leftChars="-200" w:firstLine="560"/>
        <w:textAlignment w:val="auto"/>
        <w:outlineLvl w:val="9"/>
        <w:rPr>
          <w:rFonts w:hint="eastAsia" w:ascii="宋体" w:hAnsi="宋体" w:eastAsia="宋体" w:cs="宋体"/>
          <w:kern w:val="2"/>
          <w:sz w:val="26"/>
          <w:szCs w:val="26"/>
          <w:lang w:val="en-US" w:eastAsia="zh-CN" w:bidi="ar-SA"/>
        </w:rPr>
      </w:pPr>
      <w:r>
        <w:rPr>
          <w:rFonts w:hint="eastAsia" w:ascii="宋体" w:hAnsi="宋体" w:eastAsia="宋体" w:cs="宋体"/>
          <w:kern w:val="2"/>
          <w:sz w:val="26"/>
          <w:szCs w:val="26"/>
          <w:lang w:val="en-US" w:eastAsia="zh-CN" w:bidi="ar-SA"/>
        </w:rPr>
        <w:t>1.1.7  第三方检测机构采样后，按国家标准要求进行检测、填写原始记录表、出具监测报告并拍照。</w:t>
      </w:r>
    </w:p>
    <w:p w14:paraId="7400C2A1">
      <w:pPr>
        <w:pStyle w:val="5"/>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2"/>
          <w:sz w:val="26"/>
          <w:szCs w:val="26"/>
          <w:lang w:val="en-US" w:eastAsia="zh-CN" w:bidi="ar-SA"/>
        </w:rPr>
      </w:pPr>
      <w:r>
        <w:rPr>
          <w:rFonts w:hint="eastAsia" w:ascii="宋体" w:hAnsi="宋体" w:eastAsia="宋体" w:cs="宋体"/>
          <w:kern w:val="2"/>
          <w:sz w:val="26"/>
          <w:szCs w:val="26"/>
          <w:lang w:val="en-US" w:eastAsia="zh-CN" w:bidi="ar-SA"/>
        </w:rPr>
        <w:t>1.1.8  第三方检测机构应在合同规定的时间内将每次检测的采样及样品流转记录、检测及原始记录、加盖鲜章的检测报告扫描件发送至指定邮箱并寄送纸质版至我公司。</w:t>
      </w:r>
    </w:p>
    <w:p w14:paraId="22AD948B">
      <w:pPr>
        <w:pStyle w:val="24"/>
        <w:keepNext w:val="0"/>
        <w:keepLines w:val="0"/>
        <w:pageBreakBefore w:val="0"/>
        <w:widowControl w:val="0"/>
        <w:kinsoku/>
        <w:wordWrap/>
        <w:overflowPunct/>
        <w:topLinePunct w:val="0"/>
        <w:autoSpaceDE/>
        <w:autoSpaceDN/>
        <w:bidi w:val="0"/>
        <w:adjustRightInd/>
        <w:snapToGrid/>
        <w:spacing w:line="560" w:lineRule="exact"/>
        <w:ind w:left="-420" w:leftChars="-200" w:firstLine="560"/>
        <w:textAlignment w:val="auto"/>
        <w:outlineLvl w:val="9"/>
        <w:rPr>
          <w:rFonts w:hint="eastAsia" w:ascii="宋体" w:hAnsi="宋体" w:eastAsia="宋体" w:cs="宋体"/>
          <w:kern w:val="2"/>
          <w:sz w:val="26"/>
          <w:szCs w:val="26"/>
          <w:lang w:val="en-US" w:eastAsia="zh-CN" w:bidi="ar-SA"/>
        </w:rPr>
      </w:pPr>
      <w:r>
        <w:rPr>
          <w:rFonts w:hint="eastAsia" w:ascii="宋体" w:hAnsi="宋体" w:eastAsia="宋体" w:cs="宋体"/>
          <w:kern w:val="2"/>
          <w:sz w:val="26"/>
          <w:szCs w:val="26"/>
          <w:lang w:val="en-US" w:eastAsia="zh-CN" w:bidi="ar-SA"/>
        </w:rPr>
        <w:t>2、第三方内部质量控制活动</w:t>
      </w:r>
    </w:p>
    <w:p w14:paraId="35BFD65F">
      <w:pPr>
        <w:pStyle w:val="24"/>
        <w:keepNext w:val="0"/>
        <w:keepLines w:val="0"/>
        <w:pageBreakBefore w:val="0"/>
        <w:widowControl w:val="0"/>
        <w:kinsoku/>
        <w:wordWrap/>
        <w:overflowPunct/>
        <w:topLinePunct w:val="0"/>
        <w:autoSpaceDE/>
        <w:autoSpaceDN/>
        <w:bidi w:val="0"/>
        <w:adjustRightInd/>
        <w:snapToGrid/>
        <w:spacing w:line="560" w:lineRule="exact"/>
        <w:ind w:left="-420" w:leftChars="-200" w:firstLine="560"/>
        <w:textAlignment w:val="auto"/>
        <w:outlineLvl w:val="9"/>
        <w:rPr>
          <w:rFonts w:hint="eastAsia" w:ascii="宋体" w:hAnsi="宋体" w:eastAsia="宋体" w:cs="宋体"/>
          <w:kern w:val="2"/>
          <w:sz w:val="26"/>
          <w:szCs w:val="26"/>
          <w:lang w:val="en-US" w:eastAsia="zh-CN" w:bidi="ar-SA"/>
        </w:rPr>
      </w:pPr>
      <w:r>
        <w:rPr>
          <w:rFonts w:hint="eastAsia" w:ascii="宋体" w:hAnsi="宋体" w:eastAsia="宋体" w:cs="宋体"/>
          <w:kern w:val="2"/>
          <w:sz w:val="26"/>
          <w:szCs w:val="26"/>
          <w:lang w:val="en-US" w:eastAsia="zh-CN" w:bidi="ar-SA"/>
        </w:rPr>
        <w:t>2.1 第三方内部质量控制技术校核</w:t>
      </w:r>
    </w:p>
    <w:p w14:paraId="75DC5813">
      <w:pPr>
        <w:pStyle w:val="24"/>
        <w:keepNext w:val="0"/>
        <w:keepLines w:val="0"/>
        <w:pageBreakBefore w:val="0"/>
        <w:widowControl w:val="0"/>
        <w:kinsoku/>
        <w:wordWrap/>
        <w:overflowPunct/>
        <w:topLinePunct w:val="0"/>
        <w:autoSpaceDE/>
        <w:autoSpaceDN/>
        <w:bidi w:val="0"/>
        <w:adjustRightInd/>
        <w:snapToGrid/>
        <w:spacing w:line="560" w:lineRule="exact"/>
        <w:ind w:left="-420" w:leftChars="-200" w:firstLine="560"/>
        <w:textAlignment w:val="auto"/>
        <w:outlineLvl w:val="9"/>
        <w:rPr>
          <w:rFonts w:hint="eastAsia" w:ascii="宋体" w:hAnsi="宋体" w:eastAsia="宋体" w:cs="宋体"/>
          <w:kern w:val="2"/>
          <w:sz w:val="26"/>
          <w:szCs w:val="26"/>
          <w:lang w:val="en-US" w:eastAsia="zh-CN" w:bidi="ar-SA"/>
        </w:rPr>
      </w:pPr>
      <w:r>
        <w:rPr>
          <w:rFonts w:hint="eastAsia" w:ascii="宋体" w:hAnsi="宋体" w:eastAsia="宋体" w:cs="宋体"/>
          <w:kern w:val="2"/>
          <w:sz w:val="26"/>
          <w:szCs w:val="26"/>
          <w:lang w:val="en-US" w:eastAsia="zh-CN" w:bidi="ar-SA"/>
        </w:rPr>
        <w:t>（1）每次检测样品前均制作标准曲线或应用标准溶液校准标准曲线。</w:t>
      </w:r>
    </w:p>
    <w:p w14:paraId="417F4F04">
      <w:pPr>
        <w:pStyle w:val="24"/>
        <w:keepNext w:val="0"/>
        <w:keepLines w:val="0"/>
        <w:pageBreakBefore w:val="0"/>
        <w:widowControl w:val="0"/>
        <w:kinsoku/>
        <w:wordWrap/>
        <w:overflowPunct/>
        <w:topLinePunct w:val="0"/>
        <w:autoSpaceDE/>
        <w:autoSpaceDN/>
        <w:bidi w:val="0"/>
        <w:adjustRightInd/>
        <w:snapToGrid/>
        <w:spacing w:line="560" w:lineRule="exact"/>
        <w:ind w:left="-420" w:leftChars="-200" w:firstLine="560"/>
        <w:textAlignment w:val="auto"/>
        <w:outlineLvl w:val="9"/>
        <w:rPr>
          <w:rFonts w:hint="eastAsia" w:ascii="宋体" w:hAnsi="宋体" w:eastAsia="宋体" w:cs="宋体"/>
          <w:kern w:val="2"/>
          <w:sz w:val="26"/>
          <w:szCs w:val="26"/>
          <w:lang w:val="en-US" w:eastAsia="zh-CN" w:bidi="ar-SA"/>
        </w:rPr>
      </w:pPr>
      <w:r>
        <w:rPr>
          <w:rFonts w:hint="eastAsia" w:ascii="宋体" w:hAnsi="宋体" w:eastAsia="宋体" w:cs="宋体"/>
          <w:kern w:val="2"/>
          <w:sz w:val="26"/>
          <w:szCs w:val="26"/>
          <w:lang w:val="en-US" w:eastAsia="zh-CN" w:bidi="ar-SA"/>
        </w:rPr>
        <w:t>（2）定期使用有证标准物质进行内部质量控制活动。</w:t>
      </w:r>
    </w:p>
    <w:p w14:paraId="0BB00778">
      <w:pPr>
        <w:pStyle w:val="24"/>
        <w:keepNext w:val="0"/>
        <w:keepLines w:val="0"/>
        <w:pageBreakBefore w:val="0"/>
        <w:widowControl w:val="0"/>
        <w:kinsoku/>
        <w:wordWrap/>
        <w:overflowPunct/>
        <w:topLinePunct w:val="0"/>
        <w:autoSpaceDE/>
        <w:autoSpaceDN/>
        <w:bidi w:val="0"/>
        <w:adjustRightInd/>
        <w:snapToGrid/>
        <w:spacing w:line="560" w:lineRule="exact"/>
        <w:ind w:left="-420" w:leftChars="-200" w:firstLine="560"/>
        <w:textAlignment w:val="auto"/>
        <w:outlineLvl w:val="9"/>
        <w:rPr>
          <w:rFonts w:hint="eastAsia" w:ascii="宋体" w:hAnsi="宋体" w:eastAsia="宋体" w:cs="宋体"/>
          <w:kern w:val="2"/>
          <w:sz w:val="26"/>
          <w:szCs w:val="26"/>
          <w:lang w:val="en-US" w:eastAsia="zh-CN" w:bidi="ar-SA"/>
        </w:rPr>
      </w:pPr>
      <w:r>
        <w:rPr>
          <w:rFonts w:hint="eastAsia" w:ascii="宋体" w:hAnsi="宋体" w:eastAsia="宋体" w:cs="宋体"/>
          <w:kern w:val="2"/>
          <w:sz w:val="26"/>
          <w:szCs w:val="26"/>
          <w:lang w:val="en-US" w:eastAsia="zh-CN" w:bidi="ar-SA"/>
        </w:rPr>
        <w:t>（3）使用相同或不同的方法进行重复检测。</w:t>
      </w:r>
    </w:p>
    <w:p w14:paraId="5F16271C">
      <w:pPr>
        <w:pStyle w:val="24"/>
        <w:keepNext w:val="0"/>
        <w:keepLines w:val="0"/>
        <w:pageBreakBefore w:val="0"/>
        <w:widowControl w:val="0"/>
        <w:kinsoku/>
        <w:wordWrap/>
        <w:overflowPunct/>
        <w:topLinePunct w:val="0"/>
        <w:autoSpaceDE/>
        <w:autoSpaceDN/>
        <w:bidi w:val="0"/>
        <w:adjustRightInd/>
        <w:snapToGrid/>
        <w:spacing w:line="560" w:lineRule="exact"/>
        <w:ind w:left="-420" w:leftChars="-200" w:firstLine="560"/>
        <w:textAlignment w:val="auto"/>
        <w:outlineLvl w:val="9"/>
        <w:rPr>
          <w:rFonts w:hint="eastAsia" w:ascii="宋体" w:hAnsi="宋体" w:eastAsia="宋体" w:cs="宋体"/>
          <w:kern w:val="2"/>
          <w:sz w:val="26"/>
          <w:szCs w:val="26"/>
          <w:lang w:val="en-US" w:eastAsia="zh-CN" w:bidi="ar-SA"/>
        </w:rPr>
      </w:pPr>
      <w:r>
        <w:rPr>
          <w:rFonts w:hint="eastAsia" w:ascii="宋体" w:hAnsi="宋体" w:eastAsia="宋体" w:cs="宋体"/>
          <w:kern w:val="2"/>
          <w:sz w:val="26"/>
          <w:szCs w:val="26"/>
          <w:lang w:val="en-US" w:eastAsia="zh-CN" w:bidi="ar-SA"/>
        </w:rPr>
        <w:t>（4）分析一个样品的不同特性结果的相关性。</w:t>
      </w:r>
    </w:p>
    <w:p w14:paraId="276888D5">
      <w:pPr>
        <w:pStyle w:val="24"/>
        <w:keepNext w:val="0"/>
        <w:keepLines w:val="0"/>
        <w:pageBreakBefore w:val="0"/>
        <w:widowControl w:val="0"/>
        <w:kinsoku/>
        <w:wordWrap/>
        <w:overflowPunct/>
        <w:topLinePunct w:val="0"/>
        <w:autoSpaceDE/>
        <w:autoSpaceDN/>
        <w:bidi w:val="0"/>
        <w:adjustRightInd/>
        <w:snapToGrid/>
        <w:spacing w:line="560" w:lineRule="exact"/>
        <w:ind w:left="-420" w:leftChars="-200" w:firstLine="560"/>
        <w:textAlignment w:val="auto"/>
        <w:outlineLvl w:val="9"/>
        <w:rPr>
          <w:rFonts w:hint="eastAsia" w:ascii="宋体" w:hAnsi="宋体" w:eastAsia="宋体" w:cs="宋体"/>
          <w:kern w:val="2"/>
          <w:sz w:val="26"/>
          <w:szCs w:val="26"/>
          <w:lang w:val="en-US" w:eastAsia="zh-CN" w:bidi="ar-SA"/>
        </w:rPr>
      </w:pPr>
      <w:r>
        <w:rPr>
          <w:rFonts w:hint="eastAsia" w:ascii="宋体" w:hAnsi="宋体" w:eastAsia="宋体" w:cs="宋体"/>
          <w:kern w:val="2"/>
          <w:sz w:val="26"/>
          <w:szCs w:val="26"/>
          <w:lang w:val="en-US" w:eastAsia="zh-CN" w:bidi="ar-SA"/>
        </w:rPr>
        <w:t>（5）密码平行样品、加标样品检测等考核。</w:t>
      </w:r>
    </w:p>
    <w:p w14:paraId="11282DFF">
      <w:pPr>
        <w:pStyle w:val="24"/>
        <w:keepNext w:val="0"/>
        <w:keepLines w:val="0"/>
        <w:pageBreakBefore w:val="0"/>
        <w:widowControl w:val="0"/>
        <w:kinsoku/>
        <w:wordWrap/>
        <w:overflowPunct/>
        <w:topLinePunct w:val="0"/>
        <w:autoSpaceDE/>
        <w:autoSpaceDN/>
        <w:bidi w:val="0"/>
        <w:adjustRightInd/>
        <w:snapToGrid/>
        <w:spacing w:line="560" w:lineRule="exact"/>
        <w:ind w:left="-420" w:leftChars="-200" w:firstLine="560"/>
        <w:textAlignment w:val="auto"/>
        <w:outlineLvl w:val="9"/>
        <w:rPr>
          <w:rFonts w:hint="eastAsia" w:ascii="宋体" w:hAnsi="宋体" w:eastAsia="宋体" w:cs="宋体"/>
          <w:kern w:val="2"/>
          <w:sz w:val="26"/>
          <w:szCs w:val="26"/>
          <w:lang w:val="en-US" w:eastAsia="zh-CN" w:bidi="ar-SA"/>
        </w:rPr>
      </w:pPr>
      <w:r>
        <w:rPr>
          <w:rFonts w:hint="eastAsia" w:ascii="宋体" w:hAnsi="宋体" w:eastAsia="宋体" w:cs="宋体"/>
          <w:kern w:val="2"/>
          <w:sz w:val="26"/>
          <w:szCs w:val="26"/>
          <w:lang w:val="en-US" w:eastAsia="zh-CN" w:bidi="ar-SA"/>
        </w:rPr>
        <w:t>（6）对所得检测结果测量不确定度进行评定。</w:t>
      </w:r>
    </w:p>
    <w:p w14:paraId="0D910B6B">
      <w:pPr>
        <w:pStyle w:val="24"/>
        <w:keepNext w:val="0"/>
        <w:keepLines w:val="0"/>
        <w:pageBreakBefore w:val="0"/>
        <w:widowControl w:val="0"/>
        <w:kinsoku/>
        <w:wordWrap/>
        <w:overflowPunct/>
        <w:topLinePunct w:val="0"/>
        <w:autoSpaceDE/>
        <w:autoSpaceDN/>
        <w:bidi w:val="0"/>
        <w:adjustRightInd/>
        <w:snapToGrid/>
        <w:spacing w:line="560" w:lineRule="exact"/>
        <w:ind w:left="-420" w:leftChars="-200" w:firstLine="560"/>
        <w:textAlignment w:val="auto"/>
        <w:outlineLvl w:val="9"/>
        <w:rPr>
          <w:rFonts w:hint="eastAsia" w:ascii="宋体" w:hAnsi="宋体" w:eastAsia="宋体" w:cs="宋体"/>
          <w:kern w:val="2"/>
          <w:sz w:val="26"/>
          <w:szCs w:val="26"/>
          <w:lang w:val="en-US" w:eastAsia="zh-CN" w:bidi="ar-SA"/>
        </w:rPr>
      </w:pPr>
      <w:r>
        <w:rPr>
          <w:rFonts w:hint="eastAsia" w:ascii="宋体" w:hAnsi="宋体" w:eastAsia="宋体" w:cs="宋体"/>
          <w:kern w:val="2"/>
          <w:sz w:val="26"/>
          <w:szCs w:val="26"/>
          <w:lang w:val="en-US" w:eastAsia="zh-CN" w:bidi="ar-SA"/>
        </w:rPr>
        <w:t>2.2 第三方内部质量控制计划</w:t>
      </w:r>
    </w:p>
    <w:p w14:paraId="6A50A4E0">
      <w:pPr>
        <w:pStyle w:val="24"/>
        <w:keepNext w:val="0"/>
        <w:keepLines w:val="0"/>
        <w:pageBreakBefore w:val="0"/>
        <w:widowControl w:val="0"/>
        <w:kinsoku/>
        <w:wordWrap/>
        <w:overflowPunct/>
        <w:topLinePunct w:val="0"/>
        <w:autoSpaceDE/>
        <w:autoSpaceDN/>
        <w:bidi w:val="0"/>
        <w:adjustRightInd/>
        <w:snapToGrid/>
        <w:spacing w:line="560" w:lineRule="exact"/>
        <w:ind w:left="-420" w:leftChars="-200" w:firstLine="560"/>
        <w:textAlignment w:val="auto"/>
        <w:outlineLvl w:val="9"/>
        <w:rPr>
          <w:rFonts w:hint="eastAsia" w:ascii="宋体" w:hAnsi="宋体" w:eastAsia="宋体" w:cs="宋体"/>
          <w:kern w:val="2"/>
          <w:sz w:val="26"/>
          <w:szCs w:val="26"/>
          <w:lang w:val="en-US" w:eastAsia="zh-CN" w:bidi="ar-SA"/>
        </w:rPr>
      </w:pPr>
      <w:r>
        <w:rPr>
          <w:rFonts w:hint="eastAsia" w:ascii="宋体" w:hAnsi="宋体" w:eastAsia="宋体" w:cs="宋体"/>
          <w:kern w:val="2"/>
          <w:sz w:val="26"/>
          <w:szCs w:val="26"/>
          <w:lang w:val="en-US" w:eastAsia="zh-CN" w:bidi="ar-SA"/>
        </w:rPr>
        <w:t>（1）检测部根据质量控制计划，针对不同检测项目安排开展工作。</w:t>
      </w:r>
    </w:p>
    <w:p w14:paraId="65D9779F">
      <w:pPr>
        <w:pStyle w:val="24"/>
        <w:keepNext w:val="0"/>
        <w:keepLines w:val="0"/>
        <w:pageBreakBefore w:val="0"/>
        <w:widowControl w:val="0"/>
        <w:kinsoku/>
        <w:wordWrap/>
        <w:overflowPunct/>
        <w:topLinePunct w:val="0"/>
        <w:autoSpaceDE/>
        <w:autoSpaceDN/>
        <w:bidi w:val="0"/>
        <w:adjustRightInd/>
        <w:snapToGrid/>
        <w:spacing w:line="560" w:lineRule="exact"/>
        <w:ind w:left="-420" w:leftChars="-200" w:firstLine="560"/>
        <w:textAlignment w:val="auto"/>
        <w:outlineLvl w:val="9"/>
        <w:rPr>
          <w:rFonts w:hint="eastAsia" w:ascii="宋体" w:hAnsi="宋体" w:eastAsia="宋体" w:cs="宋体"/>
          <w:kern w:val="2"/>
          <w:sz w:val="26"/>
          <w:szCs w:val="26"/>
          <w:lang w:val="en-US" w:eastAsia="zh-CN" w:bidi="ar-SA"/>
        </w:rPr>
      </w:pPr>
      <w:r>
        <w:rPr>
          <w:rFonts w:hint="eastAsia" w:ascii="宋体" w:hAnsi="宋体" w:eastAsia="宋体" w:cs="宋体"/>
          <w:kern w:val="2"/>
          <w:sz w:val="26"/>
          <w:szCs w:val="26"/>
          <w:lang w:val="en-US" w:eastAsia="zh-CN" w:bidi="ar-SA"/>
        </w:rPr>
        <w:t>（2）内部开展的一切质控活动的情况均应纳入每年的管理评审，进行评价。</w:t>
      </w:r>
    </w:p>
    <w:p w14:paraId="031BA1D0">
      <w:pPr>
        <w:pStyle w:val="24"/>
        <w:keepNext w:val="0"/>
        <w:keepLines w:val="0"/>
        <w:pageBreakBefore w:val="0"/>
        <w:widowControl w:val="0"/>
        <w:kinsoku/>
        <w:wordWrap/>
        <w:overflowPunct/>
        <w:topLinePunct w:val="0"/>
        <w:autoSpaceDE/>
        <w:autoSpaceDN/>
        <w:bidi w:val="0"/>
        <w:adjustRightInd/>
        <w:snapToGrid/>
        <w:spacing w:line="560" w:lineRule="exact"/>
        <w:ind w:left="-420" w:leftChars="-200" w:firstLine="560"/>
        <w:textAlignment w:val="auto"/>
        <w:outlineLvl w:val="9"/>
        <w:rPr>
          <w:rFonts w:hint="eastAsia" w:ascii="宋体" w:hAnsi="宋体" w:eastAsia="宋体" w:cs="宋体"/>
          <w:kern w:val="2"/>
          <w:sz w:val="26"/>
          <w:szCs w:val="26"/>
          <w:lang w:val="en-US" w:eastAsia="zh-CN" w:bidi="ar-SA"/>
        </w:rPr>
      </w:pPr>
      <w:r>
        <w:rPr>
          <w:rFonts w:hint="eastAsia" w:ascii="宋体" w:hAnsi="宋体" w:eastAsia="宋体" w:cs="宋体"/>
          <w:kern w:val="2"/>
          <w:sz w:val="26"/>
          <w:szCs w:val="26"/>
          <w:lang w:val="en-US" w:eastAsia="zh-CN" w:bidi="ar-SA"/>
        </w:rPr>
        <w:t>（3）档案管理员应按质量控制的计划，及时收集有关资料并编号归档保存。</w:t>
      </w:r>
    </w:p>
    <w:p w14:paraId="6D55E613">
      <w:pPr>
        <w:pStyle w:val="24"/>
        <w:keepNext w:val="0"/>
        <w:keepLines w:val="0"/>
        <w:pageBreakBefore w:val="0"/>
        <w:widowControl w:val="0"/>
        <w:kinsoku/>
        <w:wordWrap/>
        <w:overflowPunct/>
        <w:topLinePunct w:val="0"/>
        <w:autoSpaceDE/>
        <w:autoSpaceDN/>
        <w:bidi w:val="0"/>
        <w:adjustRightInd/>
        <w:snapToGrid/>
        <w:spacing w:line="560" w:lineRule="exact"/>
        <w:ind w:left="-420" w:leftChars="-200" w:firstLine="560"/>
        <w:textAlignment w:val="auto"/>
        <w:outlineLvl w:val="9"/>
        <w:rPr>
          <w:rFonts w:hint="eastAsia" w:ascii="宋体" w:hAnsi="宋体" w:eastAsia="宋体" w:cs="宋体"/>
          <w:kern w:val="2"/>
          <w:sz w:val="26"/>
          <w:szCs w:val="26"/>
          <w:lang w:val="en-US" w:eastAsia="zh-CN" w:bidi="ar-SA"/>
        </w:rPr>
      </w:pPr>
      <w:r>
        <w:rPr>
          <w:rFonts w:hint="eastAsia" w:ascii="宋体" w:hAnsi="宋体" w:eastAsia="宋体" w:cs="宋体"/>
          <w:kern w:val="2"/>
          <w:sz w:val="26"/>
          <w:szCs w:val="26"/>
          <w:lang w:val="en-US" w:eastAsia="zh-CN" w:bidi="ar-SA"/>
        </w:rPr>
        <w:t>2.3 委托方对第三方检测公司的质控措施</w:t>
      </w:r>
    </w:p>
    <w:p w14:paraId="44BB05E2">
      <w:pPr>
        <w:pStyle w:val="24"/>
        <w:keepNext w:val="0"/>
        <w:keepLines w:val="0"/>
        <w:pageBreakBefore w:val="0"/>
        <w:widowControl w:val="0"/>
        <w:kinsoku/>
        <w:wordWrap/>
        <w:overflowPunct/>
        <w:topLinePunct w:val="0"/>
        <w:autoSpaceDE/>
        <w:autoSpaceDN/>
        <w:bidi w:val="0"/>
        <w:adjustRightInd/>
        <w:snapToGrid/>
        <w:spacing w:line="560" w:lineRule="exact"/>
        <w:ind w:left="-420" w:leftChars="-200" w:firstLine="560"/>
        <w:textAlignment w:val="auto"/>
        <w:outlineLvl w:val="9"/>
        <w:rPr>
          <w:rFonts w:hint="eastAsia" w:ascii="宋体" w:hAnsi="宋体" w:eastAsia="宋体" w:cs="宋体"/>
          <w:kern w:val="2"/>
          <w:sz w:val="26"/>
          <w:szCs w:val="26"/>
          <w:lang w:val="en-US" w:eastAsia="zh-CN" w:bidi="ar-SA"/>
        </w:rPr>
      </w:pPr>
      <w:r>
        <w:rPr>
          <w:rFonts w:hint="eastAsia" w:ascii="宋体" w:hAnsi="宋体" w:eastAsia="宋体" w:cs="宋体"/>
          <w:kern w:val="2"/>
          <w:sz w:val="26"/>
          <w:szCs w:val="26"/>
          <w:lang w:val="en-US" w:eastAsia="zh-CN" w:bidi="ar-SA"/>
        </w:rPr>
        <w:t>2.3.1 查看第三方检测公司的CMA资质，需有资质检测委托的相关项目，及相应检测报告、采样及样品流转、原始记录是否符合相关标准规范；</w:t>
      </w:r>
    </w:p>
    <w:p w14:paraId="577BF34F">
      <w:pPr>
        <w:pStyle w:val="24"/>
        <w:keepNext w:val="0"/>
        <w:keepLines w:val="0"/>
        <w:pageBreakBefore w:val="0"/>
        <w:widowControl w:val="0"/>
        <w:kinsoku/>
        <w:wordWrap/>
        <w:overflowPunct/>
        <w:topLinePunct w:val="0"/>
        <w:autoSpaceDE/>
        <w:autoSpaceDN/>
        <w:bidi w:val="0"/>
        <w:adjustRightInd/>
        <w:snapToGrid/>
        <w:spacing w:line="560" w:lineRule="exact"/>
        <w:ind w:left="-420" w:leftChars="-200" w:firstLine="560"/>
        <w:textAlignment w:val="auto"/>
        <w:outlineLvl w:val="9"/>
        <w:rPr>
          <w:rFonts w:hint="eastAsia" w:ascii="宋体" w:hAnsi="宋体" w:eastAsia="宋体" w:cs="宋体"/>
          <w:kern w:val="2"/>
          <w:sz w:val="26"/>
          <w:szCs w:val="26"/>
          <w:lang w:val="en-US" w:eastAsia="zh-CN" w:bidi="ar-SA"/>
        </w:rPr>
      </w:pPr>
      <w:r>
        <w:rPr>
          <w:rFonts w:hint="eastAsia" w:ascii="宋体" w:hAnsi="宋体" w:eastAsia="宋体" w:cs="宋体"/>
          <w:kern w:val="2"/>
          <w:sz w:val="26"/>
          <w:szCs w:val="26"/>
          <w:lang w:val="en-US" w:eastAsia="zh-CN" w:bidi="ar-SA"/>
        </w:rPr>
        <w:t>2.3.2 查看第三方检测公司CMA认证的实验室，是否配备有相应的仪器设备及人员，所采用的检测方法是否符合相应标准规范的要求；</w:t>
      </w:r>
    </w:p>
    <w:p w14:paraId="0FBE3A9C">
      <w:pPr>
        <w:pStyle w:val="24"/>
        <w:keepNext w:val="0"/>
        <w:keepLines w:val="0"/>
        <w:pageBreakBefore w:val="0"/>
        <w:widowControl w:val="0"/>
        <w:kinsoku/>
        <w:wordWrap/>
        <w:overflowPunct/>
        <w:topLinePunct w:val="0"/>
        <w:autoSpaceDE/>
        <w:autoSpaceDN/>
        <w:bidi w:val="0"/>
        <w:adjustRightInd/>
        <w:snapToGrid/>
        <w:spacing w:line="560" w:lineRule="exact"/>
        <w:ind w:left="-420" w:leftChars="-200" w:firstLine="560"/>
        <w:textAlignment w:val="auto"/>
        <w:outlineLvl w:val="9"/>
        <w:rPr>
          <w:rFonts w:hint="eastAsia" w:ascii="宋体" w:hAnsi="宋体" w:eastAsia="宋体" w:cs="宋体"/>
          <w:kern w:val="2"/>
          <w:sz w:val="26"/>
          <w:szCs w:val="26"/>
          <w:lang w:val="en-US" w:eastAsia="zh-CN" w:bidi="ar-SA"/>
        </w:rPr>
      </w:pPr>
      <w:r>
        <w:rPr>
          <w:rFonts w:hint="eastAsia" w:ascii="宋体" w:hAnsi="宋体" w:eastAsia="宋体" w:cs="宋体"/>
          <w:kern w:val="2"/>
          <w:sz w:val="26"/>
          <w:szCs w:val="26"/>
          <w:lang w:val="en-US" w:eastAsia="zh-CN" w:bidi="ar-SA"/>
        </w:rPr>
        <w:t>2.3.3 对第三方检测公司实施质控样盲样比对，频次是一年1-3次；</w:t>
      </w:r>
    </w:p>
    <w:p w14:paraId="044F9745">
      <w:pPr>
        <w:pStyle w:val="24"/>
        <w:keepNext w:val="0"/>
        <w:keepLines w:val="0"/>
        <w:pageBreakBefore w:val="0"/>
        <w:widowControl w:val="0"/>
        <w:kinsoku/>
        <w:wordWrap/>
        <w:overflowPunct/>
        <w:topLinePunct w:val="0"/>
        <w:autoSpaceDE/>
        <w:autoSpaceDN/>
        <w:bidi w:val="0"/>
        <w:adjustRightInd/>
        <w:snapToGrid/>
        <w:spacing w:line="560" w:lineRule="exact"/>
        <w:ind w:left="-420" w:leftChars="-200" w:firstLine="560"/>
        <w:textAlignment w:val="auto"/>
        <w:outlineLvl w:val="9"/>
        <w:rPr>
          <w:rFonts w:hint="eastAsia" w:ascii="宋体" w:hAnsi="宋体" w:eastAsia="宋体" w:cs="宋体"/>
          <w:kern w:val="2"/>
          <w:sz w:val="26"/>
          <w:szCs w:val="26"/>
          <w:lang w:val="en-US" w:eastAsia="zh-CN" w:bidi="ar-SA"/>
        </w:rPr>
      </w:pPr>
      <w:r>
        <w:rPr>
          <w:rFonts w:hint="eastAsia" w:ascii="宋体" w:hAnsi="宋体" w:eastAsia="宋体" w:cs="宋体"/>
          <w:kern w:val="2"/>
          <w:sz w:val="26"/>
          <w:szCs w:val="26"/>
          <w:lang w:val="en-US" w:eastAsia="zh-CN" w:bidi="ar-SA"/>
        </w:rPr>
        <w:t>2.3.4 查看第三方检测公司对委托检测合同条款的履行情况。</w:t>
      </w:r>
    </w:p>
    <w:p w14:paraId="01288408">
      <w:pPr>
        <w:pStyle w:val="24"/>
        <w:keepNext w:val="0"/>
        <w:keepLines w:val="0"/>
        <w:pageBreakBefore w:val="0"/>
        <w:widowControl w:val="0"/>
        <w:kinsoku/>
        <w:wordWrap/>
        <w:overflowPunct/>
        <w:topLinePunct w:val="0"/>
        <w:autoSpaceDE/>
        <w:autoSpaceDN/>
        <w:bidi w:val="0"/>
        <w:adjustRightInd/>
        <w:snapToGrid/>
        <w:spacing w:line="560" w:lineRule="exact"/>
        <w:ind w:left="-420" w:leftChars="-200" w:firstLine="560"/>
        <w:textAlignment w:val="auto"/>
        <w:outlineLvl w:val="9"/>
        <w:rPr>
          <w:rFonts w:hint="eastAsia" w:ascii="宋体" w:hAnsi="宋体" w:eastAsia="宋体" w:cs="宋体"/>
          <w:kern w:val="2"/>
          <w:sz w:val="26"/>
          <w:szCs w:val="26"/>
          <w:lang w:val="en-US" w:eastAsia="zh-CN" w:bidi="ar-SA"/>
        </w:rPr>
      </w:pPr>
      <w:r>
        <w:rPr>
          <w:rFonts w:hint="eastAsia" w:ascii="宋体" w:hAnsi="宋体" w:eastAsia="宋体" w:cs="宋体"/>
          <w:kern w:val="2"/>
          <w:sz w:val="26"/>
          <w:szCs w:val="26"/>
          <w:lang w:val="en-US" w:eastAsia="zh-CN" w:bidi="ar-SA"/>
        </w:rPr>
        <w:t>2.4  检测及结果质量控制</w:t>
      </w:r>
    </w:p>
    <w:p w14:paraId="0BE97A78">
      <w:pPr>
        <w:pStyle w:val="24"/>
        <w:keepNext w:val="0"/>
        <w:keepLines w:val="0"/>
        <w:pageBreakBefore w:val="0"/>
        <w:widowControl w:val="0"/>
        <w:kinsoku/>
        <w:wordWrap/>
        <w:overflowPunct/>
        <w:topLinePunct w:val="0"/>
        <w:autoSpaceDE/>
        <w:autoSpaceDN/>
        <w:bidi w:val="0"/>
        <w:adjustRightInd/>
        <w:snapToGrid/>
        <w:spacing w:line="560" w:lineRule="exact"/>
        <w:ind w:left="-420" w:leftChars="-200" w:firstLine="560"/>
        <w:textAlignment w:val="auto"/>
        <w:outlineLvl w:val="9"/>
        <w:rPr>
          <w:rFonts w:hint="eastAsia" w:ascii="宋体" w:hAnsi="宋体" w:eastAsia="宋体" w:cs="宋体"/>
          <w:kern w:val="2"/>
          <w:sz w:val="26"/>
          <w:szCs w:val="26"/>
          <w:lang w:val="en-US" w:eastAsia="zh-CN" w:bidi="ar-SA"/>
        </w:rPr>
      </w:pPr>
      <w:r>
        <w:rPr>
          <w:rFonts w:hint="eastAsia" w:ascii="宋体" w:hAnsi="宋体" w:eastAsia="宋体" w:cs="宋体"/>
          <w:kern w:val="2"/>
          <w:sz w:val="26"/>
          <w:szCs w:val="26"/>
          <w:lang w:val="en-US" w:eastAsia="zh-CN" w:bidi="ar-SA"/>
        </w:rPr>
        <w:t>2.4.1 综合部对委托检测协议书、接收样品、唯一性编号标识、检测报告领取等环节进行控制，保证实验室能充分理解客户的检测要求、检测样品的完整性，质量管理部根据委托检测协议书、检测原始记录以及其他相关材料起草检测报告，核查无误。</w:t>
      </w:r>
    </w:p>
    <w:p w14:paraId="483F6621">
      <w:pPr>
        <w:pStyle w:val="24"/>
        <w:keepNext w:val="0"/>
        <w:keepLines w:val="0"/>
        <w:pageBreakBefore w:val="0"/>
        <w:widowControl w:val="0"/>
        <w:kinsoku/>
        <w:wordWrap/>
        <w:overflowPunct/>
        <w:topLinePunct w:val="0"/>
        <w:autoSpaceDE/>
        <w:autoSpaceDN/>
        <w:bidi w:val="0"/>
        <w:adjustRightInd/>
        <w:snapToGrid/>
        <w:spacing w:line="560" w:lineRule="exact"/>
        <w:ind w:left="-420" w:leftChars="-200" w:firstLine="560"/>
        <w:textAlignment w:val="auto"/>
        <w:outlineLvl w:val="9"/>
        <w:rPr>
          <w:rFonts w:hint="eastAsia" w:ascii="宋体" w:hAnsi="宋体" w:eastAsia="宋体" w:cs="宋体"/>
          <w:kern w:val="2"/>
          <w:sz w:val="26"/>
          <w:szCs w:val="26"/>
          <w:lang w:val="en-US" w:eastAsia="zh-CN" w:bidi="ar-SA"/>
        </w:rPr>
      </w:pPr>
      <w:r>
        <w:rPr>
          <w:rFonts w:hint="eastAsia" w:ascii="宋体" w:hAnsi="宋体" w:eastAsia="宋体" w:cs="宋体"/>
          <w:kern w:val="2"/>
          <w:sz w:val="26"/>
          <w:szCs w:val="26"/>
          <w:lang w:val="en-US" w:eastAsia="zh-CN" w:bidi="ar-SA"/>
        </w:rPr>
        <w:t>2.4.2 检验检测工作由培训合格的、有相关技术能力和专业背景，经本公司能力确认并由最高管理者授权的人员进行。</w:t>
      </w:r>
    </w:p>
    <w:p w14:paraId="7969CCB0">
      <w:pPr>
        <w:pStyle w:val="24"/>
        <w:keepNext w:val="0"/>
        <w:keepLines w:val="0"/>
        <w:pageBreakBefore w:val="0"/>
        <w:widowControl w:val="0"/>
        <w:kinsoku/>
        <w:wordWrap/>
        <w:overflowPunct/>
        <w:topLinePunct w:val="0"/>
        <w:autoSpaceDE/>
        <w:autoSpaceDN/>
        <w:bidi w:val="0"/>
        <w:adjustRightInd/>
        <w:snapToGrid/>
        <w:spacing w:line="560" w:lineRule="exact"/>
        <w:ind w:left="-420" w:leftChars="-200" w:firstLine="560"/>
        <w:textAlignment w:val="auto"/>
        <w:outlineLvl w:val="9"/>
        <w:rPr>
          <w:rFonts w:hint="eastAsia" w:ascii="宋体" w:hAnsi="宋体" w:eastAsia="宋体" w:cs="宋体"/>
          <w:kern w:val="2"/>
          <w:sz w:val="26"/>
          <w:szCs w:val="26"/>
          <w:lang w:val="en-US" w:eastAsia="zh-CN" w:bidi="ar-SA"/>
        </w:rPr>
      </w:pPr>
      <w:r>
        <w:rPr>
          <w:rFonts w:hint="eastAsia" w:ascii="宋体" w:hAnsi="宋体" w:eastAsia="宋体" w:cs="宋体"/>
          <w:kern w:val="2"/>
          <w:sz w:val="26"/>
          <w:szCs w:val="26"/>
          <w:lang w:val="en-US" w:eastAsia="zh-CN" w:bidi="ar-SA"/>
        </w:rPr>
        <w:t>2.4.3 使用定期进行检定合格和校准符合要求的仪器设备，用于检验检测活动。按计划开展仪器设备的期间核查工作，保持其原有状态，防止使用不符合技术规范要求的设备。</w:t>
      </w:r>
    </w:p>
    <w:p w14:paraId="2DB7EC4D">
      <w:pPr>
        <w:pStyle w:val="24"/>
        <w:keepNext w:val="0"/>
        <w:keepLines w:val="0"/>
        <w:pageBreakBefore w:val="0"/>
        <w:widowControl w:val="0"/>
        <w:kinsoku/>
        <w:wordWrap/>
        <w:overflowPunct/>
        <w:topLinePunct w:val="0"/>
        <w:autoSpaceDE/>
        <w:autoSpaceDN/>
        <w:bidi w:val="0"/>
        <w:adjustRightInd/>
        <w:snapToGrid/>
        <w:spacing w:line="560" w:lineRule="exact"/>
        <w:ind w:left="-420" w:leftChars="-200" w:firstLine="560"/>
        <w:textAlignment w:val="auto"/>
        <w:outlineLvl w:val="9"/>
        <w:rPr>
          <w:rFonts w:hint="eastAsia" w:ascii="宋体" w:hAnsi="宋体" w:eastAsia="宋体" w:cs="宋体"/>
          <w:kern w:val="2"/>
          <w:sz w:val="26"/>
          <w:szCs w:val="26"/>
          <w:lang w:val="en-US" w:eastAsia="zh-CN" w:bidi="ar-SA"/>
        </w:rPr>
      </w:pPr>
      <w:r>
        <w:rPr>
          <w:rFonts w:hint="eastAsia" w:ascii="宋体" w:hAnsi="宋体" w:eastAsia="宋体" w:cs="宋体"/>
          <w:kern w:val="2"/>
          <w:sz w:val="26"/>
          <w:szCs w:val="26"/>
          <w:lang w:val="en-US" w:eastAsia="zh-CN" w:bidi="ar-SA"/>
        </w:rPr>
        <w:t>2.4.4 尽可能使用有证标准物质，按计划开展标准物质期间核查工作，确保相关检测的结果能够溯源到国家基准。</w:t>
      </w:r>
    </w:p>
    <w:p w14:paraId="3036A8DE">
      <w:pPr>
        <w:pStyle w:val="24"/>
        <w:keepNext w:val="0"/>
        <w:keepLines w:val="0"/>
        <w:pageBreakBefore w:val="0"/>
        <w:widowControl w:val="0"/>
        <w:kinsoku/>
        <w:wordWrap/>
        <w:overflowPunct/>
        <w:topLinePunct w:val="0"/>
        <w:autoSpaceDE/>
        <w:autoSpaceDN/>
        <w:bidi w:val="0"/>
        <w:adjustRightInd/>
        <w:snapToGrid/>
        <w:spacing w:line="560" w:lineRule="exact"/>
        <w:ind w:left="-420" w:leftChars="-200" w:firstLine="560"/>
        <w:textAlignment w:val="auto"/>
        <w:outlineLvl w:val="9"/>
        <w:rPr>
          <w:rFonts w:hint="eastAsia" w:ascii="宋体" w:hAnsi="宋体" w:eastAsia="宋体" w:cs="宋体"/>
          <w:kern w:val="2"/>
          <w:sz w:val="26"/>
          <w:szCs w:val="26"/>
          <w:lang w:val="en-US" w:eastAsia="zh-CN" w:bidi="ar-SA"/>
        </w:rPr>
      </w:pPr>
      <w:r>
        <w:rPr>
          <w:rFonts w:hint="eastAsia" w:ascii="宋体" w:hAnsi="宋体" w:eastAsia="宋体" w:cs="宋体"/>
          <w:kern w:val="2"/>
          <w:sz w:val="26"/>
          <w:szCs w:val="26"/>
          <w:lang w:val="en-US" w:eastAsia="zh-CN" w:bidi="ar-SA"/>
        </w:rPr>
        <w:t>2.4.5 对影响检测结果的化学试剂等消耗品进行质量验证，保证其使用不影响最终检测结果和质量。</w:t>
      </w:r>
    </w:p>
    <w:p w14:paraId="768D603E">
      <w:pPr>
        <w:pStyle w:val="24"/>
        <w:keepNext w:val="0"/>
        <w:keepLines w:val="0"/>
        <w:pageBreakBefore w:val="0"/>
        <w:widowControl w:val="0"/>
        <w:kinsoku/>
        <w:wordWrap/>
        <w:overflowPunct/>
        <w:topLinePunct w:val="0"/>
        <w:autoSpaceDE/>
        <w:autoSpaceDN/>
        <w:bidi w:val="0"/>
        <w:adjustRightInd/>
        <w:snapToGrid/>
        <w:spacing w:line="560" w:lineRule="exact"/>
        <w:ind w:left="-420" w:leftChars="-200" w:firstLine="560"/>
        <w:textAlignment w:val="auto"/>
        <w:outlineLvl w:val="9"/>
        <w:rPr>
          <w:rFonts w:hint="eastAsia" w:ascii="宋体" w:hAnsi="宋体" w:eastAsia="宋体" w:cs="宋体"/>
          <w:kern w:val="2"/>
          <w:sz w:val="26"/>
          <w:szCs w:val="26"/>
          <w:lang w:val="en-US" w:eastAsia="zh-CN" w:bidi="ar-SA"/>
        </w:rPr>
      </w:pPr>
      <w:r>
        <w:rPr>
          <w:rFonts w:hint="eastAsia" w:ascii="宋体" w:hAnsi="宋体" w:eastAsia="宋体" w:cs="宋体"/>
          <w:kern w:val="2"/>
          <w:sz w:val="26"/>
          <w:szCs w:val="26"/>
          <w:lang w:val="en-US" w:eastAsia="zh-CN" w:bidi="ar-SA"/>
        </w:rPr>
        <w:t>2.4.6 定期开展标准查新和更换，保证检测室现场使用的检测标准、作业指导书均为现行有效版本。</w:t>
      </w:r>
    </w:p>
    <w:p w14:paraId="0FCA6E93">
      <w:pPr>
        <w:pStyle w:val="24"/>
        <w:keepNext w:val="0"/>
        <w:keepLines w:val="0"/>
        <w:pageBreakBefore w:val="0"/>
        <w:widowControl w:val="0"/>
        <w:kinsoku/>
        <w:wordWrap/>
        <w:overflowPunct/>
        <w:topLinePunct w:val="0"/>
        <w:autoSpaceDE/>
        <w:autoSpaceDN/>
        <w:bidi w:val="0"/>
        <w:adjustRightInd/>
        <w:snapToGrid/>
        <w:spacing w:line="560" w:lineRule="exact"/>
        <w:ind w:left="-420" w:leftChars="-200" w:firstLine="560"/>
        <w:textAlignment w:val="auto"/>
        <w:outlineLvl w:val="9"/>
        <w:rPr>
          <w:rFonts w:hint="eastAsia" w:ascii="宋体" w:hAnsi="宋体" w:eastAsia="宋体" w:cs="宋体"/>
          <w:kern w:val="2"/>
          <w:sz w:val="26"/>
          <w:szCs w:val="26"/>
          <w:lang w:val="en-US" w:eastAsia="zh-CN" w:bidi="ar-SA"/>
        </w:rPr>
      </w:pPr>
      <w:r>
        <w:rPr>
          <w:rFonts w:hint="eastAsia" w:ascii="宋体" w:hAnsi="宋体" w:eastAsia="宋体" w:cs="宋体"/>
          <w:kern w:val="2"/>
          <w:sz w:val="26"/>
          <w:szCs w:val="26"/>
          <w:lang w:val="en-US" w:eastAsia="zh-CN" w:bidi="ar-SA"/>
        </w:rPr>
        <w:t>2.4.7 对现场环境条件及设施进行有效监控，保证环境条件和相关设施符合检验检测活动要求。</w:t>
      </w:r>
    </w:p>
    <w:p w14:paraId="6385FECE">
      <w:pPr>
        <w:pStyle w:val="24"/>
        <w:keepNext w:val="0"/>
        <w:keepLines w:val="0"/>
        <w:pageBreakBefore w:val="0"/>
        <w:widowControl w:val="0"/>
        <w:kinsoku/>
        <w:wordWrap/>
        <w:overflowPunct/>
        <w:topLinePunct w:val="0"/>
        <w:autoSpaceDE/>
        <w:autoSpaceDN/>
        <w:bidi w:val="0"/>
        <w:adjustRightInd/>
        <w:snapToGrid/>
        <w:spacing w:line="560" w:lineRule="exact"/>
        <w:ind w:left="-420" w:leftChars="-200" w:firstLine="560"/>
        <w:textAlignment w:val="auto"/>
        <w:outlineLvl w:val="9"/>
        <w:rPr>
          <w:rFonts w:hint="eastAsia" w:ascii="宋体" w:hAnsi="宋体" w:eastAsia="宋体" w:cs="宋体"/>
          <w:kern w:val="2"/>
          <w:sz w:val="26"/>
          <w:szCs w:val="26"/>
          <w:lang w:val="en-US" w:eastAsia="zh-CN" w:bidi="ar-SA"/>
        </w:rPr>
      </w:pPr>
      <w:r>
        <w:rPr>
          <w:rFonts w:hint="eastAsia" w:ascii="宋体" w:hAnsi="宋体" w:eastAsia="宋体" w:cs="宋体"/>
          <w:kern w:val="2"/>
          <w:sz w:val="26"/>
          <w:szCs w:val="26"/>
          <w:lang w:val="en-US" w:eastAsia="zh-CN" w:bidi="ar-SA"/>
        </w:rPr>
        <w:t>2.4.8 检测部质量监督员对涉及检测结果的各项活动进行充分监督，尽可能运用统计技术对实验室的检测结果质量进行控制。</w:t>
      </w:r>
    </w:p>
    <w:p w14:paraId="7A6AFEE6">
      <w:pPr>
        <w:pStyle w:val="24"/>
        <w:keepNext w:val="0"/>
        <w:keepLines w:val="0"/>
        <w:pageBreakBefore w:val="0"/>
        <w:widowControl w:val="0"/>
        <w:kinsoku/>
        <w:wordWrap/>
        <w:overflowPunct/>
        <w:topLinePunct w:val="0"/>
        <w:autoSpaceDE/>
        <w:autoSpaceDN/>
        <w:bidi w:val="0"/>
        <w:adjustRightInd/>
        <w:snapToGrid/>
        <w:spacing w:line="560" w:lineRule="exact"/>
        <w:ind w:left="-420" w:leftChars="-200" w:firstLine="560"/>
        <w:textAlignment w:val="auto"/>
        <w:outlineLvl w:val="9"/>
        <w:rPr>
          <w:rFonts w:hint="eastAsia" w:ascii="宋体" w:hAnsi="宋体" w:eastAsia="宋体" w:cs="宋体"/>
          <w:kern w:val="2"/>
          <w:sz w:val="26"/>
          <w:szCs w:val="26"/>
          <w:lang w:val="en-US" w:eastAsia="zh-CN" w:bidi="ar-SA"/>
        </w:rPr>
      </w:pPr>
      <w:r>
        <w:rPr>
          <w:rFonts w:hint="eastAsia" w:ascii="宋体" w:hAnsi="宋体" w:eastAsia="宋体" w:cs="宋体"/>
          <w:kern w:val="2"/>
          <w:sz w:val="26"/>
          <w:szCs w:val="26"/>
          <w:lang w:val="en-US" w:eastAsia="zh-CN" w:bidi="ar-SA"/>
        </w:rPr>
        <w:t>2.5 检测报告质量控制</w:t>
      </w:r>
    </w:p>
    <w:p w14:paraId="72910D4E">
      <w:pPr>
        <w:pStyle w:val="24"/>
        <w:keepNext w:val="0"/>
        <w:keepLines w:val="0"/>
        <w:pageBreakBefore w:val="0"/>
        <w:widowControl w:val="0"/>
        <w:kinsoku/>
        <w:wordWrap/>
        <w:overflowPunct/>
        <w:topLinePunct w:val="0"/>
        <w:autoSpaceDE/>
        <w:autoSpaceDN/>
        <w:bidi w:val="0"/>
        <w:adjustRightInd/>
        <w:snapToGrid/>
        <w:spacing w:line="560" w:lineRule="exact"/>
        <w:ind w:left="-420" w:leftChars="-200" w:firstLine="560"/>
        <w:textAlignment w:val="auto"/>
        <w:outlineLvl w:val="9"/>
        <w:rPr>
          <w:rFonts w:hint="eastAsia" w:ascii="宋体" w:hAnsi="宋体" w:eastAsia="宋体" w:cs="宋体"/>
          <w:kern w:val="2"/>
          <w:sz w:val="26"/>
          <w:szCs w:val="26"/>
          <w:lang w:val="en-US" w:eastAsia="zh-CN" w:bidi="ar-SA"/>
        </w:rPr>
      </w:pPr>
      <w:r>
        <w:rPr>
          <w:rFonts w:hint="eastAsia" w:ascii="宋体" w:hAnsi="宋体" w:eastAsia="宋体" w:cs="宋体"/>
          <w:kern w:val="2"/>
          <w:sz w:val="26"/>
          <w:szCs w:val="26"/>
          <w:lang w:val="en-US" w:eastAsia="zh-CN" w:bidi="ar-SA"/>
        </w:rPr>
        <w:t>2.5.1 检测报告编制人员、各级报告审查人员检查有关检测记录、检测方法、报告格式、结果判定是否满足要求，授权签字人对报告的正确性负责。</w:t>
      </w:r>
    </w:p>
    <w:p w14:paraId="71295312">
      <w:pPr>
        <w:pStyle w:val="24"/>
        <w:keepNext w:val="0"/>
        <w:keepLines w:val="0"/>
        <w:pageBreakBefore w:val="0"/>
        <w:widowControl w:val="0"/>
        <w:kinsoku/>
        <w:wordWrap/>
        <w:overflowPunct/>
        <w:topLinePunct w:val="0"/>
        <w:autoSpaceDE/>
        <w:autoSpaceDN/>
        <w:bidi w:val="0"/>
        <w:adjustRightInd/>
        <w:snapToGrid/>
        <w:spacing w:line="560" w:lineRule="exact"/>
        <w:ind w:left="-420" w:leftChars="-200" w:firstLine="560"/>
        <w:textAlignment w:val="auto"/>
        <w:outlineLvl w:val="9"/>
        <w:rPr>
          <w:rFonts w:hint="eastAsia" w:ascii="宋体" w:hAnsi="宋体" w:eastAsia="宋体" w:cs="宋体"/>
          <w:kern w:val="2"/>
          <w:sz w:val="26"/>
          <w:szCs w:val="26"/>
          <w:lang w:val="en-US" w:eastAsia="zh-CN" w:bidi="ar-SA"/>
        </w:rPr>
      </w:pPr>
      <w:r>
        <w:rPr>
          <w:rFonts w:hint="eastAsia" w:ascii="宋体" w:hAnsi="宋体" w:eastAsia="宋体" w:cs="宋体"/>
          <w:kern w:val="2"/>
          <w:sz w:val="26"/>
          <w:szCs w:val="26"/>
          <w:lang w:val="en-US" w:eastAsia="zh-CN" w:bidi="ar-SA"/>
        </w:rPr>
        <w:t>2.5.2 报告检查中，无论哪个环节发现问题，及时反馈，及时纠正，实现对报告质量的有效控制。</w:t>
      </w:r>
    </w:p>
    <w:p w14:paraId="2FDF7530">
      <w:pPr>
        <w:pStyle w:val="24"/>
        <w:keepNext w:val="0"/>
        <w:keepLines w:val="0"/>
        <w:pageBreakBefore w:val="0"/>
        <w:widowControl w:val="0"/>
        <w:kinsoku/>
        <w:wordWrap/>
        <w:overflowPunct/>
        <w:topLinePunct w:val="0"/>
        <w:autoSpaceDE/>
        <w:autoSpaceDN/>
        <w:bidi w:val="0"/>
        <w:adjustRightInd/>
        <w:snapToGrid/>
        <w:spacing w:line="560" w:lineRule="exact"/>
        <w:ind w:left="-420" w:leftChars="-200" w:firstLine="560"/>
        <w:textAlignment w:val="auto"/>
        <w:outlineLvl w:val="9"/>
        <w:rPr>
          <w:rFonts w:hint="eastAsia" w:ascii="宋体" w:hAnsi="宋体" w:eastAsia="宋体" w:cs="宋体"/>
          <w:kern w:val="2"/>
          <w:sz w:val="26"/>
          <w:szCs w:val="26"/>
          <w:lang w:val="en-US" w:eastAsia="zh-CN" w:bidi="ar-SA"/>
        </w:rPr>
      </w:pPr>
      <w:r>
        <w:rPr>
          <w:rFonts w:hint="eastAsia" w:ascii="宋体" w:hAnsi="宋体" w:eastAsia="宋体" w:cs="宋体"/>
          <w:kern w:val="2"/>
          <w:sz w:val="26"/>
          <w:szCs w:val="26"/>
          <w:lang w:val="en-US" w:eastAsia="zh-CN" w:bidi="ar-SA"/>
        </w:rPr>
        <w:t>（三）在线运维质量保证与质量控制措施</w:t>
      </w:r>
    </w:p>
    <w:p w14:paraId="25757D92">
      <w:pPr>
        <w:pStyle w:val="24"/>
        <w:keepNext w:val="0"/>
        <w:keepLines w:val="0"/>
        <w:pageBreakBefore w:val="0"/>
        <w:widowControl w:val="0"/>
        <w:kinsoku/>
        <w:wordWrap/>
        <w:overflowPunct/>
        <w:topLinePunct w:val="0"/>
        <w:autoSpaceDE/>
        <w:autoSpaceDN/>
        <w:bidi w:val="0"/>
        <w:adjustRightInd/>
        <w:snapToGrid/>
        <w:spacing w:line="560" w:lineRule="exact"/>
        <w:ind w:left="-420" w:leftChars="-200" w:firstLine="560"/>
        <w:textAlignment w:val="auto"/>
        <w:outlineLvl w:val="9"/>
        <w:rPr>
          <w:rFonts w:hint="eastAsia" w:ascii="宋体" w:hAnsi="宋体" w:eastAsia="宋体" w:cs="宋体"/>
          <w:kern w:val="2"/>
          <w:sz w:val="26"/>
          <w:szCs w:val="26"/>
          <w:lang w:val="en-US" w:eastAsia="zh-CN" w:bidi="ar-SA"/>
        </w:rPr>
      </w:pPr>
      <w:r>
        <w:rPr>
          <w:rFonts w:hint="eastAsia" w:ascii="宋体" w:hAnsi="宋体" w:eastAsia="宋体" w:cs="宋体"/>
          <w:kern w:val="2"/>
          <w:sz w:val="26"/>
          <w:szCs w:val="26"/>
          <w:lang w:val="en-US" w:eastAsia="zh-CN" w:bidi="ar-SA"/>
        </w:rPr>
        <w:t>对水污染源在线监测系统各监测仪每月进行不少于一次手动/自动校准，至少进行一次实际水样比对试验和质控样试验，对上位机数据、仪表数据、数采仪数据、在线平台数据进行不少于一次的一致性比对、校准。</w:t>
      </w:r>
    </w:p>
    <w:p w14:paraId="731CDA2A">
      <w:pPr>
        <w:pStyle w:val="24"/>
        <w:keepNext w:val="0"/>
        <w:keepLines w:val="0"/>
        <w:pageBreakBefore w:val="0"/>
        <w:widowControl w:val="0"/>
        <w:kinsoku/>
        <w:wordWrap/>
        <w:overflowPunct/>
        <w:topLinePunct w:val="0"/>
        <w:autoSpaceDE/>
        <w:autoSpaceDN/>
        <w:bidi w:val="0"/>
        <w:adjustRightInd/>
        <w:snapToGrid/>
        <w:spacing w:line="560" w:lineRule="exact"/>
        <w:ind w:left="-420" w:leftChars="-200" w:firstLine="560"/>
        <w:textAlignment w:val="auto"/>
        <w:outlineLvl w:val="9"/>
        <w:rPr>
          <w:rFonts w:hint="eastAsia" w:ascii="宋体" w:hAnsi="宋体" w:eastAsia="宋体" w:cs="宋体"/>
          <w:kern w:val="2"/>
          <w:sz w:val="26"/>
          <w:szCs w:val="26"/>
          <w:lang w:val="en-US" w:eastAsia="zh-CN" w:bidi="ar-SA"/>
        </w:rPr>
      </w:pPr>
      <w:r>
        <w:rPr>
          <w:rFonts w:hint="eastAsia" w:ascii="宋体" w:hAnsi="宋体" w:eastAsia="宋体" w:cs="宋体"/>
          <w:kern w:val="2"/>
          <w:sz w:val="26"/>
          <w:szCs w:val="26"/>
          <w:lang w:val="en-US" w:eastAsia="zh-CN" w:bidi="ar-SA"/>
        </w:rPr>
        <w:t>1、运维技术要求</w:t>
      </w:r>
    </w:p>
    <w:p w14:paraId="207BCCA4">
      <w:pPr>
        <w:pStyle w:val="24"/>
        <w:keepNext w:val="0"/>
        <w:keepLines w:val="0"/>
        <w:pageBreakBefore w:val="0"/>
        <w:widowControl w:val="0"/>
        <w:kinsoku/>
        <w:wordWrap/>
        <w:overflowPunct/>
        <w:topLinePunct w:val="0"/>
        <w:autoSpaceDE/>
        <w:autoSpaceDN/>
        <w:bidi w:val="0"/>
        <w:adjustRightInd/>
        <w:snapToGrid/>
        <w:spacing w:line="560" w:lineRule="exact"/>
        <w:ind w:left="-420" w:leftChars="-200" w:firstLine="560"/>
        <w:textAlignment w:val="auto"/>
        <w:outlineLvl w:val="9"/>
        <w:rPr>
          <w:rFonts w:hint="eastAsia" w:ascii="宋体" w:hAnsi="宋体" w:eastAsia="宋体" w:cs="宋体"/>
          <w:kern w:val="2"/>
          <w:sz w:val="26"/>
          <w:szCs w:val="26"/>
          <w:lang w:val="en-US" w:eastAsia="zh-CN" w:bidi="ar-SA"/>
        </w:rPr>
      </w:pPr>
      <w:r>
        <w:rPr>
          <w:rFonts w:hint="eastAsia" w:ascii="宋体" w:hAnsi="宋体" w:eastAsia="宋体" w:cs="宋体"/>
          <w:kern w:val="2"/>
          <w:sz w:val="26"/>
          <w:szCs w:val="26"/>
          <w:lang w:val="en-US" w:eastAsia="zh-CN" w:bidi="ar-SA"/>
        </w:rPr>
        <w:t>对 CODCr、TOC、NH3-N、TP、TN 水质自动分析仪按照 HJ-355 的要求定期进行自动标样核查和自动校准，自动标样核查结果应满足HJ-355表1要求。</w:t>
      </w:r>
    </w:p>
    <w:p w14:paraId="6CFCDE8B">
      <w:pPr>
        <w:pStyle w:val="24"/>
        <w:keepNext w:val="0"/>
        <w:keepLines w:val="0"/>
        <w:pageBreakBefore w:val="0"/>
        <w:widowControl w:val="0"/>
        <w:kinsoku/>
        <w:wordWrap/>
        <w:overflowPunct/>
        <w:topLinePunct w:val="0"/>
        <w:autoSpaceDE/>
        <w:autoSpaceDN/>
        <w:bidi w:val="0"/>
        <w:adjustRightInd/>
        <w:snapToGrid/>
        <w:spacing w:line="560" w:lineRule="exact"/>
        <w:ind w:left="-420" w:leftChars="-200" w:firstLine="560"/>
        <w:textAlignment w:val="auto"/>
        <w:outlineLvl w:val="9"/>
        <w:rPr>
          <w:rFonts w:hint="eastAsia" w:ascii="宋体" w:hAnsi="宋体" w:eastAsia="宋体" w:cs="宋体"/>
          <w:kern w:val="2"/>
          <w:sz w:val="26"/>
          <w:szCs w:val="26"/>
          <w:lang w:val="en-US" w:eastAsia="zh-CN" w:bidi="ar-SA"/>
        </w:rPr>
      </w:pPr>
      <w:r>
        <w:rPr>
          <w:rFonts w:hint="eastAsia" w:ascii="宋体" w:hAnsi="宋体" w:eastAsia="宋体" w:cs="宋体"/>
          <w:kern w:val="2"/>
          <w:sz w:val="26"/>
          <w:szCs w:val="26"/>
          <w:lang w:val="en-US" w:eastAsia="zh-CN" w:bidi="ar-SA"/>
        </w:rPr>
        <w:t>对 CODCr、TOC、NH3-N、TP、TN、pH 水质自动分析仪、温度计及超声波明渠流量计按照HJ-355要求定期进行实际水样比对试验，比对试验结果应满足HJ-355表1的要求，实际水样国家环境监测分析方法标准。</w:t>
      </w:r>
    </w:p>
    <w:p w14:paraId="519A6E3E">
      <w:pPr>
        <w:pStyle w:val="24"/>
        <w:keepNext w:val="0"/>
        <w:keepLines w:val="0"/>
        <w:pageBreakBefore w:val="0"/>
        <w:widowControl w:val="0"/>
        <w:kinsoku/>
        <w:wordWrap/>
        <w:overflowPunct/>
        <w:topLinePunct w:val="0"/>
        <w:autoSpaceDE/>
        <w:autoSpaceDN/>
        <w:bidi w:val="0"/>
        <w:adjustRightInd/>
        <w:snapToGrid/>
        <w:spacing w:line="560" w:lineRule="exact"/>
        <w:ind w:left="-420" w:leftChars="-200" w:firstLine="560"/>
        <w:textAlignment w:val="auto"/>
        <w:outlineLvl w:val="9"/>
        <w:rPr>
          <w:rFonts w:hint="eastAsia" w:ascii="宋体" w:hAnsi="宋体" w:eastAsia="宋体" w:cs="宋体"/>
          <w:kern w:val="2"/>
          <w:sz w:val="26"/>
          <w:szCs w:val="26"/>
          <w:lang w:val="en-US" w:eastAsia="zh-CN" w:bidi="ar-SA"/>
        </w:rPr>
      </w:pPr>
      <w:r>
        <w:rPr>
          <w:rFonts w:hint="eastAsia" w:ascii="宋体" w:hAnsi="宋体" w:eastAsia="宋体" w:cs="宋体"/>
          <w:kern w:val="2"/>
          <w:sz w:val="26"/>
          <w:szCs w:val="26"/>
          <w:lang w:val="en-US" w:eastAsia="zh-CN" w:bidi="ar-SA"/>
        </w:rPr>
        <w:t>2、校验、比对试验和质控样测试工作要求。</w:t>
      </w:r>
    </w:p>
    <w:p w14:paraId="237AE23B">
      <w:pPr>
        <w:pStyle w:val="24"/>
        <w:keepNext w:val="0"/>
        <w:keepLines w:val="0"/>
        <w:pageBreakBefore w:val="0"/>
        <w:widowControl w:val="0"/>
        <w:kinsoku/>
        <w:wordWrap/>
        <w:overflowPunct/>
        <w:topLinePunct w:val="0"/>
        <w:autoSpaceDE/>
        <w:autoSpaceDN/>
        <w:bidi w:val="0"/>
        <w:adjustRightInd/>
        <w:snapToGrid/>
        <w:spacing w:line="560" w:lineRule="exact"/>
        <w:ind w:left="-420" w:leftChars="-200" w:firstLine="560"/>
        <w:textAlignment w:val="auto"/>
        <w:outlineLvl w:val="9"/>
        <w:rPr>
          <w:rFonts w:hint="eastAsia" w:ascii="宋体" w:hAnsi="宋体" w:eastAsia="宋体" w:cs="宋体"/>
          <w:kern w:val="2"/>
          <w:sz w:val="26"/>
          <w:szCs w:val="26"/>
          <w:lang w:val="en-US" w:eastAsia="zh-CN" w:bidi="ar-SA"/>
        </w:rPr>
      </w:pPr>
      <w:r>
        <w:rPr>
          <w:rFonts w:hint="eastAsia" w:ascii="宋体" w:hAnsi="宋体" w:eastAsia="宋体" w:cs="宋体"/>
          <w:kern w:val="2"/>
          <w:sz w:val="26"/>
          <w:szCs w:val="26"/>
          <w:lang w:val="en-US" w:eastAsia="zh-CN" w:bidi="ar-SA"/>
        </w:rPr>
        <w:t>2.1必要时对设备进行量程漂移、零点漂移和重复性测试。</w:t>
      </w:r>
    </w:p>
    <w:p w14:paraId="577A06E0">
      <w:pPr>
        <w:pStyle w:val="24"/>
        <w:keepNext w:val="0"/>
        <w:keepLines w:val="0"/>
        <w:pageBreakBefore w:val="0"/>
        <w:widowControl w:val="0"/>
        <w:kinsoku/>
        <w:wordWrap/>
        <w:overflowPunct/>
        <w:topLinePunct w:val="0"/>
        <w:autoSpaceDE/>
        <w:autoSpaceDN/>
        <w:bidi w:val="0"/>
        <w:adjustRightInd/>
        <w:snapToGrid/>
        <w:spacing w:line="560" w:lineRule="exact"/>
        <w:ind w:left="-420" w:leftChars="-200" w:firstLine="560"/>
        <w:textAlignment w:val="auto"/>
        <w:outlineLvl w:val="9"/>
        <w:rPr>
          <w:rFonts w:hint="eastAsia" w:ascii="宋体" w:hAnsi="宋体" w:eastAsia="宋体" w:cs="宋体"/>
          <w:kern w:val="2"/>
          <w:sz w:val="26"/>
          <w:szCs w:val="26"/>
          <w:lang w:val="en-US" w:eastAsia="zh-CN" w:bidi="ar-SA"/>
        </w:rPr>
      </w:pPr>
      <w:r>
        <w:rPr>
          <w:rFonts w:hint="eastAsia" w:ascii="宋体" w:hAnsi="宋体" w:eastAsia="宋体" w:cs="宋体"/>
          <w:kern w:val="2"/>
          <w:sz w:val="26"/>
          <w:szCs w:val="26"/>
          <w:lang w:val="en-US" w:eastAsia="zh-CN" w:bidi="ar-SA"/>
        </w:rPr>
        <w:t>（1）CODCr自动监测仪的量程漂移、零点漂移和重复性测试方法见HJ377-2019《化学需氧量（CODCr）水质在线自动监测仪技术要求及检测方法》。</w:t>
      </w:r>
    </w:p>
    <w:p w14:paraId="492A19E3">
      <w:pPr>
        <w:pStyle w:val="24"/>
        <w:keepNext w:val="0"/>
        <w:keepLines w:val="0"/>
        <w:pageBreakBefore w:val="0"/>
        <w:widowControl w:val="0"/>
        <w:kinsoku/>
        <w:wordWrap/>
        <w:overflowPunct/>
        <w:topLinePunct w:val="0"/>
        <w:autoSpaceDE/>
        <w:autoSpaceDN/>
        <w:bidi w:val="0"/>
        <w:adjustRightInd/>
        <w:snapToGrid/>
        <w:spacing w:line="560" w:lineRule="exact"/>
        <w:ind w:left="-420" w:leftChars="-200" w:firstLine="560"/>
        <w:textAlignment w:val="auto"/>
        <w:outlineLvl w:val="9"/>
        <w:rPr>
          <w:rFonts w:hint="eastAsia" w:ascii="宋体" w:hAnsi="宋体" w:eastAsia="宋体" w:cs="宋体"/>
          <w:kern w:val="2"/>
          <w:sz w:val="26"/>
          <w:szCs w:val="26"/>
          <w:lang w:val="en-US" w:eastAsia="zh-CN" w:bidi="ar-SA"/>
        </w:rPr>
      </w:pPr>
      <w:r>
        <w:rPr>
          <w:rFonts w:hint="eastAsia" w:ascii="宋体" w:hAnsi="宋体" w:eastAsia="宋体" w:cs="宋体"/>
          <w:kern w:val="2"/>
          <w:sz w:val="26"/>
          <w:szCs w:val="26"/>
          <w:lang w:val="en-US" w:eastAsia="zh-CN" w:bidi="ar-SA"/>
        </w:rPr>
        <w:t>（2）氨氮自动监测仪的量程漂移、零点漂移和重复性测试方法详见HJ/T101-2019《氨氮水质在线自动监测仪技术要求及检测方法》</w:t>
      </w:r>
    </w:p>
    <w:p w14:paraId="664B4642">
      <w:pPr>
        <w:pStyle w:val="24"/>
        <w:keepNext w:val="0"/>
        <w:keepLines w:val="0"/>
        <w:pageBreakBefore w:val="0"/>
        <w:widowControl w:val="0"/>
        <w:kinsoku/>
        <w:wordWrap/>
        <w:overflowPunct/>
        <w:topLinePunct w:val="0"/>
        <w:autoSpaceDE/>
        <w:autoSpaceDN/>
        <w:bidi w:val="0"/>
        <w:adjustRightInd/>
        <w:snapToGrid/>
        <w:spacing w:line="560" w:lineRule="exact"/>
        <w:ind w:left="-420" w:leftChars="-200" w:firstLine="560"/>
        <w:textAlignment w:val="auto"/>
        <w:outlineLvl w:val="9"/>
        <w:rPr>
          <w:rFonts w:hint="eastAsia" w:ascii="宋体" w:hAnsi="宋体" w:eastAsia="宋体" w:cs="宋体"/>
          <w:kern w:val="2"/>
          <w:sz w:val="26"/>
          <w:szCs w:val="26"/>
          <w:lang w:val="en-US" w:eastAsia="zh-CN" w:bidi="ar-SA"/>
        </w:rPr>
      </w:pPr>
      <w:r>
        <w:rPr>
          <w:rFonts w:hint="eastAsia" w:ascii="宋体" w:hAnsi="宋体" w:eastAsia="宋体" w:cs="宋体"/>
          <w:kern w:val="2"/>
          <w:sz w:val="26"/>
          <w:szCs w:val="26"/>
          <w:lang w:val="en-US" w:eastAsia="zh-CN" w:bidi="ar-SA"/>
        </w:rPr>
        <w:t>（3）总磷总氮的量程漂移、零点漂移和重复性测试方法见HJ103-03《总磷水质自动分析仪技术要求》、HJ102-03《总氮水质自动分析仪技术要求》，具体操作参照各仪器使用说明书。</w:t>
      </w:r>
    </w:p>
    <w:p w14:paraId="5AFEE799">
      <w:pPr>
        <w:pStyle w:val="24"/>
        <w:keepNext w:val="0"/>
        <w:keepLines w:val="0"/>
        <w:pageBreakBefore w:val="0"/>
        <w:widowControl w:val="0"/>
        <w:kinsoku/>
        <w:wordWrap/>
        <w:overflowPunct/>
        <w:topLinePunct w:val="0"/>
        <w:autoSpaceDE/>
        <w:autoSpaceDN/>
        <w:bidi w:val="0"/>
        <w:adjustRightInd/>
        <w:snapToGrid/>
        <w:spacing w:line="560" w:lineRule="exact"/>
        <w:ind w:left="-420" w:leftChars="-200" w:firstLine="560"/>
        <w:textAlignment w:val="auto"/>
        <w:outlineLvl w:val="9"/>
        <w:rPr>
          <w:rFonts w:hint="eastAsia" w:ascii="宋体" w:hAnsi="宋体" w:eastAsia="宋体" w:cs="宋体"/>
          <w:kern w:val="2"/>
          <w:sz w:val="26"/>
          <w:szCs w:val="26"/>
          <w:lang w:val="en-US" w:eastAsia="zh-CN" w:bidi="ar-SA"/>
        </w:rPr>
      </w:pPr>
      <w:r>
        <w:rPr>
          <w:rFonts w:hint="eastAsia" w:ascii="宋体" w:hAnsi="宋体" w:eastAsia="宋体" w:cs="宋体"/>
          <w:kern w:val="2"/>
          <w:sz w:val="26"/>
          <w:szCs w:val="26"/>
          <w:lang w:val="en-US" w:eastAsia="zh-CN" w:bidi="ar-SA"/>
        </w:rPr>
        <w:t>（4）操作参照各仪器使用说明书。</w:t>
      </w:r>
    </w:p>
    <w:p w14:paraId="15C2A9FF">
      <w:pPr>
        <w:pStyle w:val="24"/>
        <w:keepNext w:val="0"/>
        <w:keepLines w:val="0"/>
        <w:pageBreakBefore w:val="0"/>
        <w:widowControl w:val="0"/>
        <w:kinsoku/>
        <w:wordWrap/>
        <w:overflowPunct/>
        <w:topLinePunct w:val="0"/>
        <w:autoSpaceDE/>
        <w:autoSpaceDN/>
        <w:bidi w:val="0"/>
        <w:adjustRightInd/>
        <w:snapToGrid/>
        <w:spacing w:line="560" w:lineRule="exact"/>
        <w:ind w:left="-420" w:leftChars="-200" w:firstLine="560"/>
        <w:textAlignment w:val="auto"/>
        <w:outlineLvl w:val="9"/>
        <w:rPr>
          <w:rFonts w:hint="eastAsia" w:ascii="宋体" w:hAnsi="宋体" w:eastAsia="宋体" w:cs="宋体"/>
          <w:kern w:val="2"/>
          <w:sz w:val="26"/>
          <w:szCs w:val="26"/>
          <w:lang w:val="en-US" w:eastAsia="zh-CN" w:bidi="ar-SA"/>
        </w:rPr>
      </w:pPr>
      <w:r>
        <w:rPr>
          <w:rFonts w:hint="eastAsia" w:ascii="宋体" w:hAnsi="宋体" w:eastAsia="宋体" w:cs="宋体"/>
          <w:kern w:val="2"/>
          <w:sz w:val="26"/>
          <w:szCs w:val="26"/>
          <w:lang w:val="en-US" w:eastAsia="zh-CN" w:bidi="ar-SA"/>
        </w:rPr>
        <w:t>3、与标准方法比对试验</w:t>
      </w:r>
    </w:p>
    <w:p w14:paraId="3D7B173C">
      <w:pPr>
        <w:pStyle w:val="24"/>
        <w:keepNext w:val="0"/>
        <w:keepLines w:val="0"/>
        <w:pageBreakBefore w:val="0"/>
        <w:widowControl w:val="0"/>
        <w:kinsoku/>
        <w:wordWrap/>
        <w:overflowPunct/>
        <w:topLinePunct w:val="0"/>
        <w:autoSpaceDE/>
        <w:autoSpaceDN/>
        <w:bidi w:val="0"/>
        <w:adjustRightInd/>
        <w:snapToGrid/>
        <w:spacing w:line="560" w:lineRule="exact"/>
        <w:ind w:left="-420" w:leftChars="-200" w:firstLine="560"/>
        <w:textAlignment w:val="auto"/>
        <w:outlineLvl w:val="9"/>
        <w:rPr>
          <w:rFonts w:hint="eastAsia" w:ascii="宋体" w:hAnsi="宋体" w:eastAsia="宋体" w:cs="宋体"/>
          <w:kern w:val="2"/>
          <w:sz w:val="26"/>
          <w:szCs w:val="26"/>
          <w:lang w:val="en-US" w:eastAsia="zh-CN" w:bidi="ar-SA"/>
        </w:rPr>
      </w:pPr>
      <w:r>
        <w:rPr>
          <w:rFonts w:hint="eastAsia" w:ascii="宋体" w:hAnsi="宋体" w:eastAsia="宋体" w:cs="宋体"/>
          <w:kern w:val="2"/>
          <w:sz w:val="26"/>
          <w:szCs w:val="26"/>
          <w:lang w:val="en-US" w:eastAsia="zh-CN" w:bidi="ar-SA"/>
        </w:rPr>
        <w:t>除流量外，运维人员每月应对每个站点所有自动分析仪至少进行1次自动监测方法与实验室标准方法的比对试验，试验结果应满足HJ 355表1规定的要求。</w:t>
      </w:r>
    </w:p>
    <w:p w14:paraId="1D4B6E2B">
      <w:pPr>
        <w:pStyle w:val="24"/>
        <w:keepNext w:val="0"/>
        <w:keepLines w:val="0"/>
        <w:pageBreakBefore w:val="0"/>
        <w:widowControl w:val="0"/>
        <w:kinsoku/>
        <w:wordWrap/>
        <w:overflowPunct/>
        <w:topLinePunct w:val="0"/>
        <w:autoSpaceDE/>
        <w:autoSpaceDN/>
        <w:bidi w:val="0"/>
        <w:adjustRightInd/>
        <w:snapToGrid/>
        <w:spacing w:line="560" w:lineRule="exact"/>
        <w:ind w:left="-420" w:leftChars="-200" w:firstLine="560"/>
        <w:textAlignment w:val="auto"/>
        <w:outlineLvl w:val="9"/>
        <w:rPr>
          <w:rFonts w:hint="eastAsia" w:ascii="宋体" w:hAnsi="宋体" w:eastAsia="宋体" w:cs="宋体"/>
          <w:kern w:val="2"/>
          <w:sz w:val="26"/>
          <w:szCs w:val="26"/>
          <w:lang w:val="en-US" w:eastAsia="zh-CN" w:bidi="ar-SA"/>
        </w:rPr>
      </w:pPr>
      <w:r>
        <w:rPr>
          <w:rFonts w:hint="eastAsia" w:ascii="宋体" w:hAnsi="宋体" w:eastAsia="宋体" w:cs="宋体"/>
          <w:kern w:val="2"/>
          <w:sz w:val="26"/>
          <w:szCs w:val="26"/>
          <w:lang w:val="en-US" w:eastAsia="zh-CN" w:bidi="ar-SA"/>
        </w:rPr>
        <w:t>4、质控样试验</w:t>
      </w:r>
    </w:p>
    <w:p w14:paraId="2EE18841">
      <w:pPr>
        <w:pStyle w:val="24"/>
        <w:keepNext w:val="0"/>
        <w:keepLines w:val="0"/>
        <w:pageBreakBefore w:val="0"/>
        <w:widowControl w:val="0"/>
        <w:kinsoku/>
        <w:wordWrap/>
        <w:overflowPunct/>
        <w:topLinePunct w:val="0"/>
        <w:autoSpaceDE/>
        <w:autoSpaceDN/>
        <w:bidi w:val="0"/>
        <w:adjustRightInd/>
        <w:snapToGrid/>
        <w:spacing w:line="560" w:lineRule="exact"/>
        <w:ind w:left="-420" w:leftChars="-200" w:firstLine="560"/>
        <w:textAlignment w:val="auto"/>
        <w:outlineLvl w:val="9"/>
        <w:rPr>
          <w:rFonts w:hint="eastAsia" w:ascii="宋体" w:hAnsi="宋体" w:eastAsia="宋体" w:cs="宋体"/>
          <w:kern w:val="2"/>
          <w:sz w:val="26"/>
          <w:szCs w:val="26"/>
          <w:lang w:val="en-US" w:eastAsia="zh-CN" w:bidi="ar-SA"/>
        </w:rPr>
      </w:pPr>
      <w:r>
        <w:rPr>
          <w:rFonts w:hint="eastAsia" w:ascii="宋体" w:hAnsi="宋体" w:eastAsia="宋体" w:cs="宋体"/>
          <w:kern w:val="2"/>
          <w:sz w:val="26"/>
          <w:szCs w:val="26"/>
          <w:lang w:val="en-US" w:eastAsia="zh-CN" w:bidi="ar-SA"/>
        </w:rPr>
        <w:t>运维人员每月应对每个站点所有自动分析仪至少进行1次质控样试验，采用国家认可的两种浓度的质控样进行试验，一种为接近废水浓度的质控样品，另一种为超过相应排放标准浓度的质控样品，每种样品至少测定2次，质控样测定的相对误差不大于标准值的±10%。</w:t>
      </w:r>
    </w:p>
    <w:p w14:paraId="1C1E5D6C">
      <w:pPr>
        <w:pStyle w:val="24"/>
        <w:keepNext w:val="0"/>
        <w:keepLines w:val="0"/>
        <w:pageBreakBefore w:val="0"/>
        <w:widowControl w:val="0"/>
        <w:kinsoku/>
        <w:wordWrap/>
        <w:overflowPunct/>
        <w:topLinePunct w:val="0"/>
        <w:autoSpaceDE/>
        <w:autoSpaceDN/>
        <w:bidi w:val="0"/>
        <w:adjustRightInd/>
        <w:snapToGrid/>
        <w:spacing w:line="560" w:lineRule="exact"/>
        <w:ind w:left="-420" w:leftChars="-200" w:firstLine="560"/>
        <w:textAlignment w:val="auto"/>
        <w:outlineLvl w:val="9"/>
        <w:rPr>
          <w:rFonts w:hint="eastAsia" w:ascii="宋体" w:hAnsi="宋体" w:eastAsia="宋体" w:cs="宋体"/>
          <w:kern w:val="2"/>
          <w:sz w:val="26"/>
          <w:szCs w:val="26"/>
          <w:lang w:val="en-US" w:eastAsia="zh-CN" w:bidi="ar-SA"/>
        </w:rPr>
      </w:pPr>
      <w:r>
        <w:rPr>
          <w:rFonts w:hint="eastAsia" w:ascii="宋体" w:hAnsi="宋体" w:eastAsia="宋体" w:cs="宋体"/>
          <w:kern w:val="2"/>
          <w:sz w:val="26"/>
          <w:szCs w:val="26"/>
          <w:lang w:val="en-US" w:eastAsia="zh-CN" w:bidi="ar-SA"/>
        </w:rPr>
        <w:t>5、有效数据率</w:t>
      </w:r>
    </w:p>
    <w:p w14:paraId="0F4FC9FB">
      <w:pPr>
        <w:pStyle w:val="24"/>
        <w:keepNext w:val="0"/>
        <w:keepLines w:val="0"/>
        <w:pageBreakBefore w:val="0"/>
        <w:widowControl w:val="0"/>
        <w:kinsoku/>
        <w:wordWrap/>
        <w:overflowPunct/>
        <w:topLinePunct w:val="0"/>
        <w:autoSpaceDE/>
        <w:autoSpaceDN/>
        <w:bidi w:val="0"/>
        <w:adjustRightInd/>
        <w:snapToGrid/>
        <w:spacing w:line="560" w:lineRule="exact"/>
        <w:ind w:left="-420" w:leftChars="-200" w:firstLine="560"/>
        <w:textAlignment w:val="auto"/>
        <w:outlineLvl w:val="9"/>
        <w:rPr>
          <w:rFonts w:hint="eastAsia" w:ascii="宋体" w:hAnsi="宋体" w:eastAsia="宋体" w:cs="宋体"/>
          <w:kern w:val="2"/>
          <w:sz w:val="26"/>
          <w:szCs w:val="26"/>
          <w:lang w:val="en-US" w:eastAsia="zh-CN" w:bidi="ar-SA"/>
        </w:rPr>
      </w:pPr>
      <w:r>
        <w:rPr>
          <w:rFonts w:hint="eastAsia" w:ascii="宋体" w:hAnsi="宋体" w:eastAsia="宋体" w:cs="宋体"/>
          <w:kern w:val="2"/>
          <w:sz w:val="26"/>
          <w:szCs w:val="26"/>
          <w:lang w:val="en-US" w:eastAsia="zh-CN" w:bidi="ar-SA"/>
        </w:rPr>
        <w:t>以月为周期，计算每个周期内水污染源在线监测仪实际获得的有效数据的个数占应获得的有效数据的个数的百分比不得小于 90%，有效数据的判定参见 HJ-356 的相关规定。</w:t>
      </w:r>
    </w:p>
    <w:p w14:paraId="0F3B82F7">
      <w:pPr>
        <w:pStyle w:val="24"/>
        <w:keepNext w:val="0"/>
        <w:keepLines w:val="0"/>
        <w:pageBreakBefore w:val="0"/>
        <w:widowControl w:val="0"/>
        <w:kinsoku/>
        <w:wordWrap/>
        <w:overflowPunct/>
        <w:topLinePunct w:val="0"/>
        <w:autoSpaceDE/>
        <w:autoSpaceDN/>
        <w:bidi w:val="0"/>
        <w:adjustRightInd/>
        <w:snapToGrid/>
        <w:spacing w:line="560" w:lineRule="exact"/>
        <w:ind w:left="-420" w:leftChars="-200" w:firstLine="560"/>
        <w:textAlignment w:val="auto"/>
        <w:outlineLvl w:val="9"/>
        <w:rPr>
          <w:rFonts w:hint="eastAsia" w:ascii="宋体" w:hAnsi="宋体" w:eastAsia="宋体" w:cs="宋体"/>
          <w:kern w:val="2"/>
          <w:sz w:val="26"/>
          <w:szCs w:val="26"/>
          <w:lang w:val="en-US" w:eastAsia="zh-CN" w:bidi="ar-SA"/>
        </w:rPr>
      </w:pPr>
      <w:r>
        <w:rPr>
          <w:rFonts w:hint="eastAsia" w:ascii="宋体" w:hAnsi="宋体" w:eastAsia="宋体" w:cs="宋体"/>
          <w:kern w:val="2"/>
          <w:sz w:val="26"/>
          <w:szCs w:val="26"/>
          <w:lang w:val="en-US" w:eastAsia="zh-CN" w:bidi="ar-SA"/>
        </w:rPr>
        <w:t>6、其他质量控制要求</w:t>
      </w:r>
    </w:p>
    <w:p w14:paraId="439A0DA0">
      <w:pPr>
        <w:pStyle w:val="24"/>
        <w:keepNext w:val="0"/>
        <w:keepLines w:val="0"/>
        <w:pageBreakBefore w:val="0"/>
        <w:widowControl w:val="0"/>
        <w:kinsoku/>
        <w:wordWrap/>
        <w:overflowPunct/>
        <w:topLinePunct w:val="0"/>
        <w:autoSpaceDE/>
        <w:autoSpaceDN/>
        <w:bidi w:val="0"/>
        <w:adjustRightInd/>
        <w:snapToGrid/>
        <w:spacing w:line="560" w:lineRule="exact"/>
        <w:ind w:left="-420" w:leftChars="-200" w:firstLine="560"/>
        <w:textAlignment w:val="auto"/>
        <w:outlineLvl w:val="9"/>
        <w:rPr>
          <w:rFonts w:hint="eastAsia" w:ascii="宋体" w:hAnsi="宋体" w:eastAsia="宋体" w:cs="宋体"/>
          <w:kern w:val="2"/>
          <w:sz w:val="26"/>
          <w:szCs w:val="26"/>
          <w:lang w:val="en-US" w:eastAsia="zh-CN" w:bidi="ar-SA"/>
        </w:rPr>
      </w:pPr>
      <w:r>
        <w:rPr>
          <w:rFonts w:hint="eastAsia" w:ascii="宋体" w:hAnsi="宋体" w:eastAsia="宋体" w:cs="宋体"/>
          <w:kern w:val="2"/>
          <w:sz w:val="26"/>
          <w:szCs w:val="26"/>
          <w:lang w:val="en-US" w:eastAsia="zh-CN" w:bidi="ar-SA"/>
        </w:rPr>
        <w:t>6.1 应按照 HJ-91.1、HJ-493 以及本标准的相关要求对水样分析、自动监测实施质量控制。</w:t>
      </w:r>
    </w:p>
    <w:p w14:paraId="7F9E913C">
      <w:pPr>
        <w:pStyle w:val="24"/>
        <w:keepNext w:val="0"/>
        <w:keepLines w:val="0"/>
        <w:pageBreakBefore w:val="0"/>
        <w:widowControl w:val="0"/>
        <w:kinsoku/>
        <w:wordWrap/>
        <w:overflowPunct/>
        <w:topLinePunct w:val="0"/>
        <w:autoSpaceDE/>
        <w:autoSpaceDN/>
        <w:bidi w:val="0"/>
        <w:adjustRightInd/>
        <w:snapToGrid/>
        <w:spacing w:line="560" w:lineRule="exact"/>
        <w:ind w:left="-420" w:leftChars="-200" w:firstLine="560"/>
        <w:textAlignment w:val="auto"/>
        <w:outlineLvl w:val="9"/>
        <w:rPr>
          <w:rFonts w:hint="eastAsia" w:ascii="宋体" w:hAnsi="宋体" w:eastAsia="宋体" w:cs="宋体"/>
          <w:kern w:val="2"/>
          <w:sz w:val="26"/>
          <w:szCs w:val="26"/>
          <w:lang w:val="en-US" w:eastAsia="zh-CN" w:bidi="ar-SA"/>
        </w:rPr>
      </w:pPr>
      <w:r>
        <w:rPr>
          <w:rFonts w:hint="eastAsia" w:ascii="宋体" w:hAnsi="宋体" w:eastAsia="宋体" w:cs="宋体"/>
          <w:kern w:val="2"/>
          <w:sz w:val="26"/>
          <w:szCs w:val="26"/>
          <w:lang w:val="en-US" w:eastAsia="zh-CN" w:bidi="ar-SA"/>
        </w:rPr>
        <w:t>6.2 对某一时段、某些异常水样，应不定期进行平行监测、加密监测和留样比对试验。</w:t>
      </w:r>
    </w:p>
    <w:p w14:paraId="502E28C2">
      <w:pPr>
        <w:pStyle w:val="24"/>
        <w:keepNext w:val="0"/>
        <w:keepLines w:val="0"/>
        <w:pageBreakBefore w:val="0"/>
        <w:widowControl w:val="0"/>
        <w:kinsoku/>
        <w:wordWrap/>
        <w:overflowPunct/>
        <w:topLinePunct w:val="0"/>
        <w:autoSpaceDE/>
        <w:autoSpaceDN/>
        <w:bidi w:val="0"/>
        <w:adjustRightInd/>
        <w:snapToGrid/>
        <w:spacing w:line="560" w:lineRule="exact"/>
        <w:ind w:left="-420" w:leftChars="-200" w:firstLine="560"/>
        <w:textAlignment w:val="auto"/>
        <w:outlineLvl w:val="9"/>
        <w:rPr>
          <w:rFonts w:hint="eastAsia" w:ascii="宋体" w:hAnsi="宋体" w:eastAsia="宋体" w:cs="宋体"/>
          <w:kern w:val="2"/>
          <w:sz w:val="26"/>
          <w:szCs w:val="26"/>
          <w:lang w:val="en-US" w:eastAsia="zh-CN" w:bidi="ar-SA"/>
        </w:rPr>
      </w:pPr>
      <w:r>
        <w:rPr>
          <w:rFonts w:hint="eastAsia" w:ascii="宋体" w:hAnsi="宋体" w:eastAsia="宋体" w:cs="宋体"/>
          <w:kern w:val="2"/>
          <w:sz w:val="26"/>
          <w:szCs w:val="26"/>
          <w:lang w:val="en-US" w:eastAsia="zh-CN" w:bidi="ar-SA"/>
        </w:rPr>
        <w:t>6.3 水污染源在线监测仪器所使用的标准溶液应正确保存且经有证的标准样品验证合格后方可使用。</w:t>
      </w:r>
    </w:p>
    <w:p w14:paraId="4A873DDB">
      <w:pPr>
        <w:pStyle w:val="24"/>
        <w:spacing w:line="240" w:lineRule="auto"/>
        <w:ind w:left="-420" w:leftChars="-200" w:firstLine="560"/>
        <w:outlineLvl w:val="1"/>
        <w:rPr>
          <w:rFonts w:ascii="宋体" w:hAnsi="宋体"/>
          <w:sz w:val="26"/>
          <w:szCs w:val="26"/>
          <w:lang w:val="en-US"/>
        </w:rPr>
      </w:pPr>
      <w:r>
        <w:rPr>
          <w:rFonts w:hint="eastAsia" w:ascii="宋体" w:hAnsi="宋体"/>
          <w:sz w:val="26"/>
          <w:szCs w:val="26"/>
          <w:lang w:val="en-US"/>
        </w:rPr>
        <w:t xml:space="preserve">八、监测信息公开 </w:t>
      </w:r>
    </w:p>
    <w:p w14:paraId="6E3BED75">
      <w:pPr>
        <w:pStyle w:val="24"/>
        <w:spacing w:line="240" w:lineRule="auto"/>
        <w:ind w:left="-420" w:leftChars="-200" w:firstLine="560"/>
        <w:outlineLvl w:val="1"/>
        <w:rPr>
          <w:rFonts w:hint="eastAsia" w:ascii="宋体" w:hAnsi="宋体" w:eastAsia="宋体"/>
          <w:sz w:val="26"/>
          <w:szCs w:val="26"/>
          <w:lang w:val="en-US" w:eastAsia="zh-CN"/>
        </w:rPr>
      </w:pPr>
      <w:r>
        <w:rPr>
          <w:rFonts w:hint="eastAsia" w:ascii="宋体" w:hAnsi="宋体"/>
          <w:sz w:val="26"/>
          <w:szCs w:val="26"/>
          <w:lang w:val="en-US"/>
        </w:rPr>
        <w:t>我公司在省市级环境保护主管部门统一组织建立的公布平台上公开自行监测信息，并至少保存五年。公开内容：企业基础信息和监测数据一并公布，若基础信息和自行监测方案有调整变化时，将在变更后的五日内公布。公开时限：监测数据将于每次监测完成后的次日公布，每年一月底前公布上年度自行监测年度报告</w:t>
      </w:r>
      <w:r>
        <w:rPr>
          <w:rFonts w:hint="eastAsia" w:ascii="宋体" w:hAnsi="宋体"/>
          <w:sz w:val="26"/>
          <w:szCs w:val="26"/>
          <w:lang w:val="en-US" w:eastAsia="zh-CN"/>
        </w:rPr>
        <w:t>。</w:t>
      </w:r>
    </w:p>
    <w:p w14:paraId="053E5B76">
      <w:pPr>
        <w:pStyle w:val="24"/>
        <w:spacing w:line="240" w:lineRule="auto"/>
        <w:ind w:left="-420" w:leftChars="-200" w:firstLine="560"/>
        <w:outlineLvl w:val="1"/>
        <w:rPr>
          <w:rFonts w:hint="eastAsia" w:ascii="宋体" w:hAnsi="宋体"/>
          <w:sz w:val="26"/>
          <w:szCs w:val="26"/>
          <w:lang w:val="en-US"/>
        </w:rPr>
      </w:pPr>
    </w:p>
    <w:p w14:paraId="61DDA523">
      <w:pPr>
        <w:pStyle w:val="24"/>
        <w:spacing w:line="240" w:lineRule="auto"/>
        <w:ind w:left="-420" w:leftChars="-200" w:firstLine="560"/>
        <w:outlineLvl w:val="1"/>
        <w:rPr>
          <w:rFonts w:hint="eastAsia" w:ascii="宋体" w:hAnsi="宋体"/>
          <w:sz w:val="26"/>
          <w:szCs w:val="26"/>
          <w:lang w:val="en-US"/>
        </w:rPr>
      </w:pPr>
    </w:p>
    <w:p w14:paraId="060F967E">
      <w:pPr>
        <w:pStyle w:val="24"/>
        <w:spacing w:line="240" w:lineRule="auto"/>
        <w:ind w:left="-420" w:leftChars="-200" w:firstLine="4480" w:firstLineChars="1600"/>
        <w:outlineLvl w:val="1"/>
        <w:rPr>
          <w:rFonts w:hint="eastAsia" w:ascii="宋体" w:hAnsi="宋体"/>
          <w:sz w:val="28"/>
          <w:szCs w:val="28"/>
          <w:lang w:val="en-US" w:eastAsia="zh-CN"/>
        </w:rPr>
      </w:pPr>
      <w:r>
        <w:rPr>
          <w:rFonts w:hint="eastAsia" w:ascii="宋体" w:hAnsi="宋体"/>
          <w:sz w:val="28"/>
          <w:szCs w:val="28"/>
          <w:lang w:val="en-US" w:eastAsia="zh-CN"/>
        </w:rPr>
        <w:t xml:space="preserve">   江西洪城水业环保有限公司</w:t>
      </w:r>
    </w:p>
    <w:p w14:paraId="0CA6774A">
      <w:pPr>
        <w:pStyle w:val="24"/>
        <w:keepNext w:val="0"/>
        <w:keepLines w:val="0"/>
        <w:pageBreakBefore w:val="0"/>
        <w:widowControl w:val="0"/>
        <w:kinsoku/>
        <w:wordWrap/>
        <w:overflowPunct/>
        <w:topLinePunct w:val="0"/>
        <w:autoSpaceDE/>
        <w:autoSpaceDN/>
        <w:bidi w:val="0"/>
        <w:adjustRightInd/>
        <w:snapToGrid/>
        <w:spacing w:line="560" w:lineRule="exact"/>
        <w:ind w:firstLine="6440" w:firstLineChars="2300"/>
        <w:textAlignment w:val="auto"/>
        <w:outlineLvl w:val="9"/>
        <w:rPr>
          <w:rFonts w:hint="eastAsia" w:ascii="宋体" w:hAnsi="宋体"/>
          <w:sz w:val="28"/>
          <w:szCs w:val="28"/>
          <w:lang w:val="en-US" w:eastAsia="zh-CN"/>
        </w:rPr>
      </w:pPr>
      <w:r>
        <w:rPr>
          <w:rFonts w:hint="eastAsia" w:ascii="宋体" w:hAnsi="宋体"/>
          <w:sz w:val="28"/>
          <w:szCs w:val="28"/>
          <w:lang w:val="en-US" w:eastAsia="zh-CN"/>
        </w:rPr>
        <w:t>泰和分公司</w:t>
      </w:r>
    </w:p>
    <w:p w14:paraId="1D14D4D6">
      <w:pPr>
        <w:pStyle w:val="24"/>
        <w:keepNext w:val="0"/>
        <w:keepLines w:val="0"/>
        <w:pageBreakBefore w:val="0"/>
        <w:widowControl w:val="0"/>
        <w:kinsoku/>
        <w:wordWrap/>
        <w:overflowPunct/>
        <w:topLinePunct w:val="0"/>
        <w:autoSpaceDE/>
        <w:autoSpaceDN/>
        <w:bidi w:val="0"/>
        <w:adjustRightInd/>
        <w:snapToGrid/>
        <w:spacing w:line="560" w:lineRule="exact"/>
        <w:ind w:firstLine="5600" w:firstLineChars="2000"/>
        <w:textAlignment w:val="auto"/>
        <w:outlineLvl w:val="9"/>
        <w:rPr>
          <w:rFonts w:hint="default" w:ascii="宋体" w:hAnsi="宋体"/>
          <w:sz w:val="28"/>
          <w:szCs w:val="28"/>
          <w:lang w:val="en-US" w:eastAsia="zh-CN"/>
        </w:rPr>
      </w:pPr>
      <w:r>
        <w:rPr>
          <w:rFonts w:hint="eastAsia" w:ascii="宋体" w:hAnsi="宋体"/>
          <w:sz w:val="28"/>
          <w:szCs w:val="28"/>
          <w:lang w:val="en-US" w:eastAsia="zh-CN"/>
        </w:rPr>
        <w:t>2024年11月7日</w:t>
      </w:r>
    </w:p>
    <w:p w14:paraId="2F5EC296">
      <w:pPr>
        <w:pStyle w:val="24"/>
        <w:spacing w:line="240" w:lineRule="auto"/>
        <w:ind w:left="-420" w:leftChars="-200" w:firstLine="560"/>
        <w:outlineLvl w:val="1"/>
        <w:rPr>
          <w:rFonts w:ascii="宋体" w:hAnsi="宋体"/>
          <w:sz w:val="28"/>
          <w:szCs w:val="28"/>
          <w:lang w:val="en-US"/>
        </w:rPr>
      </w:pP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DC2C3">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A409661">
                          <w:pPr>
                            <w:pStyle w:val="8"/>
                          </w:pPr>
                          <w:r>
                            <w:t xml:space="preserve">第 </w:t>
                          </w:r>
                          <w:r>
                            <w:fldChar w:fldCharType="begin"/>
                          </w:r>
                          <w:r>
                            <w:instrText xml:space="preserve"> PAGE  \* MERGEFORMAT </w:instrText>
                          </w:r>
                          <w:r>
                            <w:fldChar w:fldCharType="separate"/>
                          </w:r>
                          <w:r>
                            <w:t>26</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5A409661">
                    <w:pPr>
                      <w:pStyle w:val="8"/>
                    </w:pPr>
                    <w:r>
                      <w:t xml:space="preserve">第 </w:t>
                    </w:r>
                    <w:r>
                      <w:fldChar w:fldCharType="begin"/>
                    </w:r>
                    <w:r>
                      <w:instrText xml:space="preserve"> PAGE  \* MERGEFORMAT </w:instrText>
                    </w:r>
                    <w:r>
                      <w:fldChar w:fldCharType="separate"/>
                    </w:r>
                    <w:r>
                      <w:t>26</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E732F5"/>
    <w:multiLevelType w:val="singleLevel"/>
    <w:tmpl w:val="1AE732F5"/>
    <w:lvl w:ilvl="0" w:tentative="0">
      <w:start w:val="2"/>
      <w:numFmt w:val="decimal"/>
      <w:lvlText w:val="%1."/>
      <w:lvlJc w:val="left"/>
      <w:pPr>
        <w:tabs>
          <w:tab w:val="left" w:pos="312"/>
        </w:tabs>
        <w:ind w:left="63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9"/>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xYzUxZjAwNTBlZGFlYjc4MjYzNjBjMzRiNGM4ZGQifQ=="/>
  </w:docVars>
  <w:rsids>
    <w:rsidRoot w:val="00EF740B"/>
    <w:rsid w:val="00064DBF"/>
    <w:rsid w:val="00070C07"/>
    <w:rsid w:val="000B3138"/>
    <w:rsid w:val="000D17F1"/>
    <w:rsid w:val="000E27FE"/>
    <w:rsid w:val="000E651E"/>
    <w:rsid w:val="0010023F"/>
    <w:rsid w:val="001157E8"/>
    <w:rsid w:val="0011743D"/>
    <w:rsid w:val="00183297"/>
    <w:rsid w:val="00197220"/>
    <w:rsid w:val="001A1B94"/>
    <w:rsid w:val="001C7702"/>
    <w:rsid w:val="001F1FD9"/>
    <w:rsid w:val="001F5467"/>
    <w:rsid w:val="002263A0"/>
    <w:rsid w:val="002408BC"/>
    <w:rsid w:val="00273D88"/>
    <w:rsid w:val="00275634"/>
    <w:rsid w:val="00292837"/>
    <w:rsid w:val="00294959"/>
    <w:rsid w:val="002D0D64"/>
    <w:rsid w:val="002D4697"/>
    <w:rsid w:val="00366E28"/>
    <w:rsid w:val="0038537E"/>
    <w:rsid w:val="003960F7"/>
    <w:rsid w:val="003B0247"/>
    <w:rsid w:val="003F03DA"/>
    <w:rsid w:val="003F6058"/>
    <w:rsid w:val="004122C4"/>
    <w:rsid w:val="00450A96"/>
    <w:rsid w:val="00482745"/>
    <w:rsid w:val="004D0C88"/>
    <w:rsid w:val="004E2685"/>
    <w:rsid w:val="004E39B2"/>
    <w:rsid w:val="004F04D3"/>
    <w:rsid w:val="0050037C"/>
    <w:rsid w:val="00560BAE"/>
    <w:rsid w:val="005862F7"/>
    <w:rsid w:val="005938E3"/>
    <w:rsid w:val="005B603E"/>
    <w:rsid w:val="005C2C7D"/>
    <w:rsid w:val="00601C8E"/>
    <w:rsid w:val="00602A42"/>
    <w:rsid w:val="00620980"/>
    <w:rsid w:val="00621748"/>
    <w:rsid w:val="006705C9"/>
    <w:rsid w:val="0068247E"/>
    <w:rsid w:val="006C7931"/>
    <w:rsid w:val="006F2CBE"/>
    <w:rsid w:val="007172D2"/>
    <w:rsid w:val="00783AE4"/>
    <w:rsid w:val="00794811"/>
    <w:rsid w:val="007E24D0"/>
    <w:rsid w:val="007F2EDF"/>
    <w:rsid w:val="00812ABF"/>
    <w:rsid w:val="00854A45"/>
    <w:rsid w:val="0087052E"/>
    <w:rsid w:val="008771E6"/>
    <w:rsid w:val="008A70AA"/>
    <w:rsid w:val="008B122F"/>
    <w:rsid w:val="008F6D33"/>
    <w:rsid w:val="00903586"/>
    <w:rsid w:val="00907C51"/>
    <w:rsid w:val="00932FB8"/>
    <w:rsid w:val="0093670B"/>
    <w:rsid w:val="009D3F93"/>
    <w:rsid w:val="009F7B33"/>
    <w:rsid w:val="00A355C1"/>
    <w:rsid w:val="00A47A26"/>
    <w:rsid w:val="00A810DF"/>
    <w:rsid w:val="00B30E9A"/>
    <w:rsid w:val="00B719C7"/>
    <w:rsid w:val="00B85BB5"/>
    <w:rsid w:val="00BB72D6"/>
    <w:rsid w:val="00BD1F19"/>
    <w:rsid w:val="00BE161C"/>
    <w:rsid w:val="00C1235C"/>
    <w:rsid w:val="00C159AC"/>
    <w:rsid w:val="00C52710"/>
    <w:rsid w:val="00C57ED5"/>
    <w:rsid w:val="00C7554A"/>
    <w:rsid w:val="00C82528"/>
    <w:rsid w:val="00CB4920"/>
    <w:rsid w:val="00CC69D7"/>
    <w:rsid w:val="00CF36D2"/>
    <w:rsid w:val="00D00C9C"/>
    <w:rsid w:val="00D56C9B"/>
    <w:rsid w:val="00D92D23"/>
    <w:rsid w:val="00D9375E"/>
    <w:rsid w:val="00DA06A3"/>
    <w:rsid w:val="00DB0F36"/>
    <w:rsid w:val="00DB2958"/>
    <w:rsid w:val="00DC55A1"/>
    <w:rsid w:val="00DD56DD"/>
    <w:rsid w:val="00E20D49"/>
    <w:rsid w:val="00E23C7B"/>
    <w:rsid w:val="00E456A9"/>
    <w:rsid w:val="00E57738"/>
    <w:rsid w:val="00E60B51"/>
    <w:rsid w:val="00E75DA5"/>
    <w:rsid w:val="00EC7B5F"/>
    <w:rsid w:val="00EF740B"/>
    <w:rsid w:val="00F06454"/>
    <w:rsid w:val="00F631F4"/>
    <w:rsid w:val="00FB0213"/>
    <w:rsid w:val="00FB4E1C"/>
    <w:rsid w:val="0154099A"/>
    <w:rsid w:val="021F72E7"/>
    <w:rsid w:val="02A67C7E"/>
    <w:rsid w:val="02C8641C"/>
    <w:rsid w:val="02E1151B"/>
    <w:rsid w:val="02E66B31"/>
    <w:rsid w:val="034A3564"/>
    <w:rsid w:val="036D3B7E"/>
    <w:rsid w:val="03C02F63"/>
    <w:rsid w:val="03FE7EAB"/>
    <w:rsid w:val="048F69CA"/>
    <w:rsid w:val="04E21369"/>
    <w:rsid w:val="04FE17BB"/>
    <w:rsid w:val="0518059E"/>
    <w:rsid w:val="057A17B3"/>
    <w:rsid w:val="05CF1AFF"/>
    <w:rsid w:val="05EA06E6"/>
    <w:rsid w:val="06C07F8B"/>
    <w:rsid w:val="06F15AA5"/>
    <w:rsid w:val="06F85085"/>
    <w:rsid w:val="06FF4F43"/>
    <w:rsid w:val="0727288B"/>
    <w:rsid w:val="07666038"/>
    <w:rsid w:val="07BB67DE"/>
    <w:rsid w:val="08033CE1"/>
    <w:rsid w:val="0814288D"/>
    <w:rsid w:val="0852358C"/>
    <w:rsid w:val="08BD031C"/>
    <w:rsid w:val="08BE0C15"/>
    <w:rsid w:val="08DF59C7"/>
    <w:rsid w:val="08FF094D"/>
    <w:rsid w:val="093C394F"/>
    <w:rsid w:val="09BC49DB"/>
    <w:rsid w:val="09EF41EC"/>
    <w:rsid w:val="09FF4D04"/>
    <w:rsid w:val="0A210514"/>
    <w:rsid w:val="0A935352"/>
    <w:rsid w:val="0AC5401B"/>
    <w:rsid w:val="0ADF27E4"/>
    <w:rsid w:val="0AE43B71"/>
    <w:rsid w:val="0AEC0F9D"/>
    <w:rsid w:val="0B6E1858"/>
    <w:rsid w:val="0B931C26"/>
    <w:rsid w:val="0B96552F"/>
    <w:rsid w:val="0B9F4F76"/>
    <w:rsid w:val="0BB772BD"/>
    <w:rsid w:val="0C0760A9"/>
    <w:rsid w:val="0C8F3D96"/>
    <w:rsid w:val="0C966D59"/>
    <w:rsid w:val="0CDC2F4B"/>
    <w:rsid w:val="0D1C4BAA"/>
    <w:rsid w:val="0D6C19DE"/>
    <w:rsid w:val="0DBD4932"/>
    <w:rsid w:val="0E141D3F"/>
    <w:rsid w:val="0E5940F9"/>
    <w:rsid w:val="0E707BF7"/>
    <w:rsid w:val="0F0231C0"/>
    <w:rsid w:val="0F1D4359"/>
    <w:rsid w:val="101352E4"/>
    <w:rsid w:val="101557F4"/>
    <w:rsid w:val="10172994"/>
    <w:rsid w:val="104135F9"/>
    <w:rsid w:val="10864295"/>
    <w:rsid w:val="10875725"/>
    <w:rsid w:val="10C21F5C"/>
    <w:rsid w:val="10CB0F9B"/>
    <w:rsid w:val="10EA4509"/>
    <w:rsid w:val="119C5D74"/>
    <w:rsid w:val="11FD3605"/>
    <w:rsid w:val="1202325C"/>
    <w:rsid w:val="122A56AE"/>
    <w:rsid w:val="1298255A"/>
    <w:rsid w:val="1308083E"/>
    <w:rsid w:val="13103119"/>
    <w:rsid w:val="1378723F"/>
    <w:rsid w:val="13825C0E"/>
    <w:rsid w:val="13CC3B21"/>
    <w:rsid w:val="13E406D7"/>
    <w:rsid w:val="13F65B75"/>
    <w:rsid w:val="14566EF5"/>
    <w:rsid w:val="146A5814"/>
    <w:rsid w:val="146E5817"/>
    <w:rsid w:val="14BA1BCC"/>
    <w:rsid w:val="153100E0"/>
    <w:rsid w:val="159C16D5"/>
    <w:rsid w:val="159D2094"/>
    <w:rsid w:val="161F72CC"/>
    <w:rsid w:val="165862A5"/>
    <w:rsid w:val="1733791F"/>
    <w:rsid w:val="178768B3"/>
    <w:rsid w:val="183D2675"/>
    <w:rsid w:val="185B536B"/>
    <w:rsid w:val="18B02E62"/>
    <w:rsid w:val="18BD1C8B"/>
    <w:rsid w:val="18D53478"/>
    <w:rsid w:val="19555E96"/>
    <w:rsid w:val="19AA27D5"/>
    <w:rsid w:val="19DD32EE"/>
    <w:rsid w:val="19E00C32"/>
    <w:rsid w:val="19EB6441"/>
    <w:rsid w:val="1B2163C7"/>
    <w:rsid w:val="1B2755EA"/>
    <w:rsid w:val="1B39309C"/>
    <w:rsid w:val="1BF135A1"/>
    <w:rsid w:val="1C1B3898"/>
    <w:rsid w:val="1C33298F"/>
    <w:rsid w:val="1C84143D"/>
    <w:rsid w:val="1CB11B06"/>
    <w:rsid w:val="1CD83537"/>
    <w:rsid w:val="1D37200B"/>
    <w:rsid w:val="1D5C7E55"/>
    <w:rsid w:val="1DDE4B7D"/>
    <w:rsid w:val="1DED4DC0"/>
    <w:rsid w:val="1DF83E91"/>
    <w:rsid w:val="1E2210EC"/>
    <w:rsid w:val="1E24168F"/>
    <w:rsid w:val="1E2E78B2"/>
    <w:rsid w:val="1E4A4FE2"/>
    <w:rsid w:val="1E9E1CAD"/>
    <w:rsid w:val="1EA27958"/>
    <w:rsid w:val="1F325180"/>
    <w:rsid w:val="1F4F77A7"/>
    <w:rsid w:val="1F703EFB"/>
    <w:rsid w:val="1F83778A"/>
    <w:rsid w:val="1F947EAF"/>
    <w:rsid w:val="1FDB04FB"/>
    <w:rsid w:val="1FF47FEF"/>
    <w:rsid w:val="20131E3F"/>
    <w:rsid w:val="20823EE5"/>
    <w:rsid w:val="20E15A18"/>
    <w:rsid w:val="21166E41"/>
    <w:rsid w:val="211C1C81"/>
    <w:rsid w:val="22146DBF"/>
    <w:rsid w:val="2234120F"/>
    <w:rsid w:val="22DE422B"/>
    <w:rsid w:val="23CF311A"/>
    <w:rsid w:val="23E059AB"/>
    <w:rsid w:val="23E31A2F"/>
    <w:rsid w:val="23FF1AF8"/>
    <w:rsid w:val="244637ED"/>
    <w:rsid w:val="254A19F9"/>
    <w:rsid w:val="254C061E"/>
    <w:rsid w:val="25A22934"/>
    <w:rsid w:val="25C70A92"/>
    <w:rsid w:val="25DB3B2C"/>
    <w:rsid w:val="25EB42DB"/>
    <w:rsid w:val="25FA2EAE"/>
    <w:rsid w:val="26FE0374"/>
    <w:rsid w:val="270D1AB7"/>
    <w:rsid w:val="27421195"/>
    <w:rsid w:val="27626C1B"/>
    <w:rsid w:val="277C546C"/>
    <w:rsid w:val="290A34EE"/>
    <w:rsid w:val="29844062"/>
    <w:rsid w:val="29B64C00"/>
    <w:rsid w:val="29D37560"/>
    <w:rsid w:val="29E8760E"/>
    <w:rsid w:val="2A1E4C2F"/>
    <w:rsid w:val="2A5A6669"/>
    <w:rsid w:val="2A941233"/>
    <w:rsid w:val="2B094C81"/>
    <w:rsid w:val="2B4A073D"/>
    <w:rsid w:val="2B4B2491"/>
    <w:rsid w:val="2B8D7D27"/>
    <w:rsid w:val="2BA024D1"/>
    <w:rsid w:val="2BFB64CE"/>
    <w:rsid w:val="2CA56B74"/>
    <w:rsid w:val="2D597D7C"/>
    <w:rsid w:val="2DCD3306"/>
    <w:rsid w:val="2E982B26"/>
    <w:rsid w:val="2ECD0A22"/>
    <w:rsid w:val="2ED977CD"/>
    <w:rsid w:val="2F0401BB"/>
    <w:rsid w:val="305544E1"/>
    <w:rsid w:val="30665FF5"/>
    <w:rsid w:val="307F16BF"/>
    <w:rsid w:val="30872E52"/>
    <w:rsid w:val="30B74574"/>
    <w:rsid w:val="31070987"/>
    <w:rsid w:val="31244B45"/>
    <w:rsid w:val="32E225C2"/>
    <w:rsid w:val="33C02CE0"/>
    <w:rsid w:val="33DA4A24"/>
    <w:rsid w:val="33DE0FDB"/>
    <w:rsid w:val="33ED7A91"/>
    <w:rsid w:val="34256C0A"/>
    <w:rsid w:val="34362BC5"/>
    <w:rsid w:val="34ED34A4"/>
    <w:rsid w:val="351C000D"/>
    <w:rsid w:val="352F545C"/>
    <w:rsid w:val="35327830"/>
    <w:rsid w:val="35556F1C"/>
    <w:rsid w:val="358636D8"/>
    <w:rsid w:val="360C62D3"/>
    <w:rsid w:val="364345C9"/>
    <w:rsid w:val="368E67A1"/>
    <w:rsid w:val="36C02C1A"/>
    <w:rsid w:val="38735E4A"/>
    <w:rsid w:val="38780954"/>
    <w:rsid w:val="393A4F06"/>
    <w:rsid w:val="394144E6"/>
    <w:rsid w:val="39993D6C"/>
    <w:rsid w:val="39994922"/>
    <w:rsid w:val="399B1E64"/>
    <w:rsid w:val="39B9172E"/>
    <w:rsid w:val="39EB7274"/>
    <w:rsid w:val="3A52348C"/>
    <w:rsid w:val="3A7E52C6"/>
    <w:rsid w:val="3A894D3D"/>
    <w:rsid w:val="3AD42B84"/>
    <w:rsid w:val="3B2F17D8"/>
    <w:rsid w:val="3B4402BD"/>
    <w:rsid w:val="3B506F27"/>
    <w:rsid w:val="3B552F2C"/>
    <w:rsid w:val="3B826075"/>
    <w:rsid w:val="3C2D0D52"/>
    <w:rsid w:val="3CAB7EC8"/>
    <w:rsid w:val="3CB52B44"/>
    <w:rsid w:val="3CB80047"/>
    <w:rsid w:val="3CEF7609"/>
    <w:rsid w:val="3D085E9A"/>
    <w:rsid w:val="3D45371A"/>
    <w:rsid w:val="3D711112"/>
    <w:rsid w:val="3DE90CA8"/>
    <w:rsid w:val="3E085C41"/>
    <w:rsid w:val="3F256874"/>
    <w:rsid w:val="3FB96E7A"/>
    <w:rsid w:val="41517CCF"/>
    <w:rsid w:val="415C05F7"/>
    <w:rsid w:val="425F6720"/>
    <w:rsid w:val="427F1C4F"/>
    <w:rsid w:val="432452BD"/>
    <w:rsid w:val="43346E69"/>
    <w:rsid w:val="436A288B"/>
    <w:rsid w:val="43874252"/>
    <w:rsid w:val="43C405C0"/>
    <w:rsid w:val="4416031D"/>
    <w:rsid w:val="446372A2"/>
    <w:rsid w:val="44E977E0"/>
    <w:rsid w:val="45034D45"/>
    <w:rsid w:val="453E4FA7"/>
    <w:rsid w:val="45812510"/>
    <w:rsid w:val="461F5BAF"/>
    <w:rsid w:val="4621749D"/>
    <w:rsid w:val="463E2A0A"/>
    <w:rsid w:val="467852BF"/>
    <w:rsid w:val="467A1037"/>
    <w:rsid w:val="467F03FC"/>
    <w:rsid w:val="46DD580B"/>
    <w:rsid w:val="46F1419F"/>
    <w:rsid w:val="47502CE7"/>
    <w:rsid w:val="477B0A55"/>
    <w:rsid w:val="477B4F01"/>
    <w:rsid w:val="47CB0DA4"/>
    <w:rsid w:val="4822696E"/>
    <w:rsid w:val="4850658B"/>
    <w:rsid w:val="4878772B"/>
    <w:rsid w:val="48963D9F"/>
    <w:rsid w:val="48D7665C"/>
    <w:rsid w:val="492359B6"/>
    <w:rsid w:val="493556E9"/>
    <w:rsid w:val="49711348"/>
    <w:rsid w:val="49CB4442"/>
    <w:rsid w:val="4AD77089"/>
    <w:rsid w:val="4B132F8D"/>
    <w:rsid w:val="4B5A1B2C"/>
    <w:rsid w:val="4B603D44"/>
    <w:rsid w:val="4B715AD9"/>
    <w:rsid w:val="4B7C22F3"/>
    <w:rsid w:val="4B987338"/>
    <w:rsid w:val="4BA669A3"/>
    <w:rsid w:val="4BD1530A"/>
    <w:rsid w:val="4BD86F06"/>
    <w:rsid w:val="4C6A67E4"/>
    <w:rsid w:val="4C9732FE"/>
    <w:rsid w:val="4CA73289"/>
    <w:rsid w:val="4CE0596C"/>
    <w:rsid w:val="4D2B2112"/>
    <w:rsid w:val="4D4759EB"/>
    <w:rsid w:val="4DB75EEC"/>
    <w:rsid w:val="4DED20EF"/>
    <w:rsid w:val="4DF247EC"/>
    <w:rsid w:val="4E465DE4"/>
    <w:rsid w:val="4E9B6783"/>
    <w:rsid w:val="4F7626B4"/>
    <w:rsid w:val="4FA21522"/>
    <w:rsid w:val="4FA40ED3"/>
    <w:rsid w:val="4FD64DEE"/>
    <w:rsid w:val="4FE439C5"/>
    <w:rsid w:val="4FF22F20"/>
    <w:rsid w:val="50084BCD"/>
    <w:rsid w:val="501716A5"/>
    <w:rsid w:val="501C705E"/>
    <w:rsid w:val="504D73FC"/>
    <w:rsid w:val="505815DA"/>
    <w:rsid w:val="50786E81"/>
    <w:rsid w:val="50812FC2"/>
    <w:rsid w:val="50B35AB2"/>
    <w:rsid w:val="50BC5FF4"/>
    <w:rsid w:val="50C7131D"/>
    <w:rsid w:val="50CE7400"/>
    <w:rsid w:val="51143D2F"/>
    <w:rsid w:val="51922196"/>
    <w:rsid w:val="522927F7"/>
    <w:rsid w:val="524C640B"/>
    <w:rsid w:val="525F5585"/>
    <w:rsid w:val="527B23BF"/>
    <w:rsid w:val="52A937DA"/>
    <w:rsid w:val="53065896"/>
    <w:rsid w:val="531E2D4A"/>
    <w:rsid w:val="537312E8"/>
    <w:rsid w:val="54662FAC"/>
    <w:rsid w:val="54796F37"/>
    <w:rsid w:val="54852C1C"/>
    <w:rsid w:val="548C6DB7"/>
    <w:rsid w:val="54A021C2"/>
    <w:rsid w:val="554C20B7"/>
    <w:rsid w:val="557230FD"/>
    <w:rsid w:val="5590622A"/>
    <w:rsid w:val="559B2D78"/>
    <w:rsid w:val="55BC0B98"/>
    <w:rsid w:val="564C3009"/>
    <w:rsid w:val="578A4E52"/>
    <w:rsid w:val="57974F6F"/>
    <w:rsid w:val="57A63AFD"/>
    <w:rsid w:val="582A3F3F"/>
    <w:rsid w:val="587E2954"/>
    <w:rsid w:val="58BD0550"/>
    <w:rsid w:val="58CF22E8"/>
    <w:rsid w:val="58EF066F"/>
    <w:rsid w:val="58F20F01"/>
    <w:rsid w:val="59190FC7"/>
    <w:rsid w:val="592139D4"/>
    <w:rsid w:val="5938479C"/>
    <w:rsid w:val="59575208"/>
    <w:rsid w:val="595D3C25"/>
    <w:rsid w:val="595F2FF2"/>
    <w:rsid w:val="59AC7302"/>
    <w:rsid w:val="59AF69D0"/>
    <w:rsid w:val="59F42E1F"/>
    <w:rsid w:val="5A9658BC"/>
    <w:rsid w:val="5AA565F8"/>
    <w:rsid w:val="5ACF4FDC"/>
    <w:rsid w:val="5ADF1011"/>
    <w:rsid w:val="5AF076C2"/>
    <w:rsid w:val="5B78116D"/>
    <w:rsid w:val="5C25514A"/>
    <w:rsid w:val="5C3C4CC4"/>
    <w:rsid w:val="5CA46A76"/>
    <w:rsid w:val="5CF71AC5"/>
    <w:rsid w:val="5D2B5E90"/>
    <w:rsid w:val="5DE36B84"/>
    <w:rsid w:val="5DFB2398"/>
    <w:rsid w:val="5E8D2A1A"/>
    <w:rsid w:val="5E904EEF"/>
    <w:rsid w:val="5EF10742"/>
    <w:rsid w:val="5F557AF4"/>
    <w:rsid w:val="5F780D96"/>
    <w:rsid w:val="5F9E614C"/>
    <w:rsid w:val="60897A34"/>
    <w:rsid w:val="60A42FA9"/>
    <w:rsid w:val="60EE4265"/>
    <w:rsid w:val="61990081"/>
    <w:rsid w:val="61EC5559"/>
    <w:rsid w:val="61ED7B7E"/>
    <w:rsid w:val="62214605"/>
    <w:rsid w:val="62612C54"/>
    <w:rsid w:val="62E80C7F"/>
    <w:rsid w:val="63064050"/>
    <w:rsid w:val="641D41C0"/>
    <w:rsid w:val="652977A7"/>
    <w:rsid w:val="659406EA"/>
    <w:rsid w:val="65B67FEC"/>
    <w:rsid w:val="65DD0843"/>
    <w:rsid w:val="66081B74"/>
    <w:rsid w:val="66194291"/>
    <w:rsid w:val="665A00E6"/>
    <w:rsid w:val="66A65AA8"/>
    <w:rsid w:val="66B8384E"/>
    <w:rsid w:val="682C6805"/>
    <w:rsid w:val="68356575"/>
    <w:rsid w:val="68376930"/>
    <w:rsid w:val="685A4111"/>
    <w:rsid w:val="68D329C6"/>
    <w:rsid w:val="68E5013A"/>
    <w:rsid w:val="69236EB5"/>
    <w:rsid w:val="69581903"/>
    <w:rsid w:val="69C02956"/>
    <w:rsid w:val="69F119F4"/>
    <w:rsid w:val="6BA73DCD"/>
    <w:rsid w:val="6BD44D33"/>
    <w:rsid w:val="6BF93EB1"/>
    <w:rsid w:val="6C4D627E"/>
    <w:rsid w:val="6CF1051B"/>
    <w:rsid w:val="6D363EE7"/>
    <w:rsid w:val="6D456E3D"/>
    <w:rsid w:val="6DA305C4"/>
    <w:rsid w:val="6E073110"/>
    <w:rsid w:val="6E33701B"/>
    <w:rsid w:val="6E6A78E8"/>
    <w:rsid w:val="6E8B1784"/>
    <w:rsid w:val="6EE80067"/>
    <w:rsid w:val="6EF46A4E"/>
    <w:rsid w:val="6F3643B7"/>
    <w:rsid w:val="6F380483"/>
    <w:rsid w:val="6F60676D"/>
    <w:rsid w:val="6F965C2F"/>
    <w:rsid w:val="6FA43561"/>
    <w:rsid w:val="7007308C"/>
    <w:rsid w:val="70DC5ECC"/>
    <w:rsid w:val="711A6DEF"/>
    <w:rsid w:val="71975375"/>
    <w:rsid w:val="71E80C9B"/>
    <w:rsid w:val="72895D82"/>
    <w:rsid w:val="72991BF4"/>
    <w:rsid w:val="729D1A86"/>
    <w:rsid w:val="72DD7BA9"/>
    <w:rsid w:val="7447614D"/>
    <w:rsid w:val="74624D35"/>
    <w:rsid w:val="74744A68"/>
    <w:rsid w:val="74AE1D28"/>
    <w:rsid w:val="74C26DA2"/>
    <w:rsid w:val="74FA6D1C"/>
    <w:rsid w:val="75646F31"/>
    <w:rsid w:val="756D3991"/>
    <w:rsid w:val="75F14E8B"/>
    <w:rsid w:val="76277EEE"/>
    <w:rsid w:val="763249C0"/>
    <w:rsid w:val="76870A83"/>
    <w:rsid w:val="768B7037"/>
    <w:rsid w:val="76A42953"/>
    <w:rsid w:val="76D0344E"/>
    <w:rsid w:val="76D348AD"/>
    <w:rsid w:val="76E25CB9"/>
    <w:rsid w:val="77062C53"/>
    <w:rsid w:val="77296687"/>
    <w:rsid w:val="77530725"/>
    <w:rsid w:val="77824FE1"/>
    <w:rsid w:val="785726D7"/>
    <w:rsid w:val="787D038F"/>
    <w:rsid w:val="790E7239"/>
    <w:rsid w:val="79467729"/>
    <w:rsid w:val="794B1A56"/>
    <w:rsid w:val="798521F4"/>
    <w:rsid w:val="7A477914"/>
    <w:rsid w:val="7AA02BFB"/>
    <w:rsid w:val="7B1C3799"/>
    <w:rsid w:val="7B5178B1"/>
    <w:rsid w:val="7C124026"/>
    <w:rsid w:val="7CA24B47"/>
    <w:rsid w:val="7D2F59D0"/>
    <w:rsid w:val="7D625DA6"/>
    <w:rsid w:val="7D731D61"/>
    <w:rsid w:val="7D7D2BE0"/>
    <w:rsid w:val="7DC9403A"/>
    <w:rsid w:val="7DFA5FDE"/>
    <w:rsid w:val="7E260B81"/>
    <w:rsid w:val="7E7D6750"/>
    <w:rsid w:val="7E971094"/>
    <w:rsid w:val="7F363046"/>
    <w:rsid w:val="7F5D4A77"/>
    <w:rsid w:val="7FEC2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30"/>
      <w:szCs w:val="44"/>
    </w:rPr>
  </w:style>
  <w:style w:type="paragraph" w:styleId="2">
    <w:name w:val="heading 2"/>
    <w:basedOn w:val="1"/>
    <w:next w:val="1"/>
    <w:link w:val="26"/>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link w:val="40"/>
    <w:semiHidden/>
    <w:unhideWhenUsed/>
    <w:qFormat/>
    <w:uiPriority w:val="99"/>
    <w:pPr>
      <w:jc w:val="left"/>
    </w:pPr>
  </w:style>
  <w:style w:type="paragraph" w:styleId="6">
    <w:name w:val="Body Text Indent"/>
    <w:basedOn w:val="1"/>
    <w:qFormat/>
    <w:uiPriority w:val="0"/>
    <w:pPr>
      <w:spacing w:line="360" w:lineRule="auto"/>
      <w:ind w:firstLine="640" w:firstLineChars="200"/>
    </w:pPr>
    <w:rPr>
      <w:sz w:val="32"/>
    </w:rPr>
  </w:style>
  <w:style w:type="paragraph" w:styleId="7">
    <w:name w:val="Balloon Text"/>
    <w:basedOn w:val="1"/>
    <w:link w:val="39"/>
    <w:semiHidden/>
    <w:unhideWhenUsed/>
    <w:qFormat/>
    <w:uiPriority w:val="99"/>
    <w:rPr>
      <w:sz w:val="18"/>
      <w:szCs w:val="18"/>
    </w:rPr>
  </w:style>
  <w:style w:type="paragraph" w:styleId="8">
    <w:name w:val="footer"/>
    <w:basedOn w:val="1"/>
    <w:link w:val="22"/>
    <w:unhideWhenUsed/>
    <w:qFormat/>
    <w:uiPriority w:val="99"/>
    <w:pPr>
      <w:tabs>
        <w:tab w:val="center" w:pos="4153"/>
        <w:tab w:val="right" w:pos="8306"/>
      </w:tabs>
      <w:snapToGrid w:val="0"/>
      <w:jc w:val="left"/>
    </w:pPr>
    <w:rPr>
      <w:sz w:val="18"/>
      <w:szCs w:val="18"/>
    </w:rPr>
  </w:style>
  <w:style w:type="paragraph" w:styleId="9">
    <w:name w:val="header"/>
    <w:basedOn w:val="1"/>
    <w:link w:val="2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Subtitle"/>
    <w:basedOn w:val="1"/>
    <w:next w:val="1"/>
    <w:qFormat/>
    <w:uiPriority w:val="11"/>
    <w:pPr>
      <w:spacing w:before="240" w:after="60" w:line="312" w:lineRule="auto"/>
      <w:jc w:val="center"/>
      <w:outlineLvl w:val="1"/>
    </w:pPr>
    <w:rPr>
      <w:b/>
      <w:bCs/>
      <w:kern w:val="28"/>
      <w:sz w:val="32"/>
      <w:szCs w:val="32"/>
    </w:rPr>
  </w:style>
  <w:style w:type="paragraph" w:styleId="11">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2">
    <w:name w:val="annotation subject"/>
    <w:basedOn w:val="5"/>
    <w:next w:val="5"/>
    <w:link w:val="41"/>
    <w:semiHidden/>
    <w:unhideWhenUsed/>
    <w:qFormat/>
    <w:uiPriority w:val="99"/>
    <w:rPr>
      <w:b/>
      <w:bCs/>
    </w:rPr>
  </w:style>
  <w:style w:type="paragraph" w:styleId="13">
    <w:name w:val="Body Text First Indent 2"/>
    <w:basedOn w:val="6"/>
    <w:qFormat/>
    <w:uiPriority w:val="0"/>
    <w:pPr>
      <w:autoSpaceDE/>
      <w:autoSpaceDN/>
      <w:adjustRightInd/>
      <w:spacing w:after="120" w:afterLines="0" w:line="240" w:lineRule="auto"/>
      <w:ind w:left="420" w:leftChars="200" w:firstLine="420" w:firstLineChars="200"/>
      <w:jc w:val="both"/>
    </w:pPr>
    <w:rPr>
      <w:kern w:val="2"/>
      <w:sz w:val="21"/>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22"/>
    <w:rPr>
      <w:b/>
    </w:rPr>
  </w:style>
  <w:style w:type="character" w:styleId="18">
    <w:name w:val="Emphasis"/>
    <w:basedOn w:val="16"/>
    <w:qFormat/>
    <w:uiPriority w:val="20"/>
    <w:rPr>
      <w:i/>
    </w:rPr>
  </w:style>
  <w:style w:type="character" w:styleId="19">
    <w:name w:val="Hyperlink"/>
    <w:basedOn w:val="16"/>
    <w:semiHidden/>
    <w:unhideWhenUsed/>
    <w:qFormat/>
    <w:uiPriority w:val="99"/>
    <w:rPr>
      <w:color w:val="0000FF"/>
      <w:u w:val="single"/>
    </w:rPr>
  </w:style>
  <w:style w:type="character" w:styleId="20">
    <w:name w:val="annotation reference"/>
    <w:basedOn w:val="16"/>
    <w:autoRedefine/>
    <w:semiHidden/>
    <w:unhideWhenUsed/>
    <w:qFormat/>
    <w:uiPriority w:val="99"/>
    <w:rPr>
      <w:sz w:val="21"/>
      <w:szCs w:val="21"/>
    </w:rPr>
  </w:style>
  <w:style w:type="character" w:customStyle="1" w:styleId="21">
    <w:name w:val="页眉 Char"/>
    <w:basedOn w:val="16"/>
    <w:link w:val="9"/>
    <w:autoRedefine/>
    <w:qFormat/>
    <w:uiPriority w:val="99"/>
    <w:rPr>
      <w:sz w:val="18"/>
      <w:szCs w:val="18"/>
    </w:rPr>
  </w:style>
  <w:style w:type="character" w:customStyle="1" w:styleId="22">
    <w:name w:val="页脚 Char"/>
    <w:basedOn w:val="16"/>
    <w:link w:val="8"/>
    <w:qFormat/>
    <w:uiPriority w:val="99"/>
    <w:rPr>
      <w:sz w:val="18"/>
      <w:szCs w:val="18"/>
    </w:rPr>
  </w:style>
  <w:style w:type="paragraph" w:styleId="23">
    <w:name w:val="List Paragraph"/>
    <w:basedOn w:val="1"/>
    <w:qFormat/>
    <w:uiPriority w:val="34"/>
    <w:pPr>
      <w:ind w:firstLine="420" w:firstLineChars="200"/>
    </w:pPr>
  </w:style>
  <w:style w:type="paragraph" w:customStyle="1" w:styleId="24">
    <w:name w:val="A0正文"/>
    <w:basedOn w:val="1"/>
    <w:qFormat/>
    <w:uiPriority w:val="0"/>
    <w:pPr>
      <w:spacing w:line="500" w:lineRule="exact"/>
      <w:ind w:firstLine="480" w:firstLineChars="200"/>
    </w:pPr>
    <w:rPr>
      <w:rFonts w:ascii="Times New Roman" w:hAnsi="Times New Roman" w:eastAsia="宋体" w:cs="宋体"/>
      <w:sz w:val="24"/>
      <w:szCs w:val="20"/>
      <w:lang w:val="zh-CN"/>
    </w:rPr>
  </w:style>
  <w:style w:type="paragraph" w:customStyle="1" w:styleId="25">
    <w:name w:val="A标题2级"/>
    <w:basedOn w:val="2"/>
    <w:autoRedefine/>
    <w:qFormat/>
    <w:uiPriority w:val="0"/>
    <w:pPr>
      <w:spacing w:before="240" w:after="0" w:line="500" w:lineRule="exact"/>
    </w:pPr>
    <w:rPr>
      <w:rFonts w:ascii="Times New Roman" w:hAnsi="Times New Roman" w:eastAsia="黑体" w:cs="宋体"/>
      <w:b w:val="0"/>
      <w:bCs w:val="0"/>
      <w:sz w:val="28"/>
      <w:szCs w:val="20"/>
    </w:rPr>
  </w:style>
  <w:style w:type="character" w:customStyle="1" w:styleId="26">
    <w:name w:val="标题 2 Char"/>
    <w:basedOn w:val="16"/>
    <w:link w:val="2"/>
    <w:autoRedefine/>
    <w:qFormat/>
    <w:uiPriority w:val="9"/>
    <w:rPr>
      <w:rFonts w:asciiTheme="majorHAnsi" w:hAnsiTheme="majorHAnsi" w:eastAsiaTheme="majorEastAsia" w:cstheme="majorBidi"/>
      <w:b/>
      <w:bCs/>
      <w:sz w:val="32"/>
      <w:szCs w:val="32"/>
    </w:rPr>
  </w:style>
  <w:style w:type="paragraph" w:customStyle="1" w:styleId="27">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8">
    <w:name w:val="正文_23"/>
    <w:qFormat/>
    <w:uiPriority w:val="0"/>
    <w:pPr>
      <w:widowControl w:val="0"/>
      <w:jc w:val="both"/>
    </w:pPr>
    <w:rPr>
      <w:rFonts w:ascii="Calibri" w:hAnsi="Calibri" w:eastAsia="宋体" w:cs="Times New Roman"/>
      <w:kern w:val="2"/>
      <w:sz w:val="21"/>
      <w:lang w:val="en-US" w:eastAsia="zh-CN" w:bidi="ar-SA"/>
    </w:rPr>
  </w:style>
  <w:style w:type="paragraph" w:customStyle="1" w:styleId="29">
    <w:name w:val="正文_22"/>
    <w:autoRedefine/>
    <w:qFormat/>
    <w:uiPriority w:val="0"/>
    <w:pPr>
      <w:widowControl w:val="0"/>
      <w:jc w:val="both"/>
    </w:pPr>
    <w:rPr>
      <w:rFonts w:ascii="Calibri" w:hAnsi="Calibri" w:eastAsia="宋体" w:cs="Times New Roman"/>
      <w:kern w:val="2"/>
      <w:sz w:val="21"/>
      <w:lang w:val="en-US" w:eastAsia="zh-CN" w:bidi="ar-SA"/>
    </w:rPr>
  </w:style>
  <w:style w:type="paragraph" w:customStyle="1" w:styleId="30">
    <w:name w:val="正文_24"/>
    <w:qFormat/>
    <w:uiPriority w:val="0"/>
    <w:pPr>
      <w:widowControl w:val="0"/>
      <w:jc w:val="both"/>
    </w:pPr>
    <w:rPr>
      <w:rFonts w:ascii="Calibri" w:hAnsi="Calibri" w:eastAsia="宋体" w:cs="Times New Roman"/>
      <w:kern w:val="2"/>
      <w:sz w:val="21"/>
      <w:lang w:val="en-US" w:eastAsia="zh-CN" w:bidi="ar-SA"/>
    </w:rPr>
  </w:style>
  <w:style w:type="character" w:customStyle="1" w:styleId="31">
    <w:name w:val="font21"/>
    <w:basedOn w:val="16"/>
    <w:qFormat/>
    <w:uiPriority w:val="0"/>
    <w:rPr>
      <w:rFonts w:hint="eastAsia" w:ascii="黑体" w:hAnsi="宋体" w:eastAsia="黑体" w:cs="黑体"/>
      <w:color w:val="000000"/>
      <w:sz w:val="21"/>
      <w:szCs w:val="21"/>
      <w:u w:val="none"/>
    </w:rPr>
  </w:style>
  <w:style w:type="character" w:customStyle="1" w:styleId="32">
    <w:name w:val="font51"/>
    <w:basedOn w:val="16"/>
    <w:qFormat/>
    <w:uiPriority w:val="0"/>
    <w:rPr>
      <w:rFonts w:hint="default" w:ascii="Arial" w:hAnsi="Arial" w:cs="Arial"/>
      <w:color w:val="000000"/>
      <w:sz w:val="19"/>
      <w:szCs w:val="19"/>
      <w:u w:val="none"/>
    </w:rPr>
  </w:style>
  <w:style w:type="character" w:customStyle="1" w:styleId="33">
    <w:name w:val="font41"/>
    <w:basedOn w:val="16"/>
    <w:qFormat/>
    <w:uiPriority w:val="0"/>
    <w:rPr>
      <w:rFonts w:hint="default" w:ascii="Arial" w:hAnsi="Arial" w:cs="Arial"/>
      <w:color w:val="333333"/>
      <w:sz w:val="19"/>
      <w:szCs w:val="19"/>
      <w:u w:val="none"/>
    </w:rPr>
  </w:style>
  <w:style w:type="character" w:customStyle="1" w:styleId="34">
    <w:name w:val="font61"/>
    <w:basedOn w:val="16"/>
    <w:qFormat/>
    <w:uiPriority w:val="0"/>
    <w:rPr>
      <w:rFonts w:hint="eastAsia" w:ascii="宋体" w:hAnsi="宋体" w:eastAsia="宋体" w:cs="宋体"/>
      <w:color w:val="333333"/>
      <w:sz w:val="19"/>
      <w:szCs w:val="19"/>
      <w:u w:val="none"/>
    </w:rPr>
  </w:style>
  <w:style w:type="character" w:customStyle="1" w:styleId="35">
    <w:name w:val="font31"/>
    <w:basedOn w:val="16"/>
    <w:autoRedefine/>
    <w:qFormat/>
    <w:uiPriority w:val="0"/>
    <w:rPr>
      <w:rFonts w:hint="eastAsia" w:ascii="宋体" w:hAnsi="宋体" w:eastAsia="宋体" w:cs="宋体"/>
      <w:color w:val="000000"/>
      <w:sz w:val="21"/>
      <w:szCs w:val="21"/>
      <w:u w:val="none"/>
    </w:rPr>
  </w:style>
  <w:style w:type="character" w:customStyle="1" w:styleId="36">
    <w:name w:val="font71"/>
    <w:basedOn w:val="16"/>
    <w:qFormat/>
    <w:uiPriority w:val="0"/>
    <w:rPr>
      <w:rFonts w:ascii="等线" w:hAnsi="等线" w:eastAsia="等线" w:cs="等线"/>
      <w:color w:val="000000"/>
      <w:sz w:val="21"/>
      <w:szCs w:val="21"/>
      <w:u w:val="none"/>
    </w:rPr>
  </w:style>
  <w:style w:type="character" w:customStyle="1" w:styleId="37">
    <w:name w:val="font01"/>
    <w:basedOn w:val="16"/>
    <w:qFormat/>
    <w:uiPriority w:val="0"/>
    <w:rPr>
      <w:rFonts w:hint="eastAsia" w:ascii="宋体" w:hAnsi="宋体" w:eastAsia="宋体" w:cs="宋体"/>
      <w:color w:val="FF0000"/>
      <w:sz w:val="21"/>
      <w:szCs w:val="21"/>
      <w:u w:val="none"/>
    </w:rPr>
  </w:style>
  <w:style w:type="character" w:customStyle="1" w:styleId="38">
    <w:name w:val="font81"/>
    <w:basedOn w:val="16"/>
    <w:autoRedefine/>
    <w:qFormat/>
    <w:uiPriority w:val="0"/>
    <w:rPr>
      <w:rFonts w:hint="eastAsia" w:ascii="仿宋" w:hAnsi="仿宋" w:eastAsia="仿宋" w:cs="仿宋"/>
      <w:color w:val="000000"/>
      <w:sz w:val="22"/>
      <w:szCs w:val="22"/>
      <w:u w:val="none"/>
      <w:vertAlign w:val="superscript"/>
    </w:rPr>
  </w:style>
  <w:style w:type="character" w:customStyle="1" w:styleId="39">
    <w:name w:val="批注框文本 Char"/>
    <w:basedOn w:val="16"/>
    <w:link w:val="7"/>
    <w:semiHidden/>
    <w:qFormat/>
    <w:uiPriority w:val="99"/>
    <w:rPr>
      <w:rFonts w:asciiTheme="minorHAnsi" w:hAnsiTheme="minorHAnsi" w:eastAsiaTheme="minorEastAsia" w:cstheme="minorBidi"/>
      <w:kern w:val="2"/>
      <w:sz w:val="18"/>
      <w:szCs w:val="18"/>
    </w:rPr>
  </w:style>
  <w:style w:type="character" w:customStyle="1" w:styleId="40">
    <w:name w:val="批注文字 Char"/>
    <w:basedOn w:val="16"/>
    <w:link w:val="5"/>
    <w:semiHidden/>
    <w:qFormat/>
    <w:uiPriority w:val="99"/>
    <w:rPr>
      <w:rFonts w:asciiTheme="minorHAnsi" w:hAnsiTheme="minorHAnsi" w:eastAsiaTheme="minorEastAsia" w:cstheme="minorBidi"/>
      <w:kern w:val="2"/>
      <w:sz w:val="21"/>
      <w:szCs w:val="22"/>
    </w:rPr>
  </w:style>
  <w:style w:type="character" w:customStyle="1" w:styleId="41">
    <w:name w:val="批注主题 Char"/>
    <w:basedOn w:val="40"/>
    <w:link w:val="12"/>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emf"/><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948</Words>
  <Characters>1045</Characters>
  <Lines>143</Lines>
  <Paragraphs>40</Paragraphs>
  <TotalTime>41</TotalTime>
  <ScaleCrop>false</ScaleCrop>
  <LinksUpToDate>false</LinksUpToDate>
  <CharactersWithSpaces>1052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2019-06-17T03:07:00Z</dcterms:created>
  <dc:creator>刘 莹莹</dc:creator>
  <cp:lastModifiedBy>Administrator</cp:lastModifiedBy>
  <cp:lastPrinted>2024-11-11T09:25:00Z</cp:lastPrinted>
  <dcterms:modified xsi:type="dcterms:W3CDTF">2024-11-12T08:08:03Z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FF35A73C6F2941B4BFE8EA03A6A8F0B7_13</vt:lpwstr>
  </property>
</Properties>
</file>