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江西洪城水业环保有限公司</w:t>
      </w:r>
      <w:r>
        <w:rPr>
          <w:rFonts w:hint="eastAsia" w:ascii="宋体" w:hAnsi="宋体" w:cs="宋体"/>
          <w:b/>
          <w:bCs/>
          <w:color w:val="auto"/>
          <w:sz w:val="32"/>
          <w:szCs w:val="32"/>
          <w:lang w:val="en-US" w:eastAsia="zh-CN"/>
        </w:rPr>
        <w:t>兴国县</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pPr>
        <w:pStyle w:val="17"/>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排污单位基本情况</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1、基本信息</w:t>
      </w:r>
    </w:p>
    <w:tbl>
      <w:tblPr>
        <w:tblStyle w:val="8"/>
        <w:tblpPr w:leftFromText="180" w:rightFromText="180" w:vertAnchor="text" w:horzAnchor="margin" w:tblpY="20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943"/>
        <w:gridCol w:w="2127"/>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1943"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刘熙芳</w:t>
            </w:r>
          </w:p>
        </w:tc>
        <w:tc>
          <w:tcPr>
            <w:tcW w:w="2127"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企业曾用名</w:t>
            </w:r>
          </w:p>
        </w:tc>
        <w:tc>
          <w:tcPr>
            <w:tcW w:w="2205"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企业类别</w:t>
            </w:r>
          </w:p>
        </w:tc>
        <w:tc>
          <w:tcPr>
            <w:tcW w:w="1943"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废水 </w:t>
            </w:r>
          </w:p>
        </w:tc>
        <w:tc>
          <w:tcPr>
            <w:tcW w:w="2127"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社会信用代码</w:t>
            </w:r>
          </w:p>
        </w:tc>
        <w:tc>
          <w:tcPr>
            <w:tcW w:w="2205" w:type="dxa"/>
            <w:shd w:val="clear" w:color="auto" w:fill="auto"/>
          </w:tcPr>
          <w:p>
            <w:pPr>
              <w:rPr>
                <w:rFonts w:ascii="仿宋" w:hAnsi="仿宋" w:eastAsia="仿宋"/>
                <w:sz w:val="21"/>
                <w:szCs w:val="21"/>
              </w:rPr>
            </w:pPr>
            <w:r>
              <w:rPr>
                <w:rFonts w:ascii="仿宋" w:hAnsi="仿宋" w:eastAsia="仿宋"/>
                <w:sz w:val="21"/>
                <w:szCs w:val="21"/>
              </w:rPr>
              <w:t>91360732556011653P</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方案审核地址</w:t>
            </w:r>
          </w:p>
        </w:tc>
        <w:tc>
          <w:tcPr>
            <w:tcW w:w="6275" w:type="dxa"/>
            <w:gridSpan w:val="3"/>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赣州市兴国县生态环境局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中心经度</w:t>
            </w: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115</w:t>
            </w:r>
            <w:r>
              <w:rPr>
                <w:rFonts w:hint="eastAsia" w:ascii="宋体" w:hAnsi="宋体" w:eastAsia="宋体" w:cs="宋体"/>
                <w:b w:val="0"/>
                <w:bCs w:val="0"/>
                <w:sz w:val="24"/>
                <w:szCs w:val="24"/>
              </w:rPr>
              <w:t>度</w:t>
            </w:r>
          </w:p>
        </w:tc>
        <w:tc>
          <w:tcPr>
            <w:tcW w:w="2127" w:type="dxa"/>
            <w:vMerge w:val="restart"/>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中心纬度</w:t>
            </w: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26</w:t>
            </w:r>
            <w:r>
              <w:rPr>
                <w:rFonts w:hint="eastAsia" w:ascii="宋体" w:hAnsi="宋体" w:eastAsia="宋体" w:cs="宋体"/>
                <w:b w:val="0"/>
                <w:bCs w:val="0"/>
                <w:sz w:val="24"/>
                <w:szCs w:val="24"/>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rPr>
              <w:t>分</w:t>
            </w:r>
          </w:p>
        </w:tc>
        <w:tc>
          <w:tcPr>
            <w:tcW w:w="2127"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16</w:t>
            </w:r>
            <w:r>
              <w:rPr>
                <w:rFonts w:hint="eastAsia" w:ascii="宋体" w:hAnsi="宋体" w:eastAsia="宋体" w:cs="宋体"/>
                <w:b w:val="0"/>
                <w:bCs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24.13</w:t>
            </w:r>
            <w:r>
              <w:rPr>
                <w:rFonts w:hint="eastAsia" w:ascii="宋体" w:hAnsi="宋体" w:eastAsia="宋体" w:cs="宋体"/>
                <w:b w:val="0"/>
                <w:bCs w:val="0"/>
                <w:sz w:val="24"/>
                <w:szCs w:val="24"/>
              </w:rPr>
              <w:t>秒</w:t>
            </w:r>
          </w:p>
        </w:tc>
        <w:tc>
          <w:tcPr>
            <w:tcW w:w="2127"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43.97</w:t>
            </w:r>
            <w:r>
              <w:rPr>
                <w:rFonts w:hint="eastAsia" w:ascii="宋体" w:hAnsi="宋体" w:eastAsia="宋体" w:cs="宋体"/>
                <w:b w:val="0"/>
                <w:bCs w:val="0"/>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刘熙芳</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电话号码</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 xml:space="preserve"> 13970750552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传真号码</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0797-5390343</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邮编</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0797-5390343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是否为VOC企业</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自行监测开展方式</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行业类别</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污水处理及其再生利用</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行业代码</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技术负责人</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钟清华</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数据公开时限</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手工：次日，自动：实时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排放方式</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管道</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受纳水体</w:t>
            </w:r>
          </w:p>
        </w:tc>
        <w:tc>
          <w:tcPr>
            <w:tcW w:w="2205"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平江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设计规模</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4万吨/日</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数据公开时限</w:t>
            </w:r>
          </w:p>
        </w:tc>
        <w:tc>
          <w:tcPr>
            <w:tcW w:w="2205"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手工：次日，自动：实时</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2、污染物产生情况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根据环评及环评批复，我厂主要</w:t>
            </w:r>
            <w:r>
              <w:rPr>
                <w:rFonts w:hint="eastAsia" w:ascii="宋体" w:hAnsi="宋体" w:eastAsia="宋体" w:cs="宋体"/>
                <w:sz w:val="24"/>
                <w:szCs w:val="24"/>
              </w:rPr>
              <w:t>处理城镇生活管网收集的负荷相关接管标准的生活污水，脱泥压滤产生的污水回流</w:t>
            </w:r>
            <w:r>
              <w:rPr>
                <w:rFonts w:hint="eastAsia" w:ascii="宋体" w:hAnsi="宋体" w:eastAsia="宋体" w:cs="宋体"/>
                <w:sz w:val="24"/>
                <w:szCs w:val="24"/>
                <w:lang w:eastAsia="zh-CN"/>
              </w:rPr>
              <w:t>生化池</w:t>
            </w:r>
            <w:r>
              <w:rPr>
                <w:rFonts w:hint="eastAsia" w:ascii="宋体" w:hAnsi="宋体" w:eastAsia="宋体" w:cs="宋体"/>
                <w:sz w:val="24"/>
                <w:szCs w:val="24"/>
              </w:rPr>
              <w:t>，进行处理。生产所排放的污染物主要为经过处理后，尚未彻底消解，并达到国家相关排放标准的污水</w:t>
            </w:r>
            <w:r>
              <w:rPr>
                <w:rFonts w:hint="eastAsia" w:ascii="宋体" w:hAnsi="宋体" w:eastAsia="宋体" w:cs="宋体"/>
                <w:sz w:val="28"/>
                <w:szCs w:val="28"/>
              </w:rPr>
              <w:t>。</w:t>
            </w:r>
            <w:r>
              <w:rPr>
                <w:rFonts w:hint="eastAsia" w:ascii="宋体" w:hAnsi="宋体" w:eastAsia="宋体" w:cs="宋体"/>
                <w:color w:val="auto"/>
                <w:sz w:val="24"/>
                <w:szCs w:val="24"/>
              </w:rPr>
              <w:t>出水排至</w:t>
            </w:r>
            <w:r>
              <w:rPr>
                <w:rFonts w:hint="eastAsia" w:ascii="宋体" w:hAnsi="宋体" w:eastAsia="宋体" w:cs="宋体"/>
                <w:color w:val="auto"/>
                <w:sz w:val="24"/>
                <w:szCs w:val="24"/>
                <w:lang w:eastAsia="zh-CN"/>
              </w:rPr>
              <w:t>平江</w:t>
            </w:r>
            <w:r>
              <w:rPr>
                <w:rFonts w:hint="eastAsia" w:ascii="宋体" w:hAnsi="宋体" w:eastAsia="宋体" w:cs="宋体"/>
                <w:color w:val="auto"/>
                <w:sz w:val="24"/>
                <w:szCs w:val="24"/>
              </w:rPr>
              <w:t>河</w:t>
            </w:r>
            <w:r>
              <w:rPr>
                <w:rFonts w:hint="eastAsia" w:ascii="宋体" w:hAnsi="宋体" w:eastAsia="宋体" w:cs="宋体"/>
                <w:color w:val="auto"/>
                <w:sz w:val="24"/>
                <w:szCs w:val="24"/>
                <w:lang w:eastAsia="zh-CN"/>
              </w:rPr>
              <w:t>，</w:t>
            </w:r>
            <w:r>
              <w:rPr>
                <w:rFonts w:hint="eastAsia" w:ascii="宋体" w:hAnsi="宋体" w:eastAsia="宋体" w:cs="宋体"/>
                <w:b w:val="0"/>
                <w:bCs w:val="0"/>
                <w:sz w:val="24"/>
                <w:szCs w:val="24"/>
                <w:lang w:val="en-US" w:eastAsia="zh-CN"/>
              </w:rPr>
              <w:t>出水</w:t>
            </w:r>
            <w:r>
              <w:rPr>
                <w:rFonts w:hint="eastAsia" w:ascii="宋体" w:hAnsi="宋体" w:eastAsia="宋体" w:cs="宋体"/>
                <w:b w:val="0"/>
                <w:bCs w:val="0"/>
                <w:sz w:val="24"/>
                <w:szCs w:val="24"/>
              </w:rPr>
              <w:t>执行《城镇污水处理厂污染物排放标准》（GB18918-2002）</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sz w:val="24"/>
                <w:szCs w:val="24"/>
              </w:rPr>
              <w:t>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根据环评及环评批复，废气主要为污水及污泥处理过程中产生的恶臭，相关废气执行《城镇污水处理厂污染物排放标准》（GB18918-2002）二级标准排放。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污水处理提升泵等设备运行过程中产生噪声</w:t>
            </w:r>
            <w:r>
              <w:rPr>
                <w:rFonts w:hint="eastAsia" w:ascii="宋体" w:hAnsi="宋体" w:eastAsia="宋体" w:cs="宋体"/>
                <w:sz w:val="24"/>
                <w:szCs w:val="24"/>
              </w:rPr>
              <w:t>执行</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工业企业厂界环境噪声排放标准</w:t>
            </w: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rPr>
              <w:t xml:space="preserve"> GB 12348-2008</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auto"/>
                <w:sz w:val="24"/>
                <w:szCs w:val="24"/>
              </w:rP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根据环评及环评批复，</w:t>
            </w:r>
            <w:r>
              <w:rPr>
                <w:rFonts w:hint="eastAsia" w:ascii="宋体" w:hAnsi="宋体" w:eastAsia="宋体" w:cs="宋体"/>
                <w:b w:val="0"/>
                <w:bCs/>
                <w:sz w:val="24"/>
                <w:szCs w:val="24"/>
                <w:lang w:val="en-US" w:eastAsia="zh-CN"/>
              </w:rPr>
              <w:t>2018年12月29日由兴国县环境保护局关于兴国县污水处理厂（二期）扩容和一期提标改造污泥处置项目环境影响评价文件的批复，兴环评函【2018】43号，我</w:t>
            </w:r>
            <w:r>
              <w:rPr>
                <w:rFonts w:hint="eastAsia" w:ascii="宋体" w:hAnsi="宋体" w:eastAsia="宋体" w:cs="宋体"/>
                <w:sz w:val="24"/>
                <w:szCs w:val="24"/>
              </w:rPr>
              <w:t>司污水处理厂固体废物主要为污水处理过程中产生的剩余污泥，固体废物满足相关稳定化和脱水处理后，进入垃圾填埋场进行妥善处理，防止二次污染。</w:t>
            </w:r>
            <w:r>
              <w:rPr>
                <w:rFonts w:hint="eastAsia" w:ascii="宋体" w:hAnsi="宋体" w:eastAsia="宋体" w:cs="宋体"/>
                <w:b w:val="0"/>
                <w:bCs w:val="0"/>
                <w:color w:val="auto"/>
                <w:sz w:val="24"/>
                <w:szCs w:val="24"/>
                <w:lang w:val="en-US" w:eastAsia="zh-CN"/>
              </w:rPr>
              <w:t>一年预计产生   4380吨</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FF0000"/>
          <w:sz w:val="28"/>
          <w:szCs w:val="28"/>
          <w:lang w:eastAsia="zh-CN"/>
        </w:rPr>
      </w:pPr>
      <w:r>
        <w:rPr>
          <w:rFonts w:hint="eastAsia" w:ascii="宋体" w:hAnsi="宋体" w:eastAsia="宋体" w:cs="宋体"/>
          <w:b w:val="0"/>
          <w:bCs w:val="0"/>
          <w:sz w:val="28"/>
          <w:szCs w:val="28"/>
          <w:lang w:eastAsia="zh-CN"/>
        </w:rPr>
        <w:t>3、污染处理设施情况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lang w:eastAsia="zh-CN"/>
              </w:rPr>
              <w:t>兴国县生活污水处理厂占地面积</w:t>
            </w:r>
            <w:r>
              <w:rPr>
                <w:rFonts w:hint="eastAsia" w:ascii="宋体" w:hAnsi="宋体" w:eastAsia="宋体" w:cs="宋体"/>
                <w:sz w:val="24"/>
                <w:szCs w:val="24"/>
                <w:lang w:val="en-US" w:eastAsia="zh-CN"/>
              </w:rPr>
              <w:t>72</w:t>
            </w:r>
            <w:r>
              <w:rPr>
                <w:rFonts w:hint="eastAsia" w:ascii="宋体" w:hAnsi="宋体" w:eastAsia="宋体" w:cs="宋体"/>
                <w:sz w:val="24"/>
                <w:szCs w:val="24"/>
                <w:lang w:eastAsia="zh-CN"/>
              </w:rPr>
              <w:t>亩，主要收集处理城区生活污水的处理，2009年完成一期日处理2万吨规模的建设，</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年完成二期2万吨规模的建设，现设计总处理规模为4万吨/日。</w:t>
            </w:r>
            <w:r>
              <w:rPr>
                <w:rFonts w:hint="eastAsia" w:ascii="宋体" w:hAnsi="宋体" w:eastAsia="宋体" w:cs="宋体"/>
                <w:sz w:val="24"/>
                <w:szCs w:val="24"/>
                <w:lang w:eastAsia="zh-CN"/>
              </w:rPr>
              <w:t>污水处理工艺为“沉砂池+</w:t>
            </w:r>
            <w:r>
              <w:rPr>
                <w:rFonts w:hint="eastAsia" w:ascii="宋体" w:hAnsi="宋体" w:eastAsia="宋体" w:cs="宋体"/>
                <w:b w:val="0"/>
                <w:bCs w:val="0"/>
                <w:sz w:val="24"/>
                <w:szCs w:val="24"/>
                <w:u w:val="none"/>
              </w:rPr>
              <w:t>改良型卡式氧化沟</w:t>
            </w:r>
            <w:r>
              <w:rPr>
                <w:rFonts w:hint="eastAsia" w:ascii="宋体" w:hAnsi="宋体" w:eastAsia="宋体" w:cs="宋体"/>
                <w:b w:val="0"/>
                <w:bCs w:val="0"/>
                <w:sz w:val="24"/>
                <w:szCs w:val="24"/>
                <w:u w:val="none"/>
                <w:lang w:val="en-US" w:eastAsia="zh-CN"/>
              </w:rPr>
              <w:t>+高效磁混凝池+反硝化深</w:t>
            </w:r>
            <w:r>
              <w:rPr>
                <w:rFonts w:hint="eastAsia" w:ascii="宋体" w:hAnsi="宋体" w:eastAsia="宋体" w:cs="宋体"/>
                <w:sz w:val="24"/>
                <w:szCs w:val="24"/>
                <w:u w:val="none"/>
              </w:rPr>
              <w:t>床</w:t>
            </w:r>
            <w:r>
              <w:rPr>
                <w:rFonts w:hint="eastAsia" w:ascii="宋体" w:hAnsi="宋体" w:eastAsia="宋体" w:cs="宋体"/>
                <w:sz w:val="24"/>
                <w:szCs w:val="24"/>
                <w:u w:val="none"/>
                <w:lang w:eastAsia="zh-CN"/>
              </w:rPr>
              <w:t>滤池</w:t>
            </w:r>
            <w:r>
              <w:rPr>
                <w:rFonts w:hint="eastAsia" w:ascii="宋体" w:hAnsi="宋体" w:eastAsia="宋体" w:cs="宋体"/>
                <w:b w:val="0"/>
                <w:bCs w:val="0"/>
                <w:sz w:val="24"/>
                <w:szCs w:val="24"/>
                <w:u w:val="none"/>
                <w:lang w:val="en-US" w:eastAsia="zh-CN"/>
              </w:rPr>
              <w:t>+次氯酸钠消毒</w:t>
            </w:r>
            <w:r>
              <w:rPr>
                <w:rFonts w:hint="eastAsia" w:ascii="宋体" w:hAnsi="宋体" w:eastAsia="宋体" w:cs="宋体"/>
                <w:sz w:val="24"/>
                <w:szCs w:val="24"/>
                <w:lang w:eastAsia="zh-CN"/>
              </w:rPr>
              <w:t>”，主要污染处理设施包括格栅，提升泵、沉砂池、氧化沟生化降解池，二沉池，</w:t>
            </w:r>
            <w:r>
              <w:rPr>
                <w:rFonts w:hint="eastAsia" w:ascii="宋体" w:hAnsi="宋体" w:eastAsia="宋体" w:cs="宋体"/>
                <w:b w:val="0"/>
                <w:bCs w:val="0"/>
                <w:sz w:val="24"/>
                <w:szCs w:val="24"/>
                <w:u w:val="none"/>
                <w:lang w:val="en-US" w:eastAsia="zh-CN"/>
              </w:rPr>
              <w:t>高效磁混凝池,反硝化深</w:t>
            </w:r>
            <w:r>
              <w:rPr>
                <w:rFonts w:hint="eastAsia" w:ascii="宋体" w:hAnsi="宋体" w:eastAsia="宋体" w:cs="宋体"/>
                <w:sz w:val="24"/>
                <w:szCs w:val="24"/>
                <w:u w:val="none"/>
              </w:rPr>
              <w:t>床</w:t>
            </w:r>
            <w:r>
              <w:rPr>
                <w:rFonts w:hint="eastAsia" w:ascii="宋体" w:hAnsi="宋体" w:eastAsia="宋体" w:cs="宋体"/>
                <w:sz w:val="24"/>
                <w:szCs w:val="24"/>
                <w:u w:val="none"/>
                <w:lang w:eastAsia="zh-CN"/>
              </w:rPr>
              <w:t>滤池</w:t>
            </w:r>
            <w:r>
              <w:rPr>
                <w:rFonts w:hint="eastAsia" w:ascii="宋体" w:hAnsi="宋体" w:eastAsia="宋体" w:cs="宋体"/>
                <w:sz w:val="24"/>
                <w:szCs w:val="24"/>
                <w:u w:val="none"/>
                <w:lang w:val="en-US" w:eastAsia="zh-CN"/>
              </w:rPr>
              <w:t>,</w:t>
            </w:r>
            <w:r>
              <w:rPr>
                <w:rFonts w:hint="eastAsia" w:ascii="宋体" w:hAnsi="宋体" w:eastAsia="宋体" w:cs="宋体"/>
                <w:b w:val="0"/>
                <w:bCs w:val="0"/>
                <w:sz w:val="24"/>
                <w:szCs w:val="24"/>
                <w:u w:val="none"/>
                <w:lang w:val="en-US" w:eastAsia="zh-CN"/>
              </w:rPr>
              <w:t>次氯酸钠消毒</w:t>
            </w:r>
            <w:r>
              <w:rPr>
                <w:rFonts w:hint="eastAsia" w:ascii="宋体" w:hAnsi="宋体" w:eastAsia="宋体" w:cs="宋体"/>
                <w:sz w:val="24"/>
                <w:szCs w:val="24"/>
                <w:lang w:eastAsia="zh-CN"/>
              </w:rPr>
              <w:t>等设备设施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按环评要求设置了卫生防护距离，并在厂界四周种植了绿化隔离带。废气源通过风管收集至生物土壤滤池处理后无组织排放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sz w:val="24"/>
                <w:szCs w:val="24"/>
              </w:rPr>
              <w:t>污泥经过稳定化和脱水处理后</w:t>
            </w:r>
            <w:r>
              <w:rPr>
                <w:rFonts w:hint="eastAsia" w:ascii="宋体" w:hAnsi="宋体" w:eastAsia="宋体" w:cs="宋体"/>
                <w:sz w:val="24"/>
                <w:szCs w:val="24"/>
                <w:lang w:eastAsia="zh-CN"/>
              </w:rPr>
              <w:t>，板框脱泥，含水率达到</w:t>
            </w:r>
            <w:r>
              <w:rPr>
                <w:rFonts w:hint="eastAsia" w:ascii="宋体" w:hAnsi="宋体" w:eastAsia="宋体" w:cs="宋体"/>
                <w:sz w:val="24"/>
                <w:szCs w:val="24"/>
                <w:lang w:val="en-US" w:eastAsia="zh-CN"/>
              </w:rPr>
              <w:t>60%以下，货车</w:t>
            </w:r>
            <w:r>
              <w:rPr>
                <w:rFonts w:hint="eastAsia" w:ascii="宋体" w:hAnsi="宋体" w:eastAsia="宋体" w:cs="宋体"/>
                <w:sz w:val="24"/>
                <w:szCs w:val="24"/>
              </w:rPr>
              <w:t>外运至</w:t>
            </w:r>
            <w:r>
              <w:rPr>
                <w:rFonts w:hint="eastAsia" w:ascii="宋体" w:hAnsi="宋体" w:eastAsia="宋体" w:cs="宋体"/>
                <w:sz w:val="24"/>
                <w:szCs w:val="24"/>
                <w:lang w:eastAsia="zh-CN"/>
              </w:rPr>
              <w:t>兴国县垃圾场填埋进行卫生填埋。</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4"/>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二、工艺流程及废水监测点位</w:t>
      </w:r>
    </w:p>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drawing>
          <wp:inline distT="0" distB="0" distL="114300" distR="114300">
            <wp:extent cx="8112125" cy="5198110"/>
            <wp:effectExtent l="0" t="0" r="2540" b="3175"/>
            <wp:docPr id="7" name="图片 7" descr="JL51~1Q_WEF{[FIPD3[K92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JL51~1Q_WEF{[FIPD3[K92J"/>
                    <pic:cNvPicPr>
                      <a:picLocks noChangeAspect="1"/>
                    </pic:cNvPicPr>
                  </pic:nvPicPr>
                  <pic:blipFill>
                    <a:blip r:embed="rId5"/>
                    <a:stretch>
                      <a:fillRect/>
                    </a:stretch>
                  </pic:blipFill>
                  <pic:spPr>
                    <a:xfrm rot="5400000">
                      <a:off x="0" y="0"/>
                      <a:ext cx="8112125" cy="5198110"/>
                    </a:xfrm>
                    <a:prstGeom prst="rect">
                      <a:avLst/>
                    </a:prstGeom>
                  </pic:spPr>
                </pic:pic>
              </a:graphicData>
            </a:graphic>
          </wp:inline>
        </w:drawing>
      </w:r>
    </w:p>
    <w:p>
      <w:pPr>
        <w:keepNext w:val="0"/>
        <w:keepLines w:val="0"/>
        <w:widowControl/>
        <w:suppressLineNumbers w:val="0"/>
        <w:jc w:val="left"/>
        <w:rPr>
          <w:rFonts w:hint="eastAsia" w:ascii="宋体" w:hAnsi="宋体" w:eastAsia="宋体" w:cs="宋体"/>
          <w:b w:val="0"/>
          <w:bCs w:val="0"/>
          <w:sz w:val="28"/>
          <w:szCs w:val="28"/>
          <w:lang w:eastAsia="zh-CN"/>
        </w:rPr>
      </w:pPr>
      <w:r>
        <w:rPr>
          <w:sz w:val="28"/>
        </w:rPr>
        <mc:AlternateContent>
          <mc:Choice Requires="wps">
            <w:drawing>
              <wp:anchor distT="0" distB="0" distL="114300" distR="114300" simplePos="0" relativeHeight="251674624" behindDoc="0" locked="0" layoutInCell="1" allowOverlap="1">
                <wp:simplePos x="0" y="0"/>
                <wp:positionH relativeFrom="column">
                  <wp:posOffset>204470</wp:posOffset>
                </wp:positionH>
                <wp:positionV relativeFrom="paragraph">
                  <wp:posOffset>-245110</wp:posOffset>
                </wp:positionV>
                <wp:extent cx="121920" cy="178435"/>
                <wp:effectExtent l="4445" t="4445" r="6985" b="7620"/>
                <wp:wrapNone/>
                <wp:docPr id="5" name="文本框 5"/>
                <wp:cNvGraphicFramePr/>
                <a:graphic xmlns:a="http://schemas.openxmlformats.org/drawingml/2006/main">
                  <a:graphicData uri="http://schemas.microsoft.com/office/word/2010/wordprocessingShape">
                    <wps:wsp>
                      <wps:cNvSpPr txBox="1"/>
                      <wps:spPr>
                        <a:xfrm>
                          <a:off x="1328420" y="1059815"/>
                          <a:ext cx="121920" cy="178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pt;margin-top:-19.3pt;height:14.05pt;width:9.6pt;z-index:251674624;mso-width-relative:page;mso-height-relative:page;" fillcolor="#FFFFFF [3201]" filled="t" stroked="t" coordsize="21600,21600" o:gfxdata="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ubhV11gAAAAkBAAAPAAAAAAAAAAEAIAAAACIAAABkcnMvZG93bnJldi54bWxQSwECFAAUAAAA&#10;CACHTuJAoLfROWICAADCBAAADgAAAAAAAAABACAAAAAlAQAAZHJzL2Uyb0RvYy54bWxQSwUGAAAA&#10;AAYABgBZAQAA+QUAAAAA&#10;">
                <v:fill on="t" focussize="0,0"/>
                <v:stroke weight="0.5pt" color="#000000 [3204]" joinstyle="round"/>
                <v:imagedata o:title=""/>
                <o:lock v:ext="edit" aspectratio="f"/>
                <v:textbox>
                  <w:txbxContent>
                    <w:p>
                      <w:pPr>
                        <w:rPr>
                          <w:rFonts w:hint="eastAsia" w:eastAsiaTheme="minorEastAsia"/>
                          <w:lang w:eastAsia="zh-CN"/>
                        </w:rPr>
                      </w:pPr>
                    </w:p>
                  </w:txbxContent>
                </v:textbox>
              </v:shape>
            </w:pict>
          </mc:Fallback>
        </mc:AlternateContent>
      </w:r>
      <w:r>
        <w:rPr>
          <w:rFonts w:hint="eastAsia" w:ascii="宋体" w:hAnsi="宋体" w:eastAsia="宋体" w:cs="宋体"/>
          <w:b w:val="0"/>
          <w:bCs w:val="0"/>
          <w:sz w:val="28"/>
          <w:szCs w:val="28"/>
          <w:lang w:eastAsia="zh-CN"/>
        </w:rPr>
        <w:drawing>
          <wp:inline distT="0" distB="0" distL="114300" distR="114300">
            <wp:extent cx="5137150" cy="8851265"/>
            <wp:effectExtent l="0" t="0" r="6350" b="6985"/>
            <wp:docPr id="2" name="图片 2" descr="543bfd9dc4f422b09c6a00d62a23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3bfd9dc4f422b09c6a00d62a23dc4"/>
                    <pic:cNvPicPr>
                      <a:picLocks noChangeAspect="1"/>
                    </pic:cNvPicPr>
                  </pic:nvPicPr>
                  <pic:blipFill>
                    <a:blip r:embed="rId6"/>
                    <a:stretch>
                      <a:fillRect/>
                    </a:stretch>
                  </pic:blipFill>
                  <pic:spPr>
                    <a:xfrm>
                      <a:off x="0" y="0"/>
                      <a:ext cx="5137150" cy="8851265"/>
                    </a:xfrm>
                    <a:prstGeom prst="rect">
                      <a:avLst/>
                    </a:prstGeom>
                  </pic:spPr>
                </pic:pic>
              </a:graphicData>
            </a:graphic>
          </wp:inline>
        </w:drawing>
      </w:r>
    </w:p>
    <w:p>
      <w:pPr>
        <w:pStyle w:val="17"/>
        <w:keepNext w:val="0"/>
        <w:keepLines w:val="0"/>
        <w:pageBreakBefore w:val="0"/>
        <w:kinsoku/>
        <w:wordWrap/>
        <w:overflowPunct/>
        <w:topLinePunct w:val="0"/>
        <w:autoSpaceDE/>
        <w:autoSpaceDN/>
        <w:bidi w:val="0"/>
        <w:spacing w:line="240" w:lineRule="auto"/>
        <w:ind w:firstLine="557" w:firstLineChars="199"/>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图1  工艺流程图和废水监测点</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4"/>
        <w:rPr>
          <w:rFonts w:hint="eastAsia" w:ascii="宋体" w:hAnsi="宋体" w:eastAsia="宋体" w:cs="宋体"/>
          <w:b/>
          <w:bCs/>
          <w:color w:val="FF0000"/>
          <w:sz w:val="28"/>
          <w:szCs w:val="28"/>
          <w:lang w:eastAsia="zh-CN"/>
        </w:rPr>
      </w:pPr>
      <w:r>
        <w:rPr>
          <w:rFonts w:hint="eastAsia" w:ascii="宋体" w:hAnsi="宋体" w:eastAsia="宋体" w:cs="宋体"/>
          <w:b/>
          <w:bCs/>
          <w:sz w:val="28"/>
          <w:szCs w:val="28"/>
          <w:lang w:eastAsia="zh-CN"/>
        </w:rPr>
        <w:t>三、无组织废气</w:t>
      </w:r>
      <w:r>
        <w:rPr>
          <w:rFonts w:hint="eastAsia" w:ascii="宋体" w:hAnsi="宋体" w:eastAsia="宋体" w:cs="宋体"/>
          <w:b/>
          <w:bCs/>
          <w:color w:val="FF0000"/>
          <w:sz w:val="28"/>
          <w:szCs w:val="28"/>
          <w:lang w:eastAsia="zh-CN"/>
        </w:rPr>
        <w:t>（按环评文件填写，</w:t>
      </w:r>
      <w:r>
        <w:rPr>
          <w:rFonts w:hint="eastAsia" w:ascii="宋体" w:hAnsi="宋体" w:eastAsia="宋体" w:cs="宋体"/>
          <w:b/>
          <w:bCs/>
          <w:color w:val="FF0000"/>
          <w:sz w:val="28"/>
          <w:szCs w:val="28"/>
          <w:lang w:val="en-US" w:eastAsia="zh-CN"/>
        </w:rPr>
        <w:t>有有组织废气的需增加</w:t>
      </w:r>
      <w:r>
        <w:rPr>
          <w:rFonts w:hint="eastAsia" w:ascii="宋体" w:hAnsi="宋体" w:eastAsia="宋体" w:cs="宋体"/>
          <w:b/>
          <w:bCs/>
          <w:color w:val="FF0000"/>
          <w:sz w:val="28"/>
          <w:szCs w:val="28"/>
          <w:lang w:eastAsia="zh-CN"/>
        </w:rPr>
        <w:t>）</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color w:val="auto"/>
          <w:sz w:val="28"/>
          <w:szCs w:val="28"/>
          <w:lang w:eastAsia="zh-CN"/>
        </w:rPr>
      </w:pPr>
      <w:r>
        <w:rPr>
          <w:rFonts w:hint="eastAsia" w:ascii="宋体" w:hAnsi="宋体" w:eastAsia="宋体" w:cs="宋体"/>
          <w:b w:val="0"/>
          <w:bCs w:val="0"/>
          <w:sz w:val="28"/>
          <w:szCs w:val="28"/>
          <w:lang w:eastAsia="zh-CN"/>
        </w:rPr>
        <w:t>本公司大气污染源主要</w:t>
      </w:r>
      <w:r>
        <w:rPr>
          <w:rFonts w:hint="eastAsia" w:ascii="宋体" w:hAnsi="宋体" w:cs="宋体"/>
          <w:b w:val="0"/>
          <w:bCs w:val="0"/>
          <w:sz w:val="28"/>
          <w:szCs w:val="28"/>
          <w:lang w:eastAsia="zh-CN"/>
        </w:rPr>
        <w:t>来源于</w:t>
      </w:r>
      <w:r>
        <w:rPr>
          <w:rFonts w:ascii="宋体"/>
          <w:sz w:val="28"/>
          <w:szCs w:val="28"/>
        </w:rPr>
        <w:t>污水及污泥处理过程中</w:t>
      </w:r>
      <w:r>
        <w:rPr>
          <w:rFonts w:hint="eastAsia" w:ascii="宋体" w:hAnsi="宋体" w:eastAsia="宋体" w:cs="宋体"/>
          <w:b w:val="0"/>
          <w:bCs w:val="0"/>
          <w:sz w:val="28"/>
          <w:szCs w:val="28"/>
          <w:lang w:eastAsia="zh-CN"/>
        </w:rPr>
        <w:t>产生的恶臭等。</w:t>
      </w:r>
      <w:r>
        <w:rPr>
          <w:rFonts w:hint="eastAsia" w:ascii="宋体" w:hAnsi="宋体" w:eastAsia="宋体" w:cs="宋体"/>
          <w:b w:val="0"/>
          <w:bCs w:val="0"/>
          <w:color w:val="auto"/>
          <w:sz w:val="28"/>
          <w:szCs w:val="28"/>
          <w:lang w:eastAsia="zh-CN"/>
        </w:rPr>
        <w:t>这个设施产生的恶臭为无组织排放，采取的主要环保措施是</w:t>
      </w:r>
      <w:r>
        <w:rPr>
          <w:rFonts w:hint="eastAsia" w:ascii="宋体" w:hAnsi="宋体" w:cs="宋体"/>
          <w:b w:val="0"/>
          <w:bCs w:val="0"/>
          <w:color w:val="auto"/>
          <w:sz w:val="28"/>
          <w:szCs w:val="28"/>
          <w:lang w:val="en-US" w:eastAsia="zh-CN"/>
        </w:rPr>
        <w:t>生物</w:t>
      </w:r>
      <w:r>
        <w:rPr>
          <w:rFonts w:ascii="宋体" w:hAnsi="宋体" w:eastAsia="宋体" w:cs="宋体"/>
          <w:color w:val="auto"/>
          <w:sz w:val="28"/>
          <w:szCs w:val="28"/>
        </w:rPr>
        <w:t>土壤除臭</w:t>
      </w:r>
      <w:r>
        <w:rPr>
          <w:rFonts w:hint="eastAsia" w:ascii="宋体" w:hAnsi="宋体" w:cs="宋体"/>
          <w:color w:val="auto"/>
          <w:sz w:val="28"/>
          <w:szCs w:val="28"/>
          <w:lang w:eastAsia="zh-CN"/>
        </w:rPr>
        <w:t>方法处理</w:t>
      </w:r>
      <w:r>
        <w:rPr>
          <w:rFonts w:hint="eastAsia" w:ascii="宋体" w:hAnsi="宋体" w:eastAsia="宋体" w:cs="宋体"/>
          <w:b w:val="0"/>
          <w:bCs w:val="0"/>
          <w:color w:val="auto"/>
          <w:sz w:val="28"/>
          <w:szCs w:val="28"/>
          <w:lang w:eastAsia="zh-CN"/>
        </w:rPr>
        <w:t>。</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-134620</wp:posOffset>
                </wp:positionH>
                <wp:positionV relativeFrom="paragraph">
                  <wp:posOffset>391160</wp:posOffset>
                </wp:positionV>
                <wp:extent cx="4824730" cy="3223260"/>
                <wp:effectExtent l="4445" t="4445" r="9525" b="10795"/>
                <wp:wrapNone/>
                <wp:docPr id="8" name="文本框 8"/>
                <wp:cNvGraphicFramePr/>
                <a:graphic xmlns:a="http://schemas.openxmlformats.org/drawingml/2006/main">
                  <a:graphicData uri="http://schemas.microsoft.com/office/word/2010/wordprocessingShape">
                    <wps:wsp>
                      <wps:cNvSpPr txBox="1"/>
                      <wps:spPr>
                        <a:xfrm>
                          <a:off x="0" y="0"/>
                          <a:ext cx="4824730" cy="3223260"/>
                        </a:xfrm>
                        <a:prstGeom prst="rect">
                          <a:avLst/>
                        </a:prstGeom>
                        <a:solidFill>
                          <a:schemeClr val="lt1"/>
                        </a:solidFill>
                        <a:ln w="6350">
                          <a:solidFill>
                            <a:prstClr val="black"/>
                          </a:solidFill>
                        </a:ln>
                      </wps:spPr>
                      <wps:txbx>
                        <w:txbxContent>
                          <w:p>
                            <w:pPr>
                              <w:ind w:left="560" w:hanging="560" w:hanging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746625" cy="3155315"/>
                                  <wp:effectExtent l="0" t="0" r="15875" b="6985"/>
                                  <wp:docPr id="1" name="图片 1" descr="IMG2021121010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211210103505"/>
                                          <pic:cNvPicPr>
                                            <a:picLocks noChangeAspect="1"/>
                                          </pic:cNvPicPr>
                                        </pic:nvPicPr>
                                        <pic:blipFill>
                                          <a:blip r:embed="rId7"/>
                                          <a:stretch>
                                            <a:fillRect/>
                                          </a:stretch>
                                        </pic:blipFill>
                                        <pic:spPr>
                                          <a:xfrm>
                                            <a:off x="0" y="0"/>
                                            <a:ext cx="4746625" cy="31553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0.8pt;height:253.8pt;width:379.9pt;z-index:251660288;mso-width-relative:page;mso-height-relative:page;" fillcolor="#FFFFFF [3201]" filled="t" stroked="t" coordsize="21600,21600" o:gfxdata="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GlA5&#10;1wAAAAoBAAAPAAAAAAAAAAEAIAAAACIAAABkcnMvZG93bnJldi54bWxQSwECFAAUAAAACACHTuJA&#10;aF46uVsCAAC4BAAADgAAAAAAAAABACAAAAAmAQAAZHJzL2Uyb0RvYy54bWxQSwUGAAAAAAYABgBZ&#10;AQAA8wUAAAAA&#10;">
                <v:fill on="t" focussize="0,0"/>
                <v:stroke weight="0.5pt" color="#000000" joinstyle="round"/>
                <v:imagedata o:title=""/>
                <o:lock v:ext="edit" aspectratio="f"/>
                <v:textbox>
                  <w:txbxContent>
                    <w:p>
                      <w:pPr>
                        <w:ind w:left="560" w:hanging="560" w:hanging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746625" cy="3155315"/>
                            <wp:effectExtent l="0" t="0" r="15875" b="6985"/>
                            <wp:docPr id="1" name="图片 1" descr="IMG2021121010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211210103505"/>
                                    <pic:cNvPicPr>
                                      <a:picLocks noChangeAspect="1"/>
                                    </pic:cNvPicPr>
                                  </pic:nvPicPr>
                                  <pic:blipFill>
                                    <a:blip r:embed="rId7"/>
                                    <a:stretch>
                                      <a:fillRect/>
                                    </a:stretch>
                                  </pic:blipFill>
                                  <pic:spPr>
                                    <a:xfrm>
                                      <a:off x="0" y="0"/>
                                      <a:ext cx="4746625" cy="3155315"/>
                                    </a:xfrm>
                                    <a:prstGeom prst="rect">
                                      <a:avLst/>
                                    </a:prstGeom>
                                  </pic:spPr>
                                </pic:pic>
                              </a:graphicData>
                            </a:graphic>
                          </wp:inline>
                        </w:drawing>
                      </w:r>
                    </w:p>
                  </w:txbxContent>
                </v:textbox>
              </v:shape>
            </w:pict>
          </mc:Fallback>
        </mc:AlternateContent>
      </w:r>
      <w:r>
        <w:rPr>
          <w:rFonts w:hint="eastAsia" w:ascii="宋体" w:hAnsi="宋体" w:eastAsia="宋体" w:cs="宋体"/>
          <w:b w:val="0"/>
          <w:bCs w:val="0"/>
          <w:sz w:val="28"/>
          <w:szCs w:val="28"/>
          <w:lang w:eastAsia="zh-CN"/>
        </w:rPr>
        <w:t>无组织废气监测期间同步监测气象因子</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9504" behindDoc="0" locked="0" layoutInCell="1" allowOverlap="1">
                <wp:simplePos x="0" y="0"/>
                <wp:positionH relativeFrom="column">
                  <wp:posOffset>4456430</wp:posOffset>
                </wp:positionH>
                <wp:positionV relativeFrom="paragraph">
                  <wp:posOffset>344170</wp:posOffset>
                </wp:positionV>
                <wp:extent cx="293370" cy="716280"/>
                <wp:effectExtent l="19050" t="19050" r="30480" b="26670"/>
                <wp:wrapNone/>
                <wp:docPr id="20" name="箭头: 上 20"/>
                <wp:cNvGraphicFramePr/>
                <a:graphic xmlns:a="http://schemas.openxmlformats.org/drawingml/2006/main">
                  <a:graphicData uri="http://schemas.microsoft.com/office/word/2010/wordprocessingShape">
                    <wps:wsp>
                      <wps:cNvSpPr/>
                      <wps:spPr>
                        <a:xfrm>
                          <a:off x="0" y="0"/>
                          <a:ext cx="293370" cy="7162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上 20" o:spid="_x0000_s1026" o:spt="68" type="#_x0000_t68" style="position:absolute;left:0pt;margin-left:350.9pt;margin-top:27.1pt;height:56.4pt;width:23.1pt;z-index:251669504;v-text-anchor:middle;mso-width-relative:page;mso-height-relative:page;" fillcolor="#4472C4 [3204]" filled="t" stroked="t" coordsize="21600,21600" o:gfxdata="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N&#10;BBF72AAAAAoBAAAPAAAAAAAAAAEAIAAAACIAAABkcnMvZG93bnJldi54bWxQSwECFAAUAAAACACH&#10;TuJAA+rIcpYCAAApBQAADgAAAAAAAAABACAAAAAnAQAAZHJzL2Uyb0RvYy54bWxQSwUGAAAAAAYA&#10;BgBZAQAALwYAAAAA&#10;" adj="4423,5400">
                <v:fill on="t" focussize="0,0"/>
                <v:stroke weight="1pt" color="#2F528F [3204]"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72576" behindDoc="0" locked="0" layoutInCell="1" allowOverlap="1">
                <wp:simplePos x="0" y="0"/>
                <wp:positionH relativeFrom="column">
                  <wp:posOffset>3874770</wp:posOffset>
                </wp:positionH>
                <wp:positionV relativeFrom="paragraph">
                  <wp:posOffset>4445</wp:posOffset>
                </wp:positionV>
                <wp:extent cx="601980" cy="3886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pt;margin-top:0.35pt;height:30.6pt;width:47.4pt;z-index:251672576;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v:fill on="f" focussize="0,0"/>
                <v:stroke on="f" weight="0.5pt"/>
                <v:imagedata o:title=""/>
                <o:lock v:ext="edit" aspectratio="f"/>
                <v:textbox>
                  <w:txbxContent>
                    <w:p>
                      <w:pPr>
                        <w:rPr>
                          <w:b/>
                          <w:bCs/>
                          <w:sz w:val="24"/>
                          <w:szCs w:val="24"/>
                        </w:rPr>
                      </w:pPr>
                      <w:r>
                        <w:rPr>
                          <w:rFonts w:hint="eastAsia"/>
                          <w:b/>
                          <w:bCs/>
                          <w:sz w:val="24"/>
                          <w:szCs w:val="24"/>
                        </w:rPr>
                        <w:t>N</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6432" behindDoc="0" locked="0" layoutInCell="1" allowOverlap="1">
                <wp:simplePos x="0" y="0"/>
                <wp:positionH relativeFrom="column">
                  <wp:posOffset>2948940</wp:posOffset>
                </wp:positionH>
                <wp:positionV relativeFrom="paragraph">
                  <wp:posOffset>319405</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pt;margin-top:25.15pt;height:30.6pt;width:25.8pt;z-index:251666432;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v:fill on="f" focussize="0,0"/>
                <v:stroke on="f" weight="0.5pt"/>
                <v:imagedata o:title=""/>
                <o:lock v:ext="edit" aspectratio="f"/>
                <v:textbox>
                  <w:txbxContent>
                    <w:p>
                      <w:pPr>
                        <w:rPr>
                          <w:b/>
                          <w:bCs/>
                          <w:sz w:val="24"/>
                          <w:szCs w:val="24"/>
                        </w:rPr>
                      </w:pPr>
                      <w:r>
                        <w:rPr>
                          <w:b/>
                          <w:bCs/>
                          <w:sz w:val="24"/>
                          <w:szCs w:val="24"/>
                        </w:rPr>
                        <w:t>4</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7456" behindDoc="0" locked="0" layoutInCell="1" allowOverlap="1">
                <wp:simplePos x="0" y="0"/>
                <wp:positionH relativeFrom="column">
                  <wp:posOffset>2209800</wp:posOffset>
                </wp:positionH>
                <wp:positionV relativeFrom="paragraph">
                  <wp:posOffset>319405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5.15pt;height:30.6pt;width:25.8pt;z-index:25166745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pPr>
                        <w:rPr>
                          <w:b/>
                          <w:bCs/>
                          <w:sz w:val="24"/>
                          <w:szCs w:val="24"/>
                        </w:rPr>
                      </w:pPr>
                      <w:r>
                        <w:rPr>
                          <w:b/>
                          <w:bCs/>
                          <w:sz w:val="24"/>
                          <w:szCs w:val="24"/>
                        </w:rPr>
                        <w:t>3</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1463040</wp:posOffset>
                </wp:positionH>
                <wp:positionV relativeFrom="paragraph">
                  <wp:posOffset>320040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2pt;margin-top:25.2pt;height:30.6pt;width:25.8pt;z-index:251661312;mso-width-relative:page;mso-height-relative:page;" filled="f" stroked="f" coordsize="21600,21600"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HlT7LaAAAACgEAAA8AAAAAAAAAAQAgAAAAIgAAAGRy&#10;cy9kb3ducmV2LnhtbFBLAQIUABQAAAAIAIdO4kBltxpwPAIAAGcEAAAOAAAAAAAAAAEAIAAAACkB&#10;AABkcnMvZTJvRG9jLnhtbFBLBQYAAAAABgAGAFkBAADXBQAAAAA=&#10;">
                <v:fill on="f" focussize="0,0"/>
                <v:stroke on="f" weight="0.5pt"/>
                <v:imagedata o:title=""/>
                <o:lock v:ext="edit" aspectratio="f"/>
                <v:textbox>
                  <w:txbxContent>
                    <w:p>
                      <w:pPr>
                        <w:rPr>
                          <w:b/>
                          <w:bCs/>
                          <w:sz w:val="24"/>
                          <w:szCs w:val="24"/>
                        </w:rPr>
                      </w:pPr>
                      <w:r>
                        <w:rPr>
                          <w:b/>
                          <w:bCs/>
                          <w:sz w:val="24"/>
                          <w:szCs w:val="24"/>
                        </w:rPr>
                        <w:t>2</w:t>
                      </w: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71552" behindDoc="0" locked="0" layoutInCell="1" allowOverlap="1">
                <wp:simplePos x="0" y="0"/>
                <wp:positionH relativeFrom="column">
                  <wp:posOffset>4034790</wp:posOffset>
                </wp:positionH>
                <wp:positionV relativeFrom="paragraph">
                  <wp:posOffset>46355</wp:posOffset>
                </wp:positionV>
                <wp:extent cx="0" cy="640080"/>
                <wp:effectExtent l="57150" t="38100" r="57150" b="7620"/>
                <wp:wrapNone/>
                <wp:docPr id="23" name="直接箭头连接符 23"/>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17.7pt;margin-top:3.65pt;height:50.4pt;width:0pt;z-index:251671552;mso-width-relative:page;mso-height-relative:page;" filled="f" stroked="t" coordsize="21600,21600" o:gfxdata="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Twow1wAAAAkBAAAPAAAAAAAAAAEAIAAA&#10;ACIAAABkcnMvZG93bnJldi54bWxQSwECFAAUAAAACACHTuJARAGrGA0CAADtAwAADgAAAAAAAAAB&#10;ACAAAAAmAQAAZHJzL2Uyb0RvYy54bWxQSwUGAAAAAAYABgBZAQAApQUAAAAA&#10;">
                <v:fill on="f" focussize="0,0"/>
                <v:stroke weight="3pt" color="#000000 [3213]" miterlimit="8" joinstyle="miter" endarrow="block"/>
                <v:imagedata o:title=""/>
                <o:lock v:ext="edit" aspectratio="f"/>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70528" behindDoc="0" locked="0" layoutInCell="1" allowOverlap="1">
                <wp:simplePos x="0" y="0"/>
                <wp:positionH relativeFrom="column">
                  <wp:posOffset>4724400</wp:posOffset>
                </wp:positionH>
                <wp:positionV relativeFrom="paragraph">
                  <wp:posOffset>170180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13.4pt;height:30.6pt;width:47.4pt;z-index:251670528;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v:fill on="f" focussize="0,0"/>
                <v:stroke on="f" weight="0.5pt"/>
                <v:imagedata o:title=""/>
                <o:lock v:ext="edit" aspectratio="f"/>
                <v:textbox>
                  <w:txbxContent>
                    <w:p>
                      <w:pPr>
                        <w:rPr>
                          <w:b/>
                          <w:bCs/>
                          <w:sz w:val="24"/>
                          <w:szCs w:val="24"/>
                        </w:rPr>
                      </w:pPr>
                      <w:r>
                        <w:rPr>
                          <w:rFonts w:hint="eastAsia"/>
                          <w:b/>
                          <w:bCs/>
                          <w:sz w:val="24"/>
                          <w:szCs w:val="24"/>
                        </w:rPr>
                        <w:t>风向</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1264920</wp:posOffset>
                </wp:positionH>
                <wp:positionV relativeFrom="paragraph">
                  <wp:posOffset>174625</wp:posOffset>
                </wp:positionV>
                <wp:extent cx="160020" cy="160020"/>
                <wp:effectExtent l="0" t="0" r="11430" b="11430"/>
                <wp:wrapNone/>
                <wp:docPr id="14" name="椭圆 14"/>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9.6pt;margin-top:13.75pt;height:12.6pt;width:12.6pt;z-index:251663360;v-text-anchor:middle;mso-width-relative:page;mso-height-relative:page;" filled="f" stroked="t" coordsize="21600,21600" o:gfxdata="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musLm1wAAAAkBAAAPAAAAAAAAAAEAIAAAACIAAABkcnMvZG93bnJldi54bWxQ&#10;SwECFAAUAAAACACHTuJA6rt55moCAADaBAAADgAAAAAAAAABACAAAAAmAQAAZHJzL2Uyb0RvYy54&#10;bWxQSwUGAAAAAAYABgBZAQAAAgY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4384" behindDoc="0" locked="0" layoutInCell="1" allowOverlap="1">
                <wp:simplePos x="0" y="0"/>
                <wp:positionH relativeFrom="column">
                  <wp:posOffset>2095500</wp:posOffset>
                </wp:positionH>
                <wp:positionV relativeFrom="paragraph">
                  <wp:posOffset>174625</wp:posOffset>
                </wp:positionV>
                <wp:extent cx="160020" cy="160020"/>
                <wp:effectExtent l="0" t="0" r="11430" b="114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5pt;margin-top:13.75pt;height:12.6pt;width:12.6pt;z-index:251664384;v-text-anchor:middle;mso-width-relative:page;mso-height-relative:page;" filled="f" stroked="t" coordsize="21600,21600" o:gfxdata="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kAjHG9cAAAAJAQAADwAAAAAAAAABACAAAAAiAAAAZHJzL2Rvd25yZXYueG1s&#10;UEsBAhQAFAAAAAgAh07iQKlw2MRrAgAA2gQAAA4AAAAAAAAAAQAgAAAAJgEAAGRycy9lMm9Eb2Mu&#10;eG1sUEsFBgAAAAAGAAYAWQEAAAMGA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2788920</wp:posOffset>
                </wp:positionH>
                <wp:positionV relativeFrom="paragraph">
                  <wp:posOffset>177800</wp:posOffset>
                </wp:positionV>
                <wp:extent cx="160020" cy="160020"/>
                <wp:effectExtent l="0" t="0" r="11430" b="11430"/>
                <wp:wrapNone/>
                <wp:docPr id="12" name="椭圆 12"/>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9.6pt;margin-top:14pt;height:12.6pt;width:12.6pt;z-index:251662336;v-text-anchor:middle;mso-width-relative:page;mso-height-relative:page;" filled="f" stroked="t" coordsize="21600,21600" o:gfxdata="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KtmhtgAAAAJAQAADwAAAAAAAAABACAAAAAiAAAAZHJzL2Rvd25yZXYueG1s&#10;UEsBAhQAFAAAAAgAh07iQGAAvSlqAgAA2gQAAA4AAAAAAAAAAQAgAAAAJwEAAGRycy9lMm9Eb2Mu&#10;eG1sUEsFBgAAAAAGAAYAWQEAAAMGAAAAAA==&#10;">
                <v:fill on="f" focussize="0,0"/>
                <v:stroke weight="1pt" color="#000000 [3213]" miterlimit="8" joinstyle="miter"/>
                <v:imagedata o:title=""/>
                <o:lock v:ext="edit" aspectratio="f"/>
                <v:textbox>
                  <w:txbxContent>
                    <w:p>
                      <w:pPr>
                        <w:jc w:val="center"/>
                      </w:pP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73600" behindDoc="0" locked="0" layoutInCell="1" allowOverlap="1">
                <wp:simplePos x="0" y="0"/>
                <wp:positionH relativeFrom="column">
                  <wp:posOffset>4745990</wp:posOffset>
                </wp:positionH>
                <wp:positionV relativeFrom="paragraph">
                  <wp:posOffset>71120</wp:posOffset>
                </wp:positionV>
                <wp:extent cx="1214755" cy="1554480"/>
                <wp:effectExtent l="0" t="0" r="4445" b="7620"/>
                <wp:wrapNone/>
                <wp:docPr id="25" name="文本框 25"/>
                <wp:cNvGraphicFramePr/>
                <a:graphic xmlns:a="http://schemas.openxmlformats.org/drawingml/2006/main">
                  <a:graphicData uri="http://schemas.microsoft.com/office/word/2010/wordprocessingShape">
                    <wps:wsp>
                      <wps:cNvSpPr txBox="1"/>
                      <wps:spPr>
                        <a:xfrm>
                          <a:off x="0" y="0"/>
                          <a:ext cx="1214755" cy="1554480"/>
                        </a:xfrm>
                        <a:prstGeom prst="rect">
                          <a:avLst/>
                        </a:prstGeom>
                        <a:solidFill>
                          <a:schemeClr val="lt1"/>
                        </a:solidFill>
                        <a:ln w="6350">
                          <a:noFill/>
                        </a:ln>
                      </wps:spPr>
                      <wps:txbx>
                        <w:txbxContent>
                          <w:p>
                            <w:pPr>
                              <w:pStyle w:val="17"/>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lang w:eastAsia="zh-CN"/>
                              </w:rPr>
                              <w:t>为监测点</w:t>
                            </w:r>
                          </w:p>
                          <w:p>
                            <w:pPr>
                              <w:pStyle w:val="17"/>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7pt;margin-top:5.6pt;height:122.4pt;width:95.65pt;z-index:251673600;mso-width-relative:page;mso-height-relative:page;" fillcolor="#FFFFFF [3201]" filled="t" stroked="f" coordsize="21600,21600" o:gfxdata="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5QF+1gAAAAoBAAAP&#10;AAAAAAAAAAEAIAAAACIAAABkcnMvZG93bnJldi54bWxQSwECFAAUAAAACACHTuJAWuMzj1MCAACS&#10;BAAADgAAAAAAAAABACAAAAAlAQAAZHJzL2Uyb0RvYy54bWxQSwUGAAAAAAYABgBZAQAA6gUAAAAA&#10;">
                <v:fill on="t" focussize="0,0"/>
                <v:stroke on="f" weight="0.5pt"/>
                <v:imagedata o:title=""/>
                <o:lock v:ext="edit" aspectratio="f"/>
                <v:textbox>
                  <w:txbxContent>
                    <w:p>
                      <w:pPr>
                        <w:pStyle w:val="17"/>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lang w:eastAsia="zh-CN"/>
                        </w:rPr>
                        <w:t>为监测点</w:t>
                      </w:r>
                    </w:p>
                    <w:p>
                      <w:pPr>
                        <w:pStyle w:val="17"/>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8480" behindDoc="0" locked="0" layoutInCell="1" allowOverlap="1">
                <wp:simplePos x="0" y="0"/>
                <wp:positionH relativeFrom="column">
                  <wp:posOffset>2331720</wp:posOffset>
                </wp:positionH>
                <wp:positionV relativeFrom="paragraph">
                  <wp:posOffset>319405</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rFonts w:hint="eastAsia"/>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6pt;margin-top:25.15pt;height:30.6pt;width:25.8pt;z-index:251668480;mso-width-relative:page;mso-height-relative:page;" filled="f" stroked="f" coordsize="21600,21600" o:gfxdata="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O/Xk9sAAAAKAQAADwAAAAAAAAABACAAAAAiAAAA&#10;ZHJzL2Rvd25yZXYueG1sUEsBAhQAFAAAAAgAh07iQOsrBrM9AgAAZwQAAA4AAAAAAAAAAQAgAAAA&#10;KgEAAGRycy9lMm9Eb2MueG1sUEsFBgAAAAAGAAYAWQEAANkFAAAAAA==&#10;">
                <v:fill on="f" focussize="0,0"/>
                <v:stroke on="f" weight="0.5pt"/>
                <v:imagedata o:title=""/>
                <o:lock v:ext="edit" aspectratio="f"/>
                <v:textbox>
                  <w:txbxContent>
                    <w:p>
                      <w:pPr>
                        <w:rPr>
                          <w:b/>
                          <w:bCs/>
                          <w:sz w:val="24"/>
                          <w:szCs w:val="24"/>
                        </w:rPr>
                      </w:pPr>
                      <w:r>
                        <w:rPr>
                          <w:rFonts w:hint="eastAsia"/>
                          <w:b/>
                          <w:bCs/>
                          <w:sz w:val="24"/>
                          <w:szCs w:val="24"/>
                        </w:rPr>
                        <w:t>1</w:t>
                      </w: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5408" behindDoc="0" locked="0" layoutInCell="1" allowOverlap="1">
                <wp:simplePos x="0" y="0"/>
                <wp:positionH relativeFrom="column">
                  <wp:posOffset>2171700</wp:posOffset>
                </wp:positionH>
                <wp:positionV relativeFrom="paragraph">
                  <wp:posOffset>182245</wp:posOffset>
                </wp:positionV>
                <wp:extent cx="160020" cy="160020"/>
                <wp:effectExtent l="0" t="0" r="11430" b="11430"/>
                <wp:wrapNone/>
                <wp:docPr id="16" name="椭圆 16"/>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pt;margin-top:14.35pt;height:12.6pt;width:12.6pt;z-index:251665408;v-text-anchor:middle;mso-width-relative:page;mso-height-relative:page;" filled="f" stroked="t" coordsize="21600,21600" o:gfxdata="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1N6m3YAAAACQEAAA8AAAAAAAAAAQAgAAAAIgAAAGRycy9kb3ducmV2Lnht&#10;bFBLAQIUABQAAAAIAIdO4kBsLTqjawIAANoEAAAOAAAAAAAAAAEAIAAAACcBAABkcnMvZTJvRG9j&#10;LnhtbFBLBQYAAAAABgAGAFkBAAAEBgAAAAA=&#10;">
                <v:fill on="f" focussize="0,0"/>
                <v:stroke weight="1pt" color="#000000 [3213]" miterlimit="8" joinstyle="miter"/>
                <v:imagedata o:title=""/>
                <o:lock v:ext="edit" aspectratio="f"/>
                <v:textbox>
                  <w:txbxContent>
                    <w:p>
                      <w:pPr>
                        <w:jc w:val="center"/>
                      </w:pP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7"/>
        <w:keepNext w:val="0"/>
        <w:keepLines w:val="0"/>
        <w:pageBreakBefore w:val="0"/>
        <w:kinsoku/>
        <w:wordWrap/>
        <w:overflowPunct/>
        <w:topLinePunct w:val="0"/>
        <w:autoSpaceDE/>
        <w:autoSpaceDN/>
        <w:bidi w:val="0"/>
        <w:spacing w:line="240" w:lineRule="auto"/>
        <w:ind w:firstLine="482"/>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图2  无组织排放废气监测布点示意图</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四、监测指标及相关信息</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本公司自行监测的具体监测点位、监测指标、监测频次和监测方法见下表。</w:t>
      </w:r>
    </w:p>
    <w:tbl>
      <w:tblPr>
        <w:tblStyle w:val="8"/>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0"/>
        <w:gridCol w:w="1260"/>
        <w:gridCol w:w="687"/>
        <w:gridCol w:w="2432"/>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污染源类型</w:t>
            </w: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序号</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监测点位名称</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排口编号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废水</w:t>
            </w: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FF0000"/>
                <w:sz w:val="28"/>
                <w:szCs w:val="28"/>
                <w:lang w:val="en-US" w:eastAsia="zh-CN"/>
              </w:rPr>
            </w:pPr>
            <w:r>
              <w:rPr>
                <w:rFonts w:hint="eastAsia" w:ascii="宋体" w:hAnsi="宋体" w:eastAsia="宋体" w:cs="宋体"/>
                <w:color w:val="auto"/>
                <w:sz w:val="28"/>
                <w:szCs w:val="28"/>
                <w:lang w:val="en-US" w:eastAsia="zh-CN"/>
              </w:rPr>
              <w:t>1</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进水口</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default" w:ascii="Arial" w:hAnsi="Arial" w:eastAsia="宋体" w:cs="Arial"/>
                <w:i w:val="0"/>
                <w:iCs w:val="0"/>
                <w:caps w:val="0"/>
                <w:color w:val="auto"/>
                <w:spacing w:val="0"/>
                <w:sz w:val="21"/>
                <w:szCs w:val="21"/>
                <w:shd w:val="clear" w:fill="FFFFFF"/>
              </w:rPr>
              <w:t>MW001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830" w:type="dxa"/>
            <w:gridSpan w:val="2"/>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出水总排放口</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DW001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雨水排放口</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DW002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废气</w:t>
            </w:r>
          </w:p>
        </w:tc>
        <w:tc>
          <w:tcPr>
            <w:tcW w:w="1260" w:type="dxa"/>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无组织</w:t>
            </w: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1</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上风向</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SF001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126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eastAsia="zh-CN"/>
              </w:rPr>
              <w:t>下风向</w:t>
            </w:r>
            <w:r>
              <w:rPr>
                <w:rFonts w:hint="eastAsia" w:ascii="宋体" w:hAnsi="宋体" w:eastAsia="宋体" w:cs="宋体"/>
                <w:sz w:val="28"/>
                <w:szCs w:val="28"/>
                <w:lang w:val="en-US" w:eastAsia="zh-CN"/>
              </w:rPr>
              <w:t>1</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XF001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126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3</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eastAsia="zh-CN"/>
              </w:rPr>
              <w:t>下风向</w:t>
            </w:r>
            <w:r>
              <w:rPr>
                <w:rFonts w:hint="eastAsia" w:ascii="宋体" w:hAnsi="宋体" w:eastAsia="宋体" w:cs="宋体"/>
                <w:sz w:val="28"/>
                <w:szCs w:val="28"/>
                <w:lang w:val="en-US" w:eastAsia="zh-CN"/>
              </w:rPr>
              <w:t>2</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XF002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126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4</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eastAsia="zh-CN"/>
              </w:rPr>
              <w:t>下风向</w:t>
            </w:r>
            <w:r>
              <w:rPr>
                <w:rFonts w:hint="eastAsia" w:ascii="宋体" w:hAnsi="宋体" w:eastAsia="宋体" w:cs="宋体"/>
                <w:sz w:val="28"/>
                <w:szCs w:val="28"/>
                <w:lang w:val="en-US" w:eastAsia="zh-CN"/>
              </w:rPr>
              <w:t>3</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XF003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70" w:type="dxa"/>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厂区体积浓度最高处</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rPr>
              <w:t>CN001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70" w:type="dxa"/>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厂区体积浓度最高处</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rPr>
              <w:t>CN00</w:t>
            </w:r>
            <w:r>
              <w:rPr>
                <w:rFonts w:hint="eastAsia" w:ascii="宋体" w:hAnsi="宋体" w:eastAsia="宋体" w:cs="宋体"/>
                <w:sz w:val="28"/>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噪声</w:t>
            </w: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1</w:t>
            </w:r>
          </w:p>
        </w:tc>
        <w:tc>
          <w:tcPr>
            <w:tcW w:w="2432" w:type="dxa"/>
            <w:vAlign w:val="center"/>
          </w:tcPr>
          <w:p>
            <w:pPr>
              <w:pStyle w:val="32"/>
              <w:keepNext w:val="0"/>
              <w:keepLines w:val="0"/>
              <w:suppressLineNumbers w:val="0"/>
              <w:snapToGrid w:val="0"/>
              <w:spacing w:before="0" w:beforeAutospacing="0" w:after="0" w:afterAutospacing="0"/>
              <w:ind w:left="0" w:right="0"/>
              <w:contextualSpacing/>
              <w:rPr>
                <w:rFonts w:hint="eastAsia" w:ascii="宋体" w:hAnsi="宋体" w:eastAsia="宋体" w:cs="宋体"/>
                <w:sz w:val="28"/>
                <w:szCs w:val="28"/>
              </w:rPr>
            </w:pPr>
            <w:r>
              <w:rPr>
                <w:rFonts w:hint="eastAsia" w:ascii="宋体" w:hAnsi="宋体" w:eastAsia="宋体" w:cs="宋体"/>
                <w:sz w:val="28"/>
                <w:szCs w:val="28"/>
              </w:rPr>
              <w:t xml:space="preserve">  厂界噪声（东）</w:t>
            </w:r>
          </w:p>
        </w:tc>
        <w:tc>
          <w:tcPr>
            <w:tcW w:w="2977" w:type="dxa"/>
            <w:vAlign w:val="center"/>
          </w:tcPr>
          <w:p>
            <w:pPr>
              <w:pStyle w:val="33"/>
              <w:keepNext w:val="0"/>
              <w:keepLines w:val="0"/>
              <w:suppressLineNumbers w:val="0"/>
              <w:snapToGrid w:val="0"/>
              <w:spacing w:before="0" w:beforeAutospacing="0" w:after="0" w:afterAutospacing="0"/>
              <w:ind w:right="0" w:firstLine="280" w:firstLineChars="100"/>
              <w:contextualSpacing/>
              <w:jc w:val="both"/>
              <w:rPr>
                <w:rFonts w:hint="eastAsia" w:ascii="宋体" w:hAnsi="宋体" w:eastAsia="宋体" w:cs="宋体"/>
                <w:sz w:val="28"/>
                <w:szCs w:val="28"/>
              </w:rPr>
            </w:pPr>
            <w:r>
              <w:rPr>
                <w:rFonts w:hint="eastAsia" w:ascii="宋体" w:hAnsi="宋体" w:eastAsia="宋体" w:cs="宋体"/>
                <w:sz w:val="28"/>
                <w:szCs w:val="28"/>
              </w:rPr>
              <w:t>ZS001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2</w:t>
            </w:r>
          </w:p>
        </w:tc>
        <w:tc>
          <w:tcPr>
            <w:tcW w:w="2432" w:type="dxa"/>
            <w:vAlign w:val="center"/>
          </w:tcPr>
          <w:p>
            <w:pPr>
              <w:pStyle w:val="32"/>
              <w:keepNext w:val="0"/>
              <w:keepLines w:val="0"/>
              <w:suppressLineNumbers w:val="0"/>
              <w:snapToGrid w:val="0"/>
              <w:spacing w:before="0" w:beforeAutospacing="0" w:after="0" w:afterAutospacing="0"/>
              <w:ind w:left="0" w:right="0"/>
              <w:contextualSpacing/>
              <w:rPr>
                <w:rFonts w:hint="eastAsia" w:ascii="宋体" w:hAnsi="宋体" w:eastAsia="宋体" w:cs="宋体"/>
                <w:sz w:val="28"/>
                <w:szCs w:val="28"/>
              </w:rPr>
            </w:pPr>
            <w:r>
              <w:rPr>
                <w:rFonts w:hint="eastAsia" w:ascii="宋体" w:hAnsi="宋体" w:eastAsia="宋体" w:cs="宋体"/>
                <w:sz w:val="28"/>
                <w:szCs w:val="28"/>
              </w:rPr>
              <w:t xml:space="preserve">  厂界噪声（南）</w:t>
            </w:r>
          </w:p>
        </w:tc>
        <w:tc>
          <w:tcPr>
            <w:tcW w:w="2977" w:type="dxa"/>
            <w:vAlign w:val="center"/>
          </w:tcPr>
          <w:p>
            <w:pPr>
              <w:pStyle w:val="33"/>
              <w:keepNext w:val="0"/>
              <w:keepLines w:val="0"/>
              <w:suppressLineNumbers w:val="0"/>
              <w:snapToGrid w:val="0"/>
              <w:spacing w:before="0" w:beforeAutospacing="0" w:after="0" w:afterAutospacing="0"/>
              <w:ind w:left="199" w:right="0" w:firstLine="840" w:firstLineChars="300"/>
              <w:contextualSpacing/>
              <w:jc w:val="both"/>
              <w:rPr>
                <w:rFonts w:hint="eastAsia" w:ascii="宋体" w:hAnsi="宋体" w:eastAsia="宋体" w:cs="宋体"/>
                <w:sz w:val="28"/>
                <w:szCs w:val="28"/>
              </w:rPr>
            </w:pPr>
            <w:r>
              <w:rPr>
                <w:rFonts w:hint="eastAsia" w:ascii="宋体" w:hAnsi="宋体" w:eastAsia="宋体" w:cs="宋体"/>
                <w:sz w:val="28"/>
                <w:szCs w:val="28"/>
              </w:rPr>
              <w:t>ZS002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3</w:t>
            </w:r>
          </w:p>
        </w:tc>
        <w:tc>
          <w:tcPr>
            <w:tcW w:w="2432" w:type="dxa"/>
            <w:vAlign w:val="center"/>
          </w:tcPr>
          <w:p>
            <w:pPr>
              <w:pStyle w:val="32"/>
              <w:keepNext w:val="0"/>
              <w:keepLines w:val="0"/>
              <w:suppressLineNumbers w:val="0"/>
              <w:snapToGrid w:val="0"/>
              <w:spacing w:before="0" w:beforeAutospacing="0" w:after="0" w:afterAutospacing="0"/>
              <w:ind w:left="0" w:right="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厂界噪声（西）</w:t>
            </w:r>
          </w:p>
        </w:tc>
        <w:tc>
          <w:tcPr>
            <w:tcW w:w="2977" w:type="dxa"/>
            <w:vAlign w:val="center"/>
          </w:tcPr>
          <w:p>
            <w:pPr>
              <w:pStyle w:val="33"/>
              <w:keepNext w:val="0"/>
              <w:keepLines w:val="0"/>
              <w:suppressLineNumbers w:val="0"/>
              <w:snapToGrid w:val="0"/>
              <w:spacing w:before="0" w:beforeAutospacing="0" w:after="200" w:afterAutospacing="0" w:line="252" w:lineRule="auto"/>
              <w:ind w:left="199" w:right="0" w:firstLine="840" w:firstLineChars="300"/>
              <w:contextualSpacing/>
              <w:jc w:val="both"/>
              <w:rPr>
                <w:rFonts w:hint="eastAsia" w:ascii="宋体" w:hAnsi="宋体" w:eastAsia="宋体" w:cs="宋体"/>
                <w:sz w:val="28"/>
                <w:szCs w:val="28"/>
              </w:rPr>
            </w:pPr>
            <w:r>
              <w:rPr>
                <w:rFonts w:hint="eastAsia" w:ascii="宋体" w:hAnsi="宋体" w:eastAsia="宋体" w:cs="宋体"/>
                <w:sz w:val="28"/>
                <w:szCs w:val="28"/>
              </w:rPr>
              <w:t>ZS003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4</w:t>
            </w:r>
          </w:p>
        </w:tc>
        <w:tc>
          <w:tcPr>
            <w:tcW w:w="2432" w:type="dxa"/>
            <w:vAlign w:val="center"/>
          </w:tcPr>
          <w:p>
            <w:pPr>
              <w:pStyle w:val="32"/>
              <w:keepNext w:val="0"/>
              <w:keepLines w:val="0"/>
              <w:suppressLineNumbers w:val="0"/>
              <w:snapToGrid w:val="0"/>
              <w:spacing w:before="0" w:beforeAutospacing="0" w:after="0" w:afterAutospacing="0"/>
              <w:ind w:left="0" w:right="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厂界噪声（北）</w:t>
            </w:r>
          </w:p>
        </w:tc>
        <w:tc>
          <w:tcPr>
            <w:tcW w:w="2977" w:type="dxa"/>
            <w:vAlign w:val="center"/>
          </w:tcPr>
          <w:p>
            <w:pPr>
              <w:pStyle w:val="33"/>
              <w:keepNext w:val="0"/>
              <w:keepLines w:val="0"/>
              <w:suppressLineNumbers w:val="0"/>
              <w:snapToGrid w:val="0"/>
              <w:spacing w:before="0" w:beforeAutospacing="0" w:after="200" w:afterAutospacing="0" w:line="252" w:lineRule="auto"/>
              <w:ind w:right="0" w:firstLine="280" w:firstLineChars="100"/>
              <w:contextualSpacing/>
              <w:jc w:val="both"/>
              <w:rPr>
                <w:rFonts w:hint="eastAsia" w:ascii="宋体" w:hAnsi="宋体" w:eastAsia="宋体" w:cs="宋体"/>
                <w:sz w:val="28"/>
                <w:szCs w:val="28"/>
              </w:rPr>
            </w:pPr>
            <w:r>
              <w:rPr>
                <w:rFonts w:hint="eastAsia" w:ascii="宋体" w:hAnsi="宋体" w:eastAsia="宋体" w:cs="宋体"/>
                <w:sz w:val="28"/>
                <w:szCs w:val="28"/>
              </w:rPr>
              <w:t>ZS004</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numPr>
          <w:ilvl w:val="0"/>
          <w:numId w:val="2"/>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废气</w:t>
      </w:r>
      <w:r>
        <w:rPr>
          <w:rFonts w:hint="eastAsia" w:ascii="宋体" w:hAnsi="宋体" w:eastAsia="宋体" w:cs="宋体"/>
          <w:b w:val="0"/>
          <w:bCs w:val="0"/>
          <w:color w:val="000000"/>
          <w:sz w:val="28"/>
          <w:szCs w:val="28"/>
        </w:rPr>
        <w:t>自行监测及记录信息表</w:t>
      </w:r>
      <w:bookmarkStart w:id="0" w:name="BIAO15"/>
    </w:p>
    <w:tbl>
      <w:tblPr>
        <w:tblStyle w:val="8"/>
        <w:tblpPr w:leftFromText="180" w:rightFromText="180" w:vertAnchor="text" w:horzAnchor="page" w:tblpX="1201" w:tblpY="573"/>
        <w:tblOverlap w:val="never"/>
        <w:tblW w:w="22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580"/>
        <w:gridCol w:w="1822"/>
        <w:gridCol w:w="1701"/>
        <w:gridCol w:w="3827"/>
        <w:gridCol w:w="1984"/>
        <w:gridCol w:w="1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858" w:hRule="atLeast"/>
          <w:tblHeader/>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方法检出限</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sz w:val="21"/>
                <w:szCs w:val="21"/>
                <w:lang w:val="en-US" w:eastAsia="zh-CN"/>
              </w:rPr>
              <w:t>SF001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XF001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XF001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XF001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SF001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SF001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80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0.06</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9"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0.06</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bl>
    <w:p>
      <w:pPr>
        <w:adjustRightInd w:val="0"/>
        <w:snapToGrid w:val="0"/>
        <w:jc w:val="center"/>
        <w:rPr>
          <w:rFonts w:ascii="宋体" w:hAnsi="宋体" w:eastAsia="宋体" w:cs="宋体"/>
          <w:color w:val="auto"/>
          <w:sz w:val="28"/>
          <w:szCs w:val="28"/>
          <w:highlight w:val="none"/>
        </w:rPr>
      </w:pPr>
    </w:p>
    <w:p>
      <w:pPr>
        <w:keepNext w:val="0"/>
        <w:keepLines w:val="0"/>
        <w:pageBreakBefore w:val="0"/>
        <w:numPr>
          <w:ilvl w:val="0"/>
          <w:numId w:val="0"/>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lang w:val="en-US" w:eastAsia="zh-CN"/>
        </w:rPr>
      </w:pPr>
      <w:r>
        <w:rPr>
          <w:rFonts w:ascii="宋体" w:hAnsi="宋体" w:eastAsia="宋体" w:cs="宋体"/>
          <w:color w:val="000000"/>
          <w:sz w:val="28"/>
          <w:szCs w:val="28"/>
        </w:rPr>
        <w:br w:type="page"/>
      </w:r>
      <w:bookmarkEnd w:id="0"/>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2.废水</w:t>
      </w:r>
      <w:r>
        <w:rPr>
          <w:rFonts w:hint="eastAsia" w:ascii="宋体" w:hAnsi="宋体" w:eastAsia="宋体" w:cs="宋体"/>
          <w:b w:val="0"/>
          <w:bCs w:val="0"/>
          <w:color w:val="000000"/>
          <w:sz w:val="28"/>
          <w:szCs w:val="28"/>
        </w:rPr>
        <w:t>自行监测及记录信息表</w:t>
      </w:r>
    </w:p>
    <w:tbl>
      <w:tblPr>
        <w:tblStyle w:val="8"/>
        <w:tblpPr w:leftFromText="180" w:rightFromText="180" w:vertAnchor="text" w:horzAnchor="page" w:tblpX="1063" w:tblpY="396"/>
        <w:tblOverlap w:val="never"/>
        <w:tblW w:w="2212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525"/>
        <w:gridCol w:w="684"/>
        <w:gridCol w:w="160"/>
        <w:gridCol w:w="900"/>
        <w:gridCol w:w="1125"/>
        <w:gridCol w:w="826"/>
        <w:gridCol w:w="580"/>
        <w:gridCol w:w="943"/>
        <w:gridCol w:w="2712"/>
        <w:gridCol w:w="971"/>
        <w:gridCol w:w="845"/>
        <w:gridCol w:w="1134"/>
        <w:gridCol w:w="1284"/>
        <w:gridCol w:w="1540"/>
        <w:gridCol w:w="1197"/>
        <w:gridCol w:w="1589"/>
        <w:gridCol w:w="1209"/>
        <w:gridCol w:w="1209"/>
        <w:gridCol w:w="1489"/>
        <w:gridCol w:w="12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55" w:hRule="atLeast"/>
          <w:tblHeader/>
        </w:trPr>
        <w:tc>
          <w:tcPr>
            <w:tcW w:w="52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序号</w:t>
            </w:r>
          </w:p>
        </w:tc>
        <w:tc>
          <w:tcPr>
            <w:tcW w:w="844" w:type="dxa"/>
            <w:gridSpan w:val="2"/>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污染源类别/监测类别</w:t>
            </w:r>
          </w:p>
        </w:tc>
        <w:tc>
          <w:tcPr>
            <w:tcW w:w="90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排放口编号/监测点位</w:t>
            </w:r>
          </w:p>
        </w:tc>
        <w:tc>
          <w:tcPr>
            <w:tcW w:w="112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排放口名称/监测点位名称</w:t>
            </w:r>
          </w:p>
        </w:tc>
        <w:tc>
          <w:tcPr>
            <w:tcW w:w="826"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监测指标</w:t>
            </w:r>
          </w:p>
        </w:tc>
        <w:tc>
          <w:tcPr>
            <w:tcW w:w="58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监测设施</w:t>
            </w:r>
          </w:p>
        </w:tc>
        <w:tc>
          <w:tcPr>
            <w:tcW w:w="943"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w:t>
            </w:r>
            <w:r>
              <w:rPr>
                <w:rStyle w:val="10"/>
                <w:rFonts w:hint="eastAsia" w:ascii="宋体" w:hAnsi="宋体" w:cs="宋体"/>
                <w:b w:val="0"/>
                <w:bCs w:val="0"/>
                <w:sz w:val="24"/>
                <w:szCs w:val="24"/>
                <w:lang w:val="en-US" w:eastAsia="zh-CN"/>
              </w:rPr>
              <w:t>限值</w:t>
            </w:r>
          </w:p>
        </w:tc>
        <w:tc>
          <w:tcPr>
            <w:tcW w:w="2712"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Style w:val="10"/>
                <w:rFonts w:hint="eastAsia" w:ascii="宋体" w:hAnsi="宋体" w:cs="宋体"/>
                <w:b w:val="0"/>
                <w:bCs w:val="0"/>
                <w:sz w:val="24"/>
                <w:szCs w:val="24"/>
                <w:lang w:val="en-US" w:eastAsia="zh-CN"/>
              </w:rPr>
              <w:t>排放标准</w:t>
            </w:r>
          </w:p>
        </w:tc>
        <w:tc>
          <w:tcPr>
            <w:tcW w:w="971"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自动监测是否联网</w:t>
            </w:r>
          </w:p>
        </w:tc>
        <w:tc>
          <w:tcPr>
            <w:tcW w:w="84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自动监测仪器名称</w:t>
            </w:r>
          </w:p>
        </w:tc>
        <w:tc>
          <w:tcPr>
            <w:tcW w:w="1134"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自动监测设施安装位置</w:t>
            </w:r>
          </w:p>
        </w:tc>
        <w:tc>
          <w:tcPr>
            <w:tcW w:w="1284"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自动监测设施是否符合安装、运行、维护等管理要求</w:t>
            </w:r>
          </w:p>
        </w:tc>
        <w:tc>
          <w:tcPr>
            <w:tcW w:w="154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手工监测采样方法及个数</w:t>
            </w:r>
          </w:p>
        </w:tc>
        <w:tc>
          <w:tcPr>
            <w:tcW w:w="1197"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手工监测频次（处理量≥2万吨/日）</w:t>
            </w:r>
          </w:p>
        </w:tc>
        <w:tc>
          <w:tcPr>
            <w:tcW w:w="158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手工测定方法</w:t>
            </w:r>
          </w:p>
        </w:tc>
        <w:tc>
          <w:tcPr>
            <w:tcW w:w="120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方法检出限</w:t>
            </w:r>
          </w:p>
        </w:tc>
        <w:tc>
          <w:tcPr>
            <w:tcW w:w="120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手工检测设备</w:t>
            </w:r>
          </w:p>
        </w:tc>
        <w:tc>
          <w:tcPr>
            <w:tcW w:w="148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样品保存</w:t>
            </w:r>
          </w:p>
        </w:tc>
        <w:tc>
          <w:tcPr>
            <w:tcW w:w="120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87"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lang w:val="en-US" w:eastAsia="zh-CN"/>
              </w:rPr>
              <w:t>/</w:t>
            </w:r>
          </w:p>
        </w:tc>
        <w:tc>
          <w:tcPr>
            <w:tcW w:w="120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色度（稀释倍数）</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30倍</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 xml:space="preserve">1次/月 </w:t>
            </w:r>
          </w:p>
        </w:tc>
        <w:tc>
          <w:tcPr>
            <w:tcW w:w="15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色度的测定》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Style w:val="25"/>
                <w:rFonts w:hint="eastAsia" w:ascii="宋体" w:hAnsi="宋体" w:eastAsia="宋体" w:cs="宋体"/>
                <w:color w:val="auto"/>
                <w:sz w:val="24"/>
                <w:szCs w:val="24"/>
                <w:highlight w:val="none"/>
                <w:lang w:bidi="ar"/>
              </w:rPr>
              <w:t xml:space="preserve"> HJ 1182-2021</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2倍</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比色管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bookmarkStart w:id="2" w:name="_GoBack"/>
            <w:bookmarkEnd w:id="2"/>
            <w:r>
              <w:rPr>
                <w:rFonts w:hint="eastAsia" w:ascii="宋体" w:hAnsi="宋体" w:eastAsia="宋体" w:cs="宋体"/>
                <w:b w:val="0"/>
                <w:bCs w:val="0"/>
                <w:i w:val="0"/>
                <w:iCs w:val="0"/>
                <w:color w:val="auto"/>
                <w:kern w:val="0"/>
                <w:sz w:val="24"/>
                <w:szCs w:val="24"/>
                <w:u w:val="none"/>
                <w:lang w:val="en-US" w:eastAsia="zh-CN" w:bidi="ar"/>
              </w:rPr>
              <w:t xml:space="preserve"> </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GB</w:t>
            </w:r>
            <w:r>
              <w:rPr>
                <w:rStyle w:val="25"/>
                <w:rFonts w:hint="eastAsia" w:ascii="宋体" w:hAnsi="宋体" w:eastAsia="宋体" w:cs="宋体"/>
                <w:b w:val="0"/>
                <w:bCs w:val="0"/>
                <w:color w:val="auto"/>
                <w:sz w:val="24"/>
                <w:szCs w:val="24"/>
                <w:lang w:val="en-US" w:eastAsia="zh-CN" w:bidi="ar"/>
              </w:rPr>
              <w:t xml:space="preserve">/T 11901-1989 </w:t>
            </w:r>
            <w:r>
              <w:rPr>
                <w:rStyle w:val="26"/>
                <w:rFonts w:hint="eastAsia" w:ascii="宋体" w:hAnsi="宋体" w:eastAsia="宋体" w:cs="宋体"/>
                <w:b w:val="0"/>
                <w:bCs w:val="0"/>
                <w:color w:val="auto"/>
                <w:sz w:val="24"/>
                <w:szCs w:val="24"/>
                <w:lang w:val="en-US" w:eastAsia="zh-CN" w:bidi="ar"/>
              </w:rPr>
              <w:t>水质悬浮物的测定重量法</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5</w:t>
            </w:r>
            <w:r>
              <w:rPr>
                <w:rFonts w:hint="eastAsia" w:ascii="宋体" w:hAnsi="宋体" w:eastAsia="宋体" w:cs="宋体"/>
                <w:b w:val="0"/>
                <w:bCs w:val="0"/>
                <w:i w:val="0"/>
                <w:iCs w:val="0"/>
                <w:color w:val="auto"/>
                <w:sz w:val="24"/>
                <w:szCs w:val="24"/>
                <w:u w:val="none"/>
                <w:lang w:val="en-US" w:eastAsia="zh-CN"/>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eastAsia="zh-CN" w:bidi="ar"/>
              </w:rPr>
              <w:t>万分之一天平</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814"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五日生化需氧量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HJ 505-2009</w:t>
            </w:r>
            <w:r>
              <w:rPr>
                <w:rStyle w:val="26"/>
                <w:rFonts w:hint="eastAsia" w:ascii="宋体" w:hAnsi="宋体" w:eastAsia="宋体" w:cs="宋体"/>
                <w:b w:val="0"/>
                <w:bCs w:val="0"/>
                <w:color w:val="auto"/>
                <w:sz w:val="24"/>
                <w:szCs w:val="24"/>
                <w:lang w:val="en-US" w:eastAsia="zh-CN" w:bidi="ar"/>
              </w:rPr>
              <w:t xml:space="preserve"> </w:t>
            </w:r>
            <w:r>
              <w:rPr>
                <w:rStyle w:val="27"/>
                <w:rFonts w:hint="eastAsia" w:ascii="宋体" w:hAnsi="宋体" w:eastAsia="宋体" w:cs="宋体"/>
                <w:b w:val="0"/>
                <w:bCs w:val="0"/>
                <w:color w:val="auto"/>
                <w:sz w:val="24"/>
                <w:szCs w:val="24"/>
                <w:lang w:val="en-US" w:eastAsia="zh-CN" w:bidi="ar"/>
              </w:rPr>
              <w:t>水质五日生化需氧量</w:t>
            </w:r>
            <w:r>
              <w:rPr>
                <w:rStyle w:val="26"/>
                <w:rFonts w:hint="eastAsia" w:ascii="宋体" w:hAnsi="宋体" w:eastAsia="宋体" w:cs="宋体"/>
                <w:b w:val="0"/>
                <w:bCs w:val="0"/>
                <w:color w:val="auto"/>
                <w:sz w:val="24"/>
                <w:szCs w:val="24"/>
                <w:lang w:val="en-US" w:eastAsia="zh-CN" w:bidi="ar"/>
              </w:rPr>
              <w:t>(BOD5)</w:t>
            </w:r>
            <w:r>
              <w:rPr>
                <w:rStyle w:val="27"/>
                <w:rFonts w:hint="eastAsia" w:ascii="宋体" w:hAnsi="宋体" w:eastAsia="宋体" w:cs="宋体"/>
                <w:b w:val="0"/>
                <w:bCs w:val="0"/>
                <w:color w:val="auto"/>
                <w:sz w:val="24"/>
                <w:szCs w:val="24"/>
                <w:lang w:val="en-US" w:eastAsia="zh-CN" w:bidi="ar"/>
              </w:rPr>
              <w:t>的测定稀释与接种法</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eastAsia" w:ascii="宋体" w:hAnsi="宋体" w:eastAsia="宋体" w:cs="宋体"/>
                <w:sz w:val="24"/>
                <w:szCs w:val="24"/>
                <w:lang w:bidi="ar"/>
              </w:rPr>
            </w:pPr>
            <w:r>
              <w:rPr>
                <w:rFonts w:hint="eastAsia" w:ascii="宋体" w:hAnsi="宋体" w:eastAsia="宋体" w:cs="宋体"/>
                <w:color w:val="FF0000"/>
                <w:sz w:val="24"/>
                <w:szCs w:val="24"/>
              </w:rPr>
              <w:t>0.5</w:t>
            </w:r>
            <w:r>
              <w:rPr>
                <w:rFonts w:hint="default"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bidi="ar"/>
              </w:rPr>
              <w:t>生化培养箱</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50mg/L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sz w:val="24"/>
                <w:szCs w:val="24"/>
                <w:u w:val="none"/>
                <w:lang w:val="en-US" w:eastAsia="zh-CN"/>
              </w:rPr>
              <w:t>10mg/L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阴离子表面活性剂</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亚甲蓝分光光度法</w:t>
            </w:r>
            <w:r>
              <w:rPr>
                <w:rFonts w:hint="eastAsia" w:ascii="宋体" w:hAnsi="宋体" w:eastAsia="宋体" w:cs="宋体"/>
                <w:color w:val="auto"/>
                <w:sz w:val="24"/>
                <w:szCs w:val="24"/>
                <w:lang w:val="en-US" w:eastAsia="zh-CN"/>
              </w:rPr>
              <w:t>HJ826-2017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FF0000"/>
                <w:sz w:val="24"/>
                <w:szCs w:val="24"/>
              </w:rPr>
              <w:t>0.05</w:t>
            </w:r>
            <w:r>
              <w:rPr>
                <w:rFonts w:hint="default" w:ascii="宋体" w:hAnsi="宋体" w:eastAsia="宋体" w:cs="宋体"/>
                <w:color w:val="FF0000"/>
                <w:sz w:val="24"/>
                <w:szCs w:val="24"/>
              </w:rPr>
              <w:t>mg/ 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kern w:val="0"/>
                <w:sz w:val="24"/>
                <w:szCs w:val="24"/>
                <w:lang w:bidi="ar"/>
              </w:rPr>
              <w:t>连续流动分析仪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Style w:val="26"/>
                <w:rFonts w:ascii="宋体" w:hAnsi="宋体" w:eastAsia="宋体" w:cs="宋体"/>
                <w:color w:val="auto"/>
                <w:sz w:val="24"/>
                <w:szCs w:val="24"/>
                <w:highlight w:val="none"/>
                <w:lang w:bidi="ar"/>
              </w:rPr>
              <w:t>1</w:t>
            </w:r>
            <w:r>
              <w:rPr>
                <w:rStyle w:val="26"/>
                <w:rFonts w:hint="eastAsia" w:ascii="宋体" w:hAnsi="宋体" w:eastAsia="宋体" w:cs="宋体"/>
                <w:color w:val="auto"/>
                <w:sz w:val="24"/>
                <w:szCs w:val="24"/>
                <w:highlight w:val="none"/>
                <w:lang w:bidi="ar"/>
              </w:rPr>
              <w:t>%的甲醛，冷藏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总汞</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color w:val="auto"/>
                <w:sz w:val="24"/>
                <w:szCs w:val="24"/>
              </w:rPr>
              <w:t>冷原子吸收分光光度法</w:t>
            </w:r>
            <w:r>
              <w:rPr>
                <w:rFonts w:hint="eastAsia" w:ascii="宋体" w:hAnsi="宋体" w:eastAsia="宋体" w:cs="宋体"/>
                <w:b w:val="0"/>
                <w:bCs w:val="0"/>
                <w:i w:val="0"/>
                <w:iCs w:val="0"/>
                <w:color w:val="auto"/>
                <w:kern w:val="0"/>
                <w:sz w:val="24"/>
                <w:szCs w:val="24"/>
                <w:u w:val="none"/>
                <w:lang w:val="en-US" w:eastAsia="zh-CN" w:bidi="ar"/>
              </w:rPr>
              <w:t xml:space="preserve"> HJ 597-2011</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FF0000"/>
                <w:sz w:val="24"/>
                <w:szCs w:val="24"/>
              </w:rPr>
              <w:t>0.04</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全自动测汞仪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 1%，如水样为中性，1L水样中加浓HCl10ml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872"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烷基汞</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不得检出</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1次/半年</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气相色谱法 GB/T 14204-1993</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0.02ng/L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气相色谱仪</w:t>
            </w:r>
          </w:p>
        </w:tc>
        <w:tc>
          <w:tcPr>
            <w:tcW w:w="14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如在数小时内样品不能分析，应在样品瓶中预 </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先加入 CuSO</w:t>
            </w:r>
            <w:r>
              <w:rPr>
                <w:rFonts w:hint="eastAsia" w:ascii="宋体" w:hAnsi="宋体" w:eastAsia="宋体" w:cs="宋体"/>
                <w:color w:val="000000"/>
                <w:kern w:val="0"/>
                <w:sz w:val="24"/>
                <w:szCs w:val="24"/>
                <w:vertAlign w:val="subscript"/>
                <w:lang w:bidi="ar"/>
              </w:rPr>
              <w:t>4</w:t>
            </w:r>
            <w:r>
              <w:rPr>
                <w:rFonts w:hint="eastAsia" w:ascii="宋体" w:hAnsi="宋体" w:eastAsia="宋体" w:cs="宋体"/>
                <w:color w:val="000000"/>
                <w:kern w:val="0"/>
                <w:sz w:val="24"/>
                <w:szCs w:val="24"/>
                <w:lang w:bidi="ar"/>
              </w:rPr>
              <w:t>，加入量为每升 1g，冷藏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8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总镉</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 HJ 700-2014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0.05</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，1L水样中加浓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 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3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总铬</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电感耦合等离子体质谱法HJ 700-2014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0.11</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L</w:t>
            </w:r>
            <w:r>
              <w:rPr>
                <w:rFonts w:hint="eastAsia" w:ascii="宋体" w:hAnsi="宋体" w:eastAsia="宋体" w:cs="宋体"/>
                <w:bCs/>
                <w:color w:val="000000"/>
                <w:sz w:val="24"/>
                <w:szCs w:val="24"/>
              </w:rPr>
              <w:t>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31"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六价铬</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二苯碳酰二肼分光光度法 GB 7467-87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FF0000"/>
                <w:sz w:val="24"/>
                <w:szCs w:val="24"/>
              </w:rPr>
              <w:t>0.001mg/L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lang w:eastAsia="zh-CN"/>
              </w:rPr>
              <w:t>可见</w:t>
            </w:r>
            <w:r>
              <w:rPr>
                <w:rFonts w:hint="eastAsia" w:ascii="宋体" w:hAnsi="宋体" w:eastAsia="宋体" w:cs="宋体"/>
                <w:color w:val="auto"/>
                <w:sz w:val="24"/>
                <w:szCs w:val="24"/>
              </w:rPr>
              <w:t>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NaOH，pH 8～9</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0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总砷</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电感耦合等离子体质谱法HJ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0.3</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L</w:t>
            </w:r>
            <w:r>
              <w:rPr>
                <w:rFonts w:hint="eastAsia" w:ascii="宋体" w:hAnsi="宋体" w:eastAsia="宋体" w:cs="宋体"/>
                <w:color w:val="000000"/>
                <w:kern w:val="0"/>
                <w:sz w:val="24"/>
                <w:szCs w:val="24"/>
                <w:lang w:bidi="ar"/>
              </w:rPr>
              <w:t>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93"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总铅</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0.09</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HNO3</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1%，如水样为中性，1L水样中加浓 HNO</w:t>
            </w:r>
            <w:r>
              <w:rPr>
                <w:rFonts w:hint="eastAsia" w:ascii="宋体" w:hAnsi="宋体" w:eastAsia="宋体" w:cs="宋体"/>
                <w:color w:val="000000"/>
                <w:kern w:val="0"/>
                <w:sz w:val="21"/>
                <w:szCs w:val="21"/>
                <w:vertAlign w:val="subscript"/>
                <w:lang w:bidi="ar"/>
              </w:rPr>
              <w:t>3</w:t>
            </w:r>
            <w:r>
              <w:rPr>
                <w:rFonts w:hint="eastAsia" w:ascii="宋体" w:hAnsi="宋体" w:eastAsia="宋体" w:cs="宋体"/>
                <w:color w:val="000000"/>
                <w:kern w:val="0"/>
                <w:sz w:val="21"/>
                <w:szCs w:val="21"/>
                <w:lang w:bidi="ar"/>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6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8</w:t>
            </w:r>
            <w:r>
              <w:rPr>
                <w:rFonts w:hint="default"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5(8)mg/L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01</w:t>
            </w: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2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03</w:t>
            </w:r>
            <w:r>
              <w:rPr>
                <w:rFonts w:hint="default"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17</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石油类</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0.06mg/L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2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动植物油</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0.06mg/L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粪大肠菌群数/（个/L）</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水质粪大肠菌群的测定多管发酵法</w:t>
            </w:r>
            <w:r>
              <w:rPr>
                <w:rStyle w:val="29"/>
                <w:rFonts w:hint="eastAsia" w:ascii="宋体" w:hAnsi="宋体" w:eastAsia="宋体" w:cs="宋体"/>
                <w:b w:val="0"/>
                <w:bCs w:val="0"/>
                <w:color w:val="auto"/>
                <w:sz w:val="24"/>
                <w:szCs w:val="24"/>
                <w:lang w:val="en-US" w:eastAsia="zh-CN" w:bidi="ar"/>
              </w:rPr>
              <w:t>HJ 347.2-2018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10CFU/L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生化培养箱</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单独采集微生物样品，不预洗采样</w:t>
            </w:r>
            <w:r>
              <w:rPr>
                <w:rFonts w:hint="eastAsia" w:ascii="宋体" w:hAnsi="宋体" w:eastAsia="宋体" w:cs="宋体"/>
                <w:color w:val="000000"/>
                <w:kern w:val="0"/>
                <w:sz w:val="21"/>
                <w:szCs w:val="21"/>
                <w:lang w:eastAsia="zh-CN" w:bidi="ar"/>
              </w:rPr>
              <w:t>袋</w:t>
            </w:r>
            <w:r>
              <w:rPr>
                <w:rFonts w:hint="eastAsia" w:ascii="宋体" w:hAnsi="宋体" w:eastAsia="宋体" w:cs="宋体"/>
                <w:color w:val="000000"/>
                <w:kern w:val="0"/>
                <w:sz w:val="21"/>
                <w:szCs w:val="21"/>
                <w:lang w:bidi="ar"/>
              </w:rPr>
              <w:t>，样品采集至采样瓶体积的8</w:t>
            </w:r>
            <w:r>
              <w:rPr>
                <w:rFonts w:hint="default" w:ascii="宋体" w:hAnsi="宋体" w:eastAsia="宋体" w:cs="宋体"/>
                <w:color w:val="000000"/>
                <w:kern w:val="0"/>
                <w:sz w:val="21"/>
                <w:szCs w:val="21"/>
                <w:lang w:bidi="ar"/>
              </w:rPr>
              <w:t>0</w:t>
            </w:r>
            <w:r>
              <w:rPr>
                <w:rFonts w:hint="eastAsia" w:ascii="宋体" w:hAnsi="宋体" w:eastAsia="宋体" w:cs="宋体"/>
                <w:color w:val="000000"/>
                <w:kern w:val="0"/>
                <w:sz w:val="21"/>
                <w:szCs w:val="21"/>
                <w:lang w:bidi="ar"/>
              </w:rPr>
              <w:t>%左右，冷藏，避光</w:t>
            </w:r>
            <w:r>
              <w:rPr>
                <w:rFonts w:hint="eastAsia" w:ascii="宋体" w:hAnsi="宋体" w:eastAsia="宋体" w:cs="宋体"/>
                <w:color w:val="000000"/>
                <w:kern w:val="0"/>
                <w:sz w:val="21"/>
                <w:szCs w:val="21"/>
                <w:lang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53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次氯酸钠消毒池后端</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220mg/L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lang w:val="en-US" w:eastAsia="zh-CN"/>
              </w:rPr>
              <w:t>10</w:t>
            </w: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水质总氮的测定碱性过硫酸钾消解紫外分光光度法</w:t>
            </w:r>
            <w:r>
              <w:rPr>
                <w:rStyle w:val="29"/>
                <w:rFonts w:hint="eastAsia" w:ascii="宋体" w:hAnsi="宋体" w:eastAsia="宋体" w:cs="宋体"/>
                <w:b w:val="0"/>
                <w:bCs w:val="0"/>
                <w:color w:val="auto"/>
                <w:sz w:val="24"/>
                <w:szCs w:val="24"/>
                <w:lang w:val="en-US" w:eastAsia="zh-CN" w:bidi="ar"/>
              </w:rPr>
              <w:t>HJ636-2012</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FF0000"/>
                <w:sz w:val="24"/>
                <w:szCs w:val="24"/>
              </w:rPr>
              <w:t>0.05mg/L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25mg/L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01</w:t>
            </w: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3mg/L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水质总磷的测定钼酸铵分光光度法</w:t>
            </w:r>
            <w:r>
              <w:rPr>
                <w:rStyle w:val="29"/>
                <w:rFonts w:hint="eastAsia" w:ascii="宋体" w:hAnsi="宋体" w:eastAsia="宋体" w:cs="宋体"/>
                <w:b w:val="0"/>
                <w:bCs w:val="0"/>
                <w:color w:val="auto"/>
                <w:sz w:val="24"/>
                <w:szCs w:val="24"/>
                <w:lang w:val="en-US" w:eastAsia="zh-CN" w:bidi="ar"/>
              </w:rPr>
              <w:t>GB11893-89</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FF0000"/>
                <w:sz w:val="24"/>
                <w:szCs w:val="24"/>
              </w:rPr>
              <w:t>0.01mg/L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64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提升泵房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51"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w:t>
            </w:r>
            <w:r>
              <w:rPr>
                <w:rStyle w:val="30"/>
                <w:rFonts w:hint="eastAsia" w:ascii="宋体" w:hAnsi="宋体" w:eastAsia="宋体" w:cs="宋体"/>
                <w:b w:val="0"/>
                <w:bCs w:val="0"/>
                <w:color w:val="auto"/>
                <w:sz w:val="24"/>
                <w:szCs w:val="24"/>
                <w:lang w:val="en-US" w:eastAsia="zh-CN" w:bidi="ar"/>
              </w:rPr>
              <w:t>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pH值的测定 电极法》（HJ 1147-2020）</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eastAsia="zh-CN" w:bidi="ar"/>
              </w:rPr>
              <w:t>酸度计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highlight w:val="none"/>
                <w:lang w:val="en-US" w:eastAsia="zh-CN"/>
              </w:rPr>
              <w:t>15mg/L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eastAsia="zh-CN"/>
              </w:rPr>
              <w:t>纳氏试剂分光光度法</w:t>
            </w:r>
            <w:r>
              <w:rPr>
                <w:rFonts w:hint="eastAsia" w:ascii="宋体" w:hAnsi="宋体" w:eastAsia="宋体" w:cs="宋体"/>
                <w:b w:val="0"/>
                <w:bCs w:val="0"/>
                <w:i w:val="0"/>
                <w:iCs w:val="0"/>
                <w:color w:val="auto"/>
                <w:sz w:val="24"/>
                <w:szCs w:val="24"/>
                <w:u w:val="none"/>
                <w:lang w:val="en-US" w:eastAsia="zh-CN"/>
              </w:rPr>
              <w:t>HJ535-2009</w:t>
            </w:r>
          </w:p>
        </w:tc>
        <w:tc>
          <w:tcPr>
            <w:tcW w:w="120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color w:val="FF0000"/>
                <w:sz w:val="24"/>
                <w:szCs w:val="24"/>
              </w:rPr>
              <w:t>0.025</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jc w:val="both"/>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70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水质悬浮物的测定重量法</w:t>
            </w:r>
            <w:r>
              <w:rPr>
                <w:rStyle w:val="25"/>
                <w:rFonts w:hint="eastAsia" w:ascii="宋体" w:hAnsi="宋体" w:eastAsia="宋体" w:cs="宋体"/>
                <w:b w:val="0"/>
                <w:bCs w:val="0"/>
                <w:color w:val="auto"/>
                <w:sz w:val="24"/>
                <w:szCs w:val="24"/>
                <w:lang w:val="en-US" w:eastAsia="zh-CN" w:bidi="ar"/>
              </w:rPr>
              <w:t>GB/T 11901-1989</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color w:val="FF0000"/>
                <w:sz w:val="24"/>
                <w:szCs w:val="24"/>
              </w:rPr>
              <w:t>5mg/L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电子分析天平</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100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水质化学需氧量的测定重铬酸盐法</w:t>
            </w:r>
            <w:r>
              <w:rPr>
                <w:rStyle w:val="29"/>
                <w:rFonts w:hint="eastAsia" w:ascii="宋体" w:hAnsi="宋体" w:eastAsia="宋体" w:cs="宋体"/>
                <w:b w:val="0"/>
                <w:bCs w:val="0"/>
                <w:color w:val="auto"/>
                <w:sz w:val="24"/>
                <w:szCs w:val="24"/>
                <w:lang w:val="en-US" w:eastAsia="zh-CN" w:bidi="ar"/>
              </w:rPr>
              <w:t>HJ 828-2017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4mg/L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COD消解装置</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80" w:hRule="atLeast"/>
        </w:trPr>
        <w:tc>
          <w:tcPr>
            <w:tcW w:w="1209"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0913" w:type="dxa"/>
            <w:gridSpan w:val="1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注：雨水排放口有流动水排放时按月监测，如监测一年无异常情况，可放宽至每季度开展一次监测</w:t>
            </w:r>
          </w:p>
        </w:tc>
      </w:tr>
    </w:tbl>
    <w:p>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lang w:val="en-US" w:eastAsia="zh-CN"/>
        </w:rPr>
        <w:sectPr>
          <w:pgSz w:w="23811" w:h="16838" w:orient="landscape"/>
          <w:pgMar w:top="1803" w:right="873" w:bottom="1803" w:left="87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8"/>
          <w:szCs w:val="28"/>
          <w:lang w:val="en-US" w:eastAsia="zh-CN"/>
        </w:rPr>
      </w:pPr>
      <w:bookmarkStart w:id="1" w:name="SCLZXJCINFO"/>
    </w:p>
    <w:p>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3.污泥监测方案</w:t>
      </w:r>
    </w:p>
    <w:tbl>
      <w:tblPr>
        <w:tblStyle w:val="9"/>
        <w:tblpPr w:leftFromText="180" w:rightFromText="180" w:vertAnchor="text" w:horzAnchor="page" w:tblpX="1000" w:tblpY="542"/>
        <w:tblOverlap w:val="never"/>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74"/>
        <w:gridCol w:w="1230"/>
        <w:gridCol w:w="3045"/>
        <w:gridCol w:w="169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8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监测指标</w:t>
            </w:r>
          </w:p>
        </w:tc>
        <w:tc>
          <w:tcPr>
            <w:tcW w:w="117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监测频次</w:t>
            </w:r>
          </w:p>
        </w:tc>
        <w:tc>
          <w:tcPr>
            <w:tcW w:w="12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监测方式</w:t>
            </w:r>
          </w:p>
        </w:tc>
        <w:tc>
          <w:tcPr>
            <w:tcW w:w="30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监测方法</w:t>
            </w:r>
          </w:p>
        </w:tc>
        <w:tc>
          <w:tcPr>
            <w:tcW w:w="169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Style w:val="10"/>
                <w:rFonts w:hint="eastAsia" w:ascii="宋体" w:hAnsi="宋体" w:cs="宋体"/>
                <w:b w:val="0"/>
                <w:bCs w:val="0"/>
                <w:sz w:val="21"/>
                <w:szCs w:val="21"/>
                <w:lang w:val="en-US" w:eastAsia="zh-CN"/>
              </w:rPr>
              <w:t>排放限值</w:t>
            </w:r>
          </w:p>
        </w:tc>
        <w:tc>
          <w:tcPr>
            <w:tcW w:w="15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cs="宋体"/>
                <w:sz w:val="21"/>
                <w:szCs w:val="21"/>
              </w:rPr>
              <w:t>手工检测设备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8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含水量</w:t>
            </w:r>
          </w:p>
        </w:tc>
        <w:tc>
          <w:tcPr>
            <w:tcW w:w="117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日</w:t>
            </w:r>
          </w:p>
        </w:tc>
        <w:tc>
          <w:tcPr>
            <w:tcW w:w="12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手工</w:t>
            </w:r>
          </w:p>
        </w:tc>
        <w:tc>
          <w:tcPr>
            <w:tcW w:w="30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重量法CJ/T221-2005</w:t>
            </w:r>
          </w:p>
        </w:tc>
        <w:tc>
          <w:tcPr>
            <w:tcW w:w="169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vertAlign w:val="baseline"/>
                <w:lang w:val="en-US" w:eastAsia="zh-CN"/>
              </w:rPr>
              <w:t>≤</w:t>
            </w:r>
            <w:r>
              <w:rPr>
                <w:rFonts w:hint="eastAsia" w:ascii="宋体" w:hAnsi="宋体" w:eastAsia="宋体" w:cs="宋体"/>
                <w:b w:val="0"/>
                <w:bCs w:val="0"/>
                <w:color w:val="auto"/>
                <w:sz w:val="21"/>
                <w:szCs w:val="21"/>
                <w:vertAlign w:val="baseline"/>
                <w:lang w:val="en-US" w:eastAsia="zh-CN"/>
              </w:rPr>
              <w:t>60%</w:t>
            </w:r>
          </w:p>
        </w:tc>
        <w:tc>
          <w:tcPr>
            <w:tcW w:w="15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sz w:val="21"/>
                <w:szCs w:val="21"/>
              </w:rPr>
              <w:t>千分之一天平</w:t>
            </w:r>
          </w:p>
        </w:tc>
      </w:tr>
    </w:tbl>
    <w:p>
      <w:pPr>
        <w:keepNext w:val="0"/>
        <w:keepLines w:val="0"/>
        <w:pageBreakBefore w:val="0"/>
        <w:numPr>
          <w:ilvl w:val="0"/>
          <w:numId w:val="3"/>
        </w:numPr>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lang w:val="en-US" w:eastAsia="zh-CN" w:bidi="ar-SA"/>
        </w:rPr>
      </w:pPr>
      <w:r>
        <w:rPr>
          <w:rFonts w:hint="eastAsia" w:ascii="宋体" w:hAnsi="宋体" w:eastAsia="宋体" w:cs="宋体"/>
          <w:b w:val="0"/>
          <w:bCs w:val="0"/>
          <w:color w:val="auto"/>
          <w:kern w:val="28"/>
          <w:sz w:val="28"/>
          <w:szCs w:val="28"/>
          <w:lang w:val="en-US" w:eastAsia="zh-CN" w:bidi="ar-SA"/>
        </w:rPr>
        <w:t>厂界噪声监测方案</w:t>
      </w:r>
    </w:p>
    <w:tbl>
      <w:tblPr>
        <w:tblStyle w:val="9"/>
        <w:tblpPr w:leftFromText="180" w:rightFromText="180" w:vertAnchor="text" w:horzAnchor="page" w:tblpX="1057" w:tblpY="224"/>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071"/>
        <w:gridCol w:w="1786"/>
        <w:gridCol w:w="1227"/>
        <w:gridCol w:w="1399"/>
        <w:gridCol w:w="127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排放限值</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监测方式</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监测频次</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东</w:t>
            </w:r>
            <w:r>
              <w:rPr>
                <w:rFonts w:hint="eastAsia" w:ascii="宋体" w:hAnsi="宋体" w:eastAsia="宋体" w:cs="宋体"/>
                <w:b w:val="0"/>
                <w:bCs w:val="0"/>
                <w:color w:val="auto"/>
                <w:sz w:val="24"/>
                <w:szCs w:val="24"/>
                <w:lang w:val="en-US" w:eastAsia="zh-CN"/>
              </w:rPr>
              <w:t>ZS001</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pPr>
              <w:keepNext w:val="0"/>
              <w:keepLines w:val="0"/>
              <w:suppressLineNumbers w:val="0"/>
              <w:snapToGrid w:val="0"/>
              <w:spacing w:before="0" w:beforeAutospacing="0" w:after="0" w:afterAutospacing="0"/>
              <w:ind w:left="0" w:right="0"/>
              <w:contextualSpacing/>
              <w:jc w:val="center"/>
              <w:rPr>
                <w:rFonts w:hint="default" w:ascii="宋体" w:hAnsi="宋体" w:eastAsia="宋体" w:cs="宋体"/>
                <w:sz w:val="24"/>
                <w:szCs w:val="24"/>
                <w:lang w:val="en-US" w:eastAsia="zh-CN"/>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南</w:t>
            </w:r>
            <w:r>
              <w:rPr>
                <w:rFonts w:hint="eastAsia" w:ascii="宋体" w:hAnsi="宋体" w:eastAsia="宋体" w:cs="宋体"/>
                <w:b w:val="0"/>
                <w:bCs w:val="0"/>
                <w:color w:val="auto"/>
                <w:sz w:val="24"/>
                <w:szCs w:val="24"/>
                <w:lang w:val="en-US" w:eastAsia="zh-CN"/>
              </w:rPr>
              <w:t>ZS002</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西</w:t>
            </w:r>
            <w:r>
              <w:rPr>
                <w:rFonts w:hint="eastAsia" w:ascii="宋体" w:hAnsi="宋体" w:eastAsia="宋体" w:cs="宋体"/>
                <w:b w:val="0"/>
                <w:bCs w:val="0"/>
                <w:color w:val="auto"/>
                <w:sz w:val="24"/>
                <w:szCs w:val="24"/>
                <w:lang w:val="en-US" w:eastAsia="zh-CN"/>
              </w:rPr>
              <w:t>ZS003</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北</w:t>
            </w:r>
            <w:r>
              <w:rPr>
                <w:rFonts w:hint="eastAsia" w:ascii="宋体" w:hAnsi="宋体" w:eastAsia="宋体" w:cs="宋体"/>
                <w:b w:val="0"/>
                <w:bCs w:val="0"/>
                <w:color w:val="auto"/>
                <w:sz w:val="24"/>
                <w:szCs w:val="24"/>
                <w:lang w:val="en-US" w:eastAsia="zh-CN"/>
              </w:rPr>
              <w:t>ZS004</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bookmarkEnd w:id="1"/>
    </w:tbl>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eastAsia="zh-CN"/>
        </w:rPr>
        <w:t>企业在线监测设备信息</w:t>
      </w: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自动监测设备</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1715"/>
        <w:gridCol w:w="805"/>
        <w:gridCol w:w="63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监测设备名称</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型号</w:t>
            </w:r>
          </w:p>
        </w:tc>
        <w:tc>
          <w:tcPr>
            <w:tcW w:w="80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数量</w:t>
            </w:r>
          </w:p>
        </w:tc>
        <w:tc>
          <w:tcPr>
            <w:tcW w:w="6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单位</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rPr>
              <w:t>氨氮在线监测设备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NA8000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sc200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rPr>
              <w:t>总磷总氮在线监测设备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NPW160H</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rPr>
              <w:t>COD在线监测设备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CODMaxll</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进水</w:t>
            </w:r>
            <w:r>
              <w:rPr>
                <w:rFonts w:hint="eastAsia" w:ascii="宋体" w:hAnsi="宋体" w:eastAsia="宋体" w:cs="宋体"/>
                <w:b w:val="0"/>
                <w:bCs w:val="0"/>
                <w:color w:val="auto"/>
                <w:sz w:val="24"/>
                <w:szCs w:val="24"/>
              </w:rPr>
              <w:t>氨氮在线监测设备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NA8000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进水</w:t>
            </w:r>
            <w:r>
              <w:rPr>
                <w:rFonts w:hint="eastAsia" w:ascii="宋体" w:hAnsi="宋体" w:eastAsia="宋体" w:cs="宋体"/>
                <w:b w:val="0"/>
                <w:bCs w:val="0"/>
                <w:color w:val="auto"/>
                <w:sz w:val="24"/>
                <w:szCs w:val="24"/>
              </w:rPr>
              <w:t>COD在线监测设备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CODMaxll</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进水</w:t>
            </w: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sc200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进水流量计</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仿宋_GB2312" w:hAnsi="Times New Roman" w:eastAsia="仿宋_GB2312" w:cs="Times New Roman"/>
                <w:color w:val="auto"/>
                <w:kern w:val="2"/>
                <w:sz w:val="24"/>
                <w:szCs w:val="24"/>
                <w:lang w:val="en-US" w:eastAsia="zh-CN" w:bidi="ar"/>
              </w:rPr>
              <w:t>DN800</w:t>
            </w:r>
          </w:p>
        </w:tc>
        <w:tc>
          <w:tcPr>
            <w:tcW w:w="805" w:type="dxa"/>
          </w:tcPr>
          <w:p>
            <w:pPr>
              <w:keepNext w:val="0"/>
              <w:keepLines w:val="0"/>
              <w:pageBreakBefore w:val="0"/>
              <w:kinsoku/>
              <w:wordWrap/>
              <w:overflowPunct/>
              <w:topLinePunct w:val="0"/>
              <w:autoSpaceDE/>
              <w:autoSpaceDN/>
              <w:bidi w:val="0"/>
              <w:spacing w:line="240" w:lineRule="auto"/>
              <w:rPr>
                <w:rFonts w:hint="default"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ascii="宋体" w:hAnsi="宋体" w:eastAsia="宋体" w:cs="宋体"/>
                <w:sz w:val="24"/>
                <w:szCs w:val="24"/>
              </w:rPr>
              <w:t>威尔泰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进水流量计</w:t>
            </w:r>
          </w:p>
        </w:tc>
        <w:tc>
          <w:tcPr>
            <w:tcW w:w="1715" w:type="dxa"/>
          </w:tcPr>
          <w:p>
            <w:pPr>
              <w:keepNext w:val="0"/>
              <w:keepLines w:val="0"/>
              <w:pageBreakBefore w:val="0"/>
              <w:kinsoku/>
              <w:wordWrap/>
              <w:overflowPunct/>
              <w:topLinePunct w:val="0"/>
              <w:autoSpaceDE/>
              <w:autoSpaceDN/>
              <w:bidi w:val="0"/>
              <w:spacing w:line="240" w:lineRule="auto"/>
              <w:rPr>
                <w:rFonts w:hint="eastAsia"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OPTIFLUX2050W  DN700PN10</w:t>
            </w:r>
          </w:p>
        </w:tc>
        <w:tc>
          <w:tcPr>
            <w:tcW w:w="805" w:type="dxa"/>
          </w:tcPr>
          <w:p>
            <w:pPr>
              <w:keepNext w:val="0"/>
              <w:keepLines w:val="0"/>
              <w:pageBreakBefore w:val="0"/>
              <w:kinsoku/>
              <w:wordWrap/>
              <w:overflowPunct/>
              <w:topLinePunct w:val="0"/>
              <w:autoSpaceDE/>
              <w:autoSpaceDN/>
              <w:bidi w:val="0"/>
              <w:spacing w:line="240" w:lineRule="auto"/>
              <w:rPr>
                <w:rFonts w:hint="default"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ascii="宋体" w:hAnsi="宋体" w:eastAsia="宋体" w:cs="宋体"/>
                <w:sz w:val="24"/>
                <w:szCs w:val="24"/>
              </w:rPr>
            </w:pPr>
            <w:r>
              <w:rPr>
                <w:rFonts w:ascii="宋体" w:hAnsi="宋体" w:eastAsia="宋体" w:cs="宋体"/>
                <w:sz w:val="24"/>
                <w:szCs w:val="24"/>
              </w:rPr>
              <w:t>科隆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出水流量计</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仿宋_GB2312" w:hAnsi="Times New Roman" w:eastAsia="仿宋_GB2312" w:cs="Times New Roman"/>
                <w:color w:val="auto"/>
                <w:kern w:val="2"/>
                <w:sz w:val="24"/>
                <w:szCs w:val="24"/>
                <w:lang w:val="en-US" w:eastAsia="zh-CN" w:bidi="ar"/>
              </w:rPr>
              <w:t>OPTIFLUX2050W  DN1000PN10</w:t>
            </w:r>
          </w:p>
        </w:tc>
        <w:tc>
          <w:tcPr>
            <w:tcW w:w="805" w:type="dxa"/>
          </w:tcPr>
          <w:p>
            <w:pPr>
              <w:keepNext w:val="0"/>
              <w:keepLines w:val="0"/>
              <w:pageBreakBefore w:val="0"/>
              <w:kinsoku/>
              <w:wordWrap/>
              <w:overflowPunct/>
              <w:topLinePunct w:val="0"/>
              <w:autoSpaceDE/>
              <w:autoSpaceDN/>
              <w:bidi w:val="0"/>
              <w:spacing w:line="240" w:lineRule="auto"/>
              <w:rPr>
                <w:rFonts w:hint="default"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ascii="宋体" w:hAnsi="宋体" w:eastAsia="宋体" w:cs="宋体"/>
                <w:sz w:val="24"/>
                <w:szCs w:val="24"/>
              </w:rPr>
              <w:t>科隆</w:t>
            </w:r>
          </w:p>
        </w:tc>
      </w:tr>
    </w:tbl>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手工监测设备</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1434"/>
        <w:gridCol w:w="15"/>
        <w:gridCol w:w="795"/>
        <w:gridCol w:w="732"/>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监测设备名称</w:t>
            </w:r>
          </w:p>
        </w:tc>
        <w:tc>
          <w:tcPr>
            <w:tcW w:w="14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型号</w:t>
            </w:r>
          </w:p>
        </w:tc>
        <w:tc>
          <w:tcPr>
            <w:tcW w:w="810" w:type="dxa"/>
            <w:gridSpan w:val="2"/>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数量</w:t>
            </w:r>
          </w:p>
        </w:tc>
        <w:tc>
          <w:tcPr>
            <w:tcW w:w="732"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单位</w:t>
            </w:r>
          </w:p>
        </w:tc>
        <w:tc>
          <w:tcPr>
            <w:tcW w:w="274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生化培养箱</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SPX-100B-Z</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上海博迅医疗生物仪器股份有限公司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高温灭菌器</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BXM-300P</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w:t>
            </w:r>
            <w:r>
              <w:rPr>
                <w:rFonts w:hint="eastAsia" w:ascii="宋体" w:hAnsi="宋体" w:eastAsia="宋体" w:cs="宋体"/>
                <w:b w:val="0"/>
                <w:bCs w:val="0"/>
                <w:i w:val="0"/>
                <w:color w:val="auto"/>
                <w:kern w:val="0"/>
                <w:sz w:val="21"/>
                <w:szCs w:val="21"/>
                <w:u w:val="none"/>
                <w:lang w:val="en-US" w:eastAsia="zh-CN" w:bidi="ar"/>
              </w:rPr>
              <w:t>博迅实业有限公司医疗设备厂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COD消解装置</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6B-6C</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江苏盛</w:t>
            </w:r>
            <w:r>
              <w:rPr>
                <w:rFonts w:ascii="宋体" w:hAnsi="宋体" w:eastAsia="宋体" w:cs="宋体"/>
                <w:color w:val="auto"/>
                <w:sz w:val="21"/>
                <w:szCs w:val="21"/>
              </w:rPr>
              <w:t>奥华</w:t>
            </w:r>
            <w:r>
              <w:rPr>
                <w:rFonts w:hint="eastAsia" w:ascii="宋体" w:hAnsi="宋体" w:eastAsia="宋体" w:cs="宋体"/>
                <w:color w:val="auto"/>
                <w:sz w:val="21"/>
                <w:szCs w:val="21"/>
                <w:lang w:eastAsia="zh-CN"/>
              </w:rPr>
              <w:t>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显微镜（带电子镜头）</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XSP-2CA</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上海光学仪器六厂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紫外可见光光度计</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752</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上海现科分光仪器有限公司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万分之一分析天平</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FA2104</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w:t>
            </w:r>
            <w:r>
              <w:rPr>
                <w:rFonts w:ascii="宋体" w:hAnsi="宋体" w:eastAsia="宋体" w:cs="宋体"/>
                <w:color w:val="auto"/>
                <w:sz w:val="21"/>
                <w:szCs w:val="21"/>
              </w:rPr>
              <w:t>良平</w:t>
            </w:r>
            <w:r>
              <w:rPr>
                <w:rFonts w:hint="eastAsia" w:ascii="宋体" w:hAnsi="宋体" w:eastAsia="宋体" w:cs="宋体"/>
                <w:color w:val="auto"/>
                <w:sz w:val="21"/>
                <w:szCs w:val="21"/>
                <w:lang w:eastAsia="zh-CN"/>
              </w:rPr>
              <w:t>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电热恒温干燥箱</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DAG-9202-1</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pH计</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PHS-3C</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上海仪电科技股份有限公司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箱式电阻炉</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SXZ</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龙口市文太电炉制造有限公司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超纯水机</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FST-JV-20</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上海富诗特仪器有限公司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sz w:val="21"/>
                <w:szCs w:val="21"/>
              </w:rPr>
              <w:t>千分之一天平</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ascii="宋体" w:hAnsi="宋体" w:eastAsia="宋体" w:cs="宋体"/>
                <w:sz w:val="21"/>
                <w:szCs w:val="21"/>
              </w:rPr>
              <w:t>JA2003N</w:t>
            </w:r>
          </w:p>
        </w:tc>
        <w:tc>
          <w:tcPr>
            <w:tcW w:w="795"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ascii="宋体" w:hAnsi="宋体" w:eastAsia="宋体" w:cs="宋体"/>
                <w:sz w:val="21"/>
                <w:szCs w:val="21"/>
              </w:rPr>
              <w:t>上海佑科仪器仪表有限</w:t>
            </w:r>
            <w:r>
              <w:rPr>
                <w:rFonts w:hint="eastAsia" w:ascii="宋体" w:hAnsi="宋体" w:eastAsia="宋体" w:cs="宋体"/>
                <w:sz w:val="21"/>
                <w:szCs w:val="21"/>
                <w:lang w:eastAsia="zh-CN"/>
              </w:rPr>
              <w:t>公司</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企业治理设施</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8"/>
          <w:szCs w:val="28"/>
          <w:lang w:val="zh-CN" w:eastAsia="zh-CN" w:bidi="ar-SA"/>
        </w:rPr>
      </w:pPr>
      <w:r>
        <w:rPr>
          <w:rFonts w:hint="eastAsia" w:ascii="宋体" w:hAnsi="宋体" w:eastAsia="宋体" w:cs="宋体"/>
          <w:b w:val="0"/>
          <w:bCs w:val="0"/>
          <w:color w:val="auto"/>
          <w:kern w:val="2"/>
          <w:sz w:val="28"/>
          <w:szCs w:val="28"/>
          <w:lang w:val="en-US" w:eastAsia="zh-CN" w:bidi="ar-SA"/>
        </w:rPr>
        <w:t>1.</w:t>
      </w:r>
      <w:r>
        <w:rPr>
          <w:rFonts w:hint="eastAsia" w:ascii="宋体" w:hAnsi="宋体" w:eastAsia="宋体" w:cs="宋体"/>
          <w:b w:val="0"/>
          <w:bCs w:val="0"/>
          <w:color w:val="auto"/>
          <w:kern w:val="2"/>
          <w:sz w:val="28"/>
          <w:szCs w:val="28"/>
          <w:lang w:val="zh-CN" w:eastAsia="zh-CN" w:bidi="ar-SA"/>
        </w:rPr>
        <w:t>废气治理设施</w:t>
      </w:r>
    </w:p>
    <w:tbl>
      <w:tblPr>
        <w:tblStyle w:val="9"/>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790"/>
        <w:gridCol w:w="196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279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所在排放设备</w:t>
            </w:r>
          </w:p>
        </w:tc>
        <w:tc>
          <w:tcPr>
            <w:tcW w:w="196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设施类别</w:t>
            </w:r>
          </w:p>
        </w:tc>
        <w:tc>
          <w:tcPr>
            <w:tcW w:w="187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恶臭气体处理</w:t>
            </w:r>
            <w:r>
              <w:rPr>
                <w:rStyle w:val="10"/>
                <w:rFonts w:hint="eastAsia" w:ascii="宋体" w:hAnsi="宋体" w:eastAsia="宋体" w:cs="宋体"/>
                <w:b w:val="0"/>
                <w:bCs w:val="0"/>
                <w:color w:val="auto"/>
                <w:kern w:val="2"/>
                <w:sz w:val="24"/>
                <w:szCs w:val="24"/>
                <w:lang w:val="en-US" w:eastAsia="zh-CN" w:bidi="ar-SA"/>
              </w:rPr>
              <w:t>DA001</w:t>
            </w:r>
          </w:p>
        </w:tc>
        <w:tc>
          <w:tcPr>
            <w:tcW w:w="279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生物土壤滤池，风机含进出口软连接、隔音罩、电气控制柜等材料。生物土壤滤池含布气系统、生物土壤滤池填料、喷淋系统（雨乌控制器、电磁阀、喷头、PPR连接管）等材料</w:t>
            </w:r>
          </w:p>
        </w:tc>
        <w:tc>
          <w:tcPr>
            <w:tcW w:w="1965" w:type="dxa"/>
          </w:tcPr>
          <w:p>
            <w:pPr>
              <w:pStyle w:val="17"/>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生物</w:t>
            </w:r>
            <w:r>
              <w:rPr>
                <w:rFonts w:ascii="宋体" w:hAnsi="宋体" w:eastAsia="宋体" w:cs="宋体"/>
                <w:color w:val="auto"/>
                <w:sz w:val="24"/>
                <w:szCs w:val="24"/>
              </w:rPr>
              <w:t>土壤</w:t>
            </w:r>
            <w:r>
              <w:rPr>
                <w:rFonts w:hint="eastAsia" w:ascii="宋体" w:hAnsi="宋体" w:eastAsia="宋体" w:cs="宋体"/>
                <w:b w:val="0"/>
                <w:bCs w:val="0"/>
                <w:color w:val="auto"/>
                <w:sz w:val="24"/>
                <w:szCs w:val="24"/>
                <w:lang w:val="en-US" w:eastAsia="zh-CN"/>
              </w:rPr>
              <w:t>滤池</w:t>
            </w:r>
            <w:r>
              <w:rPr>
                <w:rFonts w:ascii="宋体" w:hAnsi="宋体" w:eastAsia="宋体" w:cs="宋体"/>
                <w:color w:val="auto"/>
                <w:sz w:val="24"/>
                <w:szCs w:val="24"/>
              </w:rPr>
              <w:t>除臭</w:t>
            </w:r>
            <w:r>
              <w:rPr>
                <w:rFonts w:hint="eastAsia" w:ascii="宋体" w:hAnsi="宋体" w:cs="宋体"/>
                <w:color w:val="auto"/>
                <w:sz w:val="24"/>
                <w:szCs w:val="24"/>
                <w:lang w:eastAsia="zh-CN"/>
              </w:rPr>
              <w:t>方法处理</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p>
        </w:tc>
        <w:tc>
          <w:tcPr>
            <w:tcW w:w="1875" w:type="dxa"/>
          </w:tcPr>
          <w:p>
            <w:pPr>
              <w:pStyle w:val="17"/>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生物</w:t>
            </w:r>
            <w:r>
              <w:rPr>
                <w:rFonts w:ascii="宋体" w:hAnsi="宋体" w:eastAsia="宋体" w:cs="宋体"/>
                <w:color w:val="auto"/>
                <w:sz w:val="24"/>
                <w:szCs w:val="24"/>
              </w:rPr>
              <w:t>土壤除臭</w:t>
            </w:r>
            <w:r>
              <w:rPr>
                <w:rFonts w:hint="eastAsia" w:ascii="宋体" w:hAnsi="宋体" w:cs="宋体"/>
                <w:color w:val="auto"/>
                <w:sz w:val="24"/>
                <w:szCs w:val="24"/>
                <w:lang w:eastAsia="zh-CN"/>
              </w:rPr>
              <w:t>方法处理</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根据各厂实际情况填写</w:t>
            </w:r>
          </w:p>
        </w:tc>
        <w:tc>
          <w:tcPr>
            <w:tcW w:w="279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p>
        </w:tc>
        <w:tc>
          <w:tcPr>
            <w:tcW w:w="196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p>
        </w:tc>
        <w:tc>
          <w:tcPr>
            <w:tcW w:w="187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p>
        </w:tc>
      </w:tr>
    </w:tbl>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废水治理设施</w:t>
      </w:r>
    </w:p>
    <w:tbl>
      <w:tblPr>
        <w:tblStyle w:val="9"/>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020"/>
        <w:gridCol w:w="1875"/>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处理方法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处理能力</w:t>
            </w:r>
          </w:p>
        </w:tc>
        <w:tc>
          <w:tcPr>
            <w:tcW w:w="286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粗格栅、细格栅、沉砂池、氧化沟、配水井、二沉池</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物理处理法+生物处理法+化学处理法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4万吨/日</w:t>
            </w:r>
          </w:p>
        </w:tc>
        <w:tc>
          <w:tcPr>
            <w:tcW w:w="286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采用</w:t>
            </w:r>
            <w:r>
              <w:rPr>
                <w:rFonts w:hint="eastAsia" w:ascii="宋体" w:hAnsi="宋体" w:eastAsia="宋体" w:cs="宋体"/>
                <w:b w:val="0"/>
                <w:bCs w:val="0"/>
                <w:color w:val="auto"/>
                <w:sz w:val="24"/>
                <w:szCs w:val="24"/>
                <w:u w:val="none"/>
              </w:rPr>
              <w:t>改良型卡式氧化沟</w:t>
            </w:r>
            <w:r>
              <w:rPr>
                <w:rFonts w:hint="eastAsia" w:ascii="宋体" w:hAnsi="宋体" w:eastAsia="宋体" w:cs="宋体"/>
                <w:b w:val="0"/>
                <w:bCs w:val="0"/>
                <w:color w:val="auto"/>
                <w:sz w:val="24"/>
                <w:szCs w:val="24"/>
                <w:u w:val="none"/>
                <w:lang w:val="en-US" w:eastAsia="zh-CN"/>
              </w:rPr>
              <w:t>+高效磁混凝池+反硝化深</w:t>
            </w:r>
            <w:r>
              <w:rPr>
                <w:rFonts w:hint="eastAsia" w:ascii="宋体" w:hAnsi="宋体" w:eastAsia="宋体" w:cs="宋体"/>
                <w:color w:val="auto"/>
                <w:sz w:val="24"/>
                <w:szCs w:val="24"/>
              </w:rPr>
              <w:t>床</w:t>
            </w:r>
            <w:r>
              <w:rPr>
                <w:rFonts w:hint="eastAsia" w:ascii="宋体" w:hAnsi="宋体" w:eastAsia="宋体" w:cs="宋体"/>
                <w:color w:val="auto"/>
                <w:sz w:val="24"/>
                <w:szCs w:val="24"/>
                <w:lang w:eastAsia="zh-CN"/>
              </w:rPr>
              <w:t>滤池</w:t>
            </w:r>
            <w:r>
              <w:rPr>
                <w:rFonts w:hint="eastAsia" w:ascii="宋体" w:hAnsi="宋体" w:eastAsia="宋体" w:cs="宋体"/>
                <w:b w:val="0"/>
                <w:bCs w:val="0"/>
                <w:color w:val="auto"/>
                <w:sz w:val="24"/>
                <w:szCs w:val="24"/>
                <w:u w:val="none"/>
                <w:lang w:val="en-US" w:eastAsia="zh-CN"/>
              </w:rPr>
              <w:t>+次氯酸钠消毒+</w:t>
            </w:r>
            <w:r>
              <w:rPr>
                <w:rFonts w:hint="eastAsia" w:ascii="宋体" w:hAnsi="宋体" w:eastAsia="宋体" w:cs="宋体"/>
                <w:color w:val="auto"/>
                <w:sz w:val="24"/>
                <w:szCs w:val="24"/>
              </w:rPr>
              <w:t>污泥浓缩</w:t>
            </w:r>
            <w:r>
              <w:rPr>
                <w:rFonts w:hint="eastAsia" w:ascii="宋体" w:hAnsi="宋体" w:eastAsia="宋体" w:cs="宋体"/>
                <w:color w:val="auto"/>
                <w:sz w:val="24"/>
                <w:szCs w:val="24"/>
                <w:lang w:eastAsia="zh-CN"/>
              </w:rPr>
              <w:t>板框</w:t>
            </w:r>
            <w:r>
              <w:rPr>
                <w:rFonts w:hint="eastAsia" w:ascii="宋体" w:hAnsi="宋体" w:eastAsia="宋体" w:cs="宋体"/>
                <w:color w:val="auto"/>
                <w:sz w:val="24"/>
                <w:szCs w:val="24"/>
              </w:rPr>
              <w:t>机房组成</w:t>
            </w:r>
          </w:p>
        </w:tc>
      </w:tr>
    </w:tbl>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六、样品采集和保存</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1、样品的采样按照《污水监测技术规范》HJ91.1-2019执行。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1.1采样时应保证采样点的位置准确。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1.2认真填写采样记录表，字迹应端正清晰，保证采样按时、准确、安全。</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1.3测定油类的水样，应在水面至水面下300 毫米采集柱状水样，并单独采样，全部用于测定。采样瓶不能用采集的水样冲洗。</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1.4测溶解氧、五日生化需氧量和有机污染物等项目时的水样，必须注满容器，不留空间，并用蒸馏水封口。</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1.5测定</w:t>
      </w:r>
      <w:r>
        <w:rPr>
          <w:rFonts w:hint="eastAsia" w:ascii="宋体" w:hAnsi="宋体"/>
          <w:sz w:val="28"/>
          <w:szCs w:val="28"/>
          <w:highlight w:val="none"/>
          <w:lang w:val="en-US" w:eastAsia="zh-CN"/>
        </w:rPr>
        <w:t>水温、pH值、色度、</w:t>
      </w:r>
      <w:r>
        <w:rPr>
          <w:rFonts w:hint="eastAsia" w:ascii="宋体" w:hAnsi="宋体"/>
          <w:sz w:val="28"/>
          <w:szCs w:val="28"/>
          <w:highlight w:val="none"/>
          <w:lang w:val="en-US"/>
        </w:rPr>
        <w:t>油类、五日生化需氧量、溶解氧、硫化物、余氯、粪大肠菌群、悬浮物、放射性等项目要单独采样。</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1.6在采样期间必须避免样品受到污染。应该考虑到所有可能的污染来源，必须采取适当的控制措施以避免污染。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2、样品的保存按照HJ91.1-2019执行。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2.2最大限度地防止容器及瓶塞对样品的污染。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2.3容器壁应易于清洗、处理，以减少如重金属或放射性核类的微量元素对容器的表面污染。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2.4容器或容器塞的化学和生物性质应该是惰性的，以防止容器与样品组分发生反应。如测氟时，水样不能贮于玻璃瓶中，因为玻璃与氟化物发生反应。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2.5防止容器吸收或吸附待测组分，引起待测组分浓度的变化。微量金属易于受这些因素的影响，其他如清洁剂、杀虫剂、磷酸盐同样也受到影响。</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3、地表水与废气的采集及保存方法</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3.1、地表水的采集按照《地表水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执行，采样方法按照以下要求执行。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3.1.1、</w:t>
      </w:r>
      <w:r>
        <w:rPr>
          <w:rFonts w:hint="eastAsia" w:ascii="宋体" w:hAnsi="宋体"/>
          <w:sz w:val="28"/>
          <w:szCs w:val="28"/>
          <w:highlight w:val="none"/>
        </w:rPr>
        <w:t>在同一监测断面分层采样时，应自上而下进行，避免不同层次水体混扰；</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3.1.2、</w:t>
      </w:r>
      <w:r>
        <w:rPr>
          <w:rFonts w:hint="eastAsia" w:ascii="宋体" w:hAnsi="宋体"/>
          <w:sz w:val="28"/>
          <w:szCs w:val="28"/>
          <w:highlight w:val="none"/>
        </w:rPr>
        <w:t>除标准分析方法有特殊要求的监测项目外，采样器、静置容器和样品瓶在使用前应先用水样分别荡洗2～3次；</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3.1.3、</w:t>
      </w:r>
      <w:r>
        <w:rPr>
          <w:rFonts w:hint="eastAsia" w:ascii="宋体" w:hAnsi="宋体"/>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3.1.4、</w:t>
      </w:r>
      <w:r>
        <w:rPr>
          <w:rFonts w:hint="eastAsia" w:ascii="宋体" w:hAnsi="宋体"/>
          <w:sz w:val="28"/>
          <w:szCs w:val="28"/>
          <w:highlight w:val="none"/>
        </w:rPr>
        <w:t>使用虹吸装置取上层不含沉降性固体的水样，移入样品瓶，虹吸装置进水尖嘴应保持插至水样表层50 mm以下位置。</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3.2、废气采集方法。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3.2.1、有组织排放废气采样</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3.2.1.1、采样位置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3.2.1.1.1、采样位置应避开对测试人员操作有危险的场所。</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3.2.1.1.3、测试现场空间位置有限，很难满足上述要求时，可选比较适宜的管段采样，但采样断面与弯头等的距离至少是气道直径的1.5倍。</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3.2.1.1.4、对气态污染物，由于混合比较均匀，其采样位置可不受上述规定限制，但应避开涡流区。如果同时测定排气流量，采样位置仍按3.2.1.1.2选取位置。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3.2.1.1.5、必要时应设置采样平台，采样平台应有足够的工作面积使工作人员安全、方便地操作。平台面积应不小于1.5m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，并设有高1.1 m的护栏和不低于10cm的脚部挡板，采样平台的承重应不小于200kg/m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，采样孔距平台面约为1.2m-1.3m。</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3.2.1.2、采样孔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3.2.1.2.1、在选定的测定位置上开设采样孔，采样孔的内径应不小于80毫米，采样孔管长应不大于50毫米，不使用时应用盖板、堵管或管帽封闭。当采样孔仅用于采集气态污染物时，其内径应不小于40毫米。</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3.2.1.2.2、对正压下输送高温或有毒气体的气道，应采用带有闸板阀的密封采样孔。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3.2.1.3、采样要求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.1、采样前检查气密性时要接干燥瓶，吸收瓶不能接以防倒吸。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.2、采样结束后，取下样品，将气体吸收装置进、出口密封，按相应项目的标准监测分析方法要求运送和保存待测样品。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.3、用超细玻璃纤维滤膜采样时，应对光线检查滤膜是否有损坏，如有损坏，停止使用。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.4、采集气体样品时，注意吸收瓶溶液的颜色，如果未采样已变色，则该样品作废。</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.6、向采样器中放置和取出滤膜时，应佩戴聚乙烯手套等实验室专用手套（和实验室人员称量滤膜所带的手套相同），使用无锯齿状镊子。</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.7、采样进气口必须暴露在空气中（箱体盖子可以不盖，几乎不影响吸收液温度）。</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.8、夏天仪器应尽量避免放置在太阳下暴晒，以防止吸收液蒸发，可将仪器放置于树荫处或适当遮盖。</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.9、采样器显示的气温和气压未经过校准，不能直接读取，现场气温、气压应由校准过的设备读取。</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.10、现场记录实况，标况需根据实况计算，实况和标况都要在原始记录中体现。</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.11、采样记录单上采样人员签字应为2人，其中1人为监督人员。</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3.2.2、</w:t>
      </w:r>
      <w:r>
        <w:rPr>
          <w:rFonts w:hint="eastAsia" w:ascii="宋体" w:hAnsi="宋体"/>
          <w:sz w:val="28"/>
          <w:szCs w:val="28"/>
          <w:highlight w:val="none"/>
        </w:rPr>
        <w:t>无组织废气采样按《</w:t>
      </w:r>
      <w:r>
        <w:rPr>
          <w:rFonts w:hint="eastAsia" w:ascii="宋体" w:hAnsi="宋体"/>
          <w:sz w:val="28"/>
          <w:szCs w:val="28"/>
          <w:highlight w:val="none"/>
          <w:lang w:val="en-US"/>
        </w:rPr>
        <w:t>大气污染物无组织排放监测技术导则</w:t>
      </w:r>
      <w:r>
        <w:rPr>
          <w:rFonts w:hint="eastAsia" w:ascii="宋体" w:hAnsi="宋体"/>
          <w:sz w:val="28"/>
          <w:szCs w:val="28"/>
          <w:highlight w:val="none"/>
        </w:rPr>
        <w:t>》HJ/T 55—2000执行。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3.3、</w:t>
      </w:r>
      <w:r>
        <w:rPr>
          <w:rFonts w:hint="eastAsia" w:ascii="宋体" w:hAnsi="宋体"/>
          <w:sz w:val="28"/>
          <w:szCs w:val="28"/>
          <w:highlight w:val="none"/>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保存方式</w:t>
            </w:r>
          </w:p>
        </w:tc>
      </w:tr>
      <w:tr>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采集后立即密封保存，尽量现场测定</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冷藏，避光</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Calibri" w:hAnsi="Calibri" w:eastAsia="宋体" w:cs="Calibri"/>
                <w:color w:val="000000"/>
                <w:sz w:val="24"/>
                <w:szCs w:val="24"/>
                <w:highlight w:val="none"/>
              </w:rPr>
            </w:pPr>
            <w:r>
              <w:rPr>
                <w:rFonts w:hint="default" w:ascii="Calibri" w:hAnsi="Calibri" w:eastAsia="宋体" w:cs="Calibri"/>
                <w:color w:val="000000"/>
                <w:kern w:val="0"/>
                <w:sz w:val="24"/>
                <w:szCs w:val="24"/>
                <w:highlight w:val="none"/>
              </w:rPr>
              <w:t>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5</w:t>
            </w:r>
            <w:r>
              <w:rPr>
                <w:rFonts w:hint="eastAsia" w:ascii="宋体" w:hAnsi="宋体" w:eastAsia="宋体" w:cs="宋体"/>
                <w:color w:val="000000"/>
                <w:kern w:val="0"/>
                <w:sz w:val="24"/>
                <w:szCs w:val="24"/>
                <w:highlight w:val="none"/>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用硫酸酸化，盐酸酸化至</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 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用 盐酸 酸化至 </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避光，尽量现场测定</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废气</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避光，室温</w:t>
            </w:r>
          </w:p>
        </w:tc>
      </w:tr>
    </w:tbl>
    <w:p>
      <w:pPr>
        <w:pStyle w:val="17"/>
        <w:spacing w:line="240" w:lineRule="auto"/>
        <w:ind w:firstLine="0" w:firstLineChars="0"/>
        <w:jc w:val="left"/>
        <w:outlineLvl w:val="1"/>
        <w:rPr>
          <w:rFonts w:hint="eastAsia" w:ascii="宋体" w:hAnsi="宋体"/>
          <w:sz w:val="28"/>
          <w:szCs w:val="28"/>
          <w:highlight w:val="none"/>
          <w:lang w:val="en-US"/>
        </w:rPr>
      </w:pPr>
    </w:p>
    <w:p>
      <w:pPr>
        <w:pStyle w:val="17"/>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rPr>
        <w:t>七、监测质量保证与质量控制措施</w:t>
      </w:r>
    </w:p>
    <w:p>
      <w:pPr>
        <w:pStyle w:val="17"/>
        <w:spacing w:line="240" w:lineRule="auto"/>
        <w:ind w:firstLine="0" w:firstLineChars="0"/>
        <w:jc w:val="left"/>
        <w:outlineLvl w:val="1"/>
        <w:rPr>
          <w:rFonts w:ascii="宋体" w:hAnsi="宋体"/>
          <w:sz w:val="28"/>
          <w:szCs w:val="28"/>
          <w:highlight w:val="none"/>
        </w:rPr>
      </w:pPr>
      <w:r>
        <w:rPr>
          <w:rFonts w:hint="eastAsia" w:ascii="宋体" w:hAnsi="宋体"/>
          <w:sz w:val="28"/>
          <w:szCs w:val="28"/>
          <w:highlight w:val="none"/>
        </w:rPr>
        <w:t>（一）污水厂化验室质量保证与控制措施</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1、质量保证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1.1、建立质量体系</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从事污水监测的监测人员、监测仪器与设备设施等按</w:t>
      </w:r>
      <w:r>
        <w:rPr>
          <w:rFonts w:hint="eastAsia" w:ascii="宋体" w:hAnsi="宋体"/>
          <w:sz w:val="28"/>
          <w:szCs w:val="28"/>
          <w:highlight w:val="none"/>
          <w:lang w:val="en-US"/>
        </w:rPr>
        <w:t xml:space="preserve">《检验检测机构资质认定能力评价 检验监测机构通用要求》RB/T 214-2017、《HJ </w:t>
      </w:r>
      <w:r>
        <w:rPr>
          <w:rFonts w:hint="eastAsia" w:ascii="宋体" w:hAnsi="宋体"/>
          <w:sz w:val="28"/>
          <w:szCs w:val="28"/>
          <w:highlight w:val="none"/>
        </w:rPr>
        <w:t>630、HJ/T 373</w:t>
      </w:r>
      <w:r>
        <w:rPr>
          <w:rFonts w:hint="eastAsia" w:ascii="宋体" w:hAnsi="宋体"/>
          <w:sz w:val="28"/>
          <w:szCs w:val="28"/>
          <w:highlight w:val="none"/>
          <w:lang w:val="en-US"/>
        </w:rPr>
        <w:t>》</w:t>
      </w:r>
      <w:r>
        <w:rPr>
          <w:rFonts w:hint="eastAsia" w:ascii="宋体" w:hAnsi="宋体"/>
          <w:sz w:val="28"/>
          <w:szCs w:val="28"/>
          <w:highlight w:val="none"/>
        </w:rPr>
        <w:t xml:space="preserve"> 等相关内容执行。</w:t>
      </w:r>
    </w:p>
    <w:p>
      <w:pPr>
        <w:pStyle w:val="17"/>
        <w:spacing w:line="240" w:lineRule="auto"/>
        <w:ind w:left="-420" w:leftChars="-200" w:firstLine="560"/>
        <w:outlineLvl w:val="1"/>
        <w:rPr>
          <w:rFonts w:hint="eastAsia" w:ascii="宋体" w:hAnsi="宋体" w:eastAsia="宋体"/>
          <w:sz w:val="28"/>
          <w:szCs w:val="28"/>
          <w:highlight w:val="none"/>
          <w:u w:val="single"/>
          <w:lang w:eastAsia="zh-CN"/>
        </w:rPr>
      </w:pPr>
      <w:r>
        <w:rPr>
          <w:rFonts w:hint="eastAsia" w:ascii="宋体" w:hAnsi="宋体"/>
          <w:sz w:val="28"/>
          <w:szCs w:val="28"/>
          <w:highlight w:val="none"/>
          <w:u w:val="single"/>
        </w:rPr>
        <w:t xml:space="preserve">污水厂检测人员: </w:t>
      </w:r>
      <w:r>
        <w:rPr>
          <w:rFonts w:ascii="宋体" w:hAnsi="宋体" w:eastAsia="宋体" w:cs="宋体"/>
          <w:sz w:val="30"/>
          <w:szCs w:val="30"/>
          <w:u w:val="single"/>
        </w:rPr>
        <w:t>肖琼、曾华华、陈艳</w:t>
      </w:r>
      <w:r>
        <w:rPr>
          <w:rFonts w:hint="eastAsia" w:ascii="宋体" w:hAnsi="宋体"/>
          <w:sz w:val="28"/>
          <w:szCs w:val="28"/>
          <w:highlight w:val="none"/>
          <w:u w:val="single"/>
          <w:lang w:eastAsia="zh-CN"/>
        </w:rPr>
        <w:t>。</w:t>
      </w:r>
    </w:p>
    <w:p>
      <w:pPr>
        <w:pStyle w:val="17"/>
        <w:spacing w:line="240" w:lineRule="auto"/>
        <w:ind w:left="-420" w:leftChars="-200" w:firstLine="560"/>
        <w:outlineLvl w:val="1"/>
        <w:rPr>
          <w:rFonts w:hint="default" w:ascii="宋体" w:hAnsi="宋体"/>
          <w:sz w:val="28"/>
          <w:szCs w:val="28"/>
          <w:highlight w:val="none"/>
          <w:u w:val="single"/>
          <w:lang w:val="en-US"/>
        </w:rPr>
      </w:pPr>
      <w:r>
        <w:rPr>
          <w:rFonts w:hint="eastAsia" w:ascii="宋体" w:hAnsi="宋体"/>
          <w:sz w:val="28"/>
          <w:szCs w:val="28"/>
          <w:highlight w:val="none"/>
          <w:u w:val="single"/>
        </w:rPr>
        <w:t>污水厂主要检测仪器与设备:</w:t>
      </w:r>
      <w:r>
        <w:rPr>
          <w:rFonts w:hint="eastAsia" w:ascii="宋体" w:hAnsi="宋体"/>
          <w:sz w:val="28"/>
          <w:szCs w:val="28"/>
          <w:highlight w:val="none"/>
          <w:u w:val="single"/>
          <w:lang w:eastAsia="zh-CN"/>
        </w:rPr>
        <w:t>紫外分光光度计、</w:t>
      </w:r>
      <w:r>
        <w:rPr>
          <w:rFonts w:hint="eastAsia" w:ascii="宋体" w:hAnsi="宋体" w:eastAsia="宋体" w:cs="宋体"/>
          <w:b w:val="0"/>
          <w:bCs w:val="0"/>
          <w:i w:val="0"/>
          <w:color w:val="auto"/>
          <w:kern w:val="0"/>
          <w:sz w:val="28"/>
          <w:szCs w:val="28"/>
          <w:highlight w:val="none"/>
          <w:u w:val="single"/>
          <w:lang w:val="en-US" w:eastAsia="zh-CN" w:bidi="ar"/>
        </w:rPr>
        <w:t>生化培养箱</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高温灭菌器</w:t>
      </w:r>
      <w:r>
        <w:rPr>
          <w:rFonts w:hint="eastAsia" w:ascii="宋体" w:hAnsi="宋体" w:cs="宋体"/>
          <w:b w:val="0"/>
          <w:bCs w:val="0"/>
          <w:i w:val="0"/>
          <w:color w:val="auto"/>
          <w:kern w:val="0"/>
          <w:sz w:val="28"/>
          <w:szCs w:val="28"/>
          <w:highlight w:val="none"/>
          <w:u w:val="single"/>
          <w:lang w:val="en-US" w:eastAsia="zh-CN" w:bidi="ar"/>
        </w:rPr>
        <w:t>、显微镜、COD快速消解仪、万分之一天平、Ph计、</w:t>
      </w:r>
      <w:r>
        <w:rPr>
          <w:rFonts w:hint="eastAsia" w:ascii="宋体" w:hAnsi="宋体" w:eastAsia="宋体" w:cs="宋体"/>
          <w:b w:val="0"/>
          <w:bCs w:val="0"/>
          <w:i w:val="0"/>
          <w:color w:val="auto"/>
          <w:kern w:val="0"/>
          <w:sz w:val="28"/>
          <w:szCs w:val="28"/>
          <w:highlight w:val="none"/>
          <w:u w:val="single"/>
          <w:lang w:val="en-US" w:eastAsia="zh-CN" w:bidi="ar"/>
        </w:rPr>
        <w:t>超纯水机</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磁力搅拌器</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箱式电阻炉</w:t>
      </w:r>
      <w:r>
        <w:rPr>
          <w:rFonts w:hint="eastAsia" w:ascii="宋体" w:hAnsi="宋体" w:cs="宋体"/>
          <w:b w:val="0"/>
          <w:bCs w:val="0"/>
          <w:i w:val="0"/>
          <w:color w:val="auto"/>
          <w:kern w:val="0"/>
          <w:sz w:val="28"/>
          <w:szCs w:val="28"/>
          <w:highlight w:val="none"/>
          <w:u w:val="single"/>
          <w:lang w:val="en-US" w:eastAsia="zh-CN" w:bidi="ar"/>
        </w:rPr>
        <w:t>、水温计。</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1.2、监测设施与环境</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公司</w:t>
      </w:r>
      <w:r>
        <w:rPr>
          <w:rFonts w:hint="eastAsia" w:ascii="宋体" w:hAnsi="宋体"/>
          <w:sz w:val="28"/>
          <w:szCs w:val="28"/>
          <w:highlight w:val="none"/>
          <w:lang w:val="en-US"/>
        </w:rPr>
        <w:t>具备</w:t>
      </w:r>
      <w:r>
        <w:rPr>
          <w:rFonts w:hint="eastAsia" w:ascii="宋体" w:hAnsi="宋体"/>
          <w:sz w:val="28"/>
          <w:szCs w:val="28"/>
          <w:highlight w:val="none"/>
        </w:rPr>
        <w:t>固定的适合开展检测工作的实验场所。配备了适合开展工作的设施及满足检测工作的需要的环境条件。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1.3</w:t>
      </w:r>
      <w:r>
        <w:rPr>
          <w:rFonts w:hint="eastAsia" w:ascii="宋体" w:hAnsi="宋体"/>
          <w:sz w:val="28"/>
          <w:szCs w:val="28"/>
          <w:highlight w:val="none"/>
        </w:rPr>
        <w:t>、监测仪器设备和实验试剂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1.4</w:t>
      </w:r>
      <w:r>
        <w:rPr>
          <w:rFonts w:hint="eastAsia" w:ascii="宋体" w:hAnsi="宋体"/>
          <w:sz w:val="28"/>
          <w:szCs w:val="28"/>
          <w:highlight w:val="none"/>
        </w:rPr>
        <w:t>、监测方法技术能力验证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按照国家标准分析方法要求，污水厂对检测能力范围内所有项目的检出限、精密度、准确度等指标进行了方法验证，验证结果均符合方法标准要求。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2.1、检测过程质量控制：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污水厂化验室的质控措施包括全程序空白样、平行样、加标回收或质控样的测定，以及仪器仪表的校准。具体措施如下：</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空白样：化验室对分析的所有污染因子实施全程序空白样，每批样品检测必带空白样检测，以屏蔽其他外在因子对水样分析结果造成影响；</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平行样：对厂部所有分析水样做平行样检测，以减少实验误差对水样结果的影响；</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加标回收或质控样：按检测规范要求，厂部会对检测的污染因子进行加标回收或者质控样品的测定，以验证实验结果的准确性；</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（二）第三方检测质量保证与质量控制措施</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1、质量保证：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1.1、对第三方的检测要求：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2</w:t>
      </w:r>
      <w:r>
        <w:rPr>
          <w:rFonts w:hint="eastAsia" w:ascii="宋体" w:hAnsi="宋体"/>
          <w:sz w:val="28"/>
          <w:szCs w:val="28"/>
          <w:highlight w:val="none"/>
          <w:lang w:val="en-US"/>
        </w:rPr>
        <w:t>、 拥有独立的专项检测实验室；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3</w:t>
      </w:r>
      <w:r>
        <w:rPr>
          <w:rFonts w:hint="eastAsia" w:ascii="宋体" w:hAnsi="宋体"/>
          <w:sz w:val="28"/>
          <w:szCs w:val="28"/>
          <w:highlight w:val="none"/>
          <w:lang w:val="en-US"/>
        </w:rPr>
        <w:t>、实验室有相关的内部质量控制管理和外部质量控制管理。</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4</w:t>
      </w:r>
      <w:r>
        <w:rPr>
          <w:rFonts w:hint="eastAsia" w:ascii="宋体" w:hAnsi="宋体"/>
          <w:sz w:val="28"/>
          <w:szCs w:val="28"/>
          <w:highlight w:val="none"/>
          <w:lang w:val="en-US"/>
        </w:rPr>
        <w:t>、 需配备实验所需的检测仪器；使用的仪器设备需定期进行检定合格和校准并符合相关要求。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5</w:t>
      </w:r>
      <w:r>
        <w:rPr>
          <w:rFonts w:hint="eastAsia" w:ascii="宋体" w:hAnsi="宋体"/>
          <w:sz w:val="28"/>
          <w:szCs w:val="28"/>
          <w:highlight w:val="none"/>
          <w:lang w:val="en-US"/>
        </w:rPr>
        <w:t>、按照《水质采样 样品的保存和管理技术规定》HJ493-2009规范要求，保障样品及时进入实验室；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6</w:t>
      </w:r>
      <w:r>
        <w:rPr>
          <w:rFonts w:hint="eastAsia" w:ascii="宋体" w:hAnsi="宋体"/>
          <w:sz w:val="28"/>
          <w:szCs w:val="28"/>
          <w:highlight w:val="none"/>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pPr>
        <w:pStyle w:val="17"/>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、第三方内部质量控制活动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2.1第三方</w:t>
      </w:r>
      <w:r>
        <w:rPr>
          <w:rFonts w:hint="eastAsia" w:ascii="宋体" w:hAnsi="宋体"/>
          <w:sz w:val="28"/>
          <w:szCs w:val="28"/>
          <w:highlight w:val="none"/>
        </w:rPr>
        <w:t>内部质量控制技术校核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（1）每次检测样品前均制作标准曲线或应用标准溶液校准标准曲线。</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（2）定期使用有证标准物质进行内部质量控制活动。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（3）使用相同或不同的方法进行重复检测。</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（4）分析一个样品的不同特性结果的相关性。</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（5）密码平行样品、加标样品检测等考核。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（6）对所得检测结果测量不确定度进行评定。</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（7）细菌检测培养基应用参考菌种进行灵敏度实验。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2.2第三方</w:t>
      </w:r>
      <w:r>
        <w:rPr>
          <w:rFonts w:hint="eastAsia" w:ascii="宋体" w:hAnsi="宋体"/>
          <w:sz w:val="28"/>
          <w:szCs w:val="28"/>
          <w:highlight w:val="none"/>
        </w:rPr>
        <w:t>内部质量控制计划</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（1）检测部根据质量控制计划，针对不同检测项目安排开展工作。</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（2）内部开展的一切质控活动的情况均应纳入每年的管理评审，进行评价。</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（3）档案管理员应按质量控制的计划，及时收集有关资料并编号归档保存。</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、委托方对第三方检测公司的质控措施</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.1、查看第三方检测公司的CMA资质，需有资质检测委托的相关项目，及相应检测报告、采样及样品流转、原始记录是否符合相关标准规范；</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.2、查看第三方检测公司CMA认证的实验室，是否配备有相应的仪器设备及人员，所采用的检测方法是否符合相应标准规范的要求；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.3、对第三方检测公司实施质控样盲样比对，频次是一年1-3次；</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.4、查看第三方检测公司对委托检测合同条款的履行情况。</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、检测及结果质量控制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.2、检验检测工作由培训合格的、有相关技术能力和专业背景，经本公司能力确认并由最高管理者授权的人员进行。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.3、使用定期进行检定合格和校准符合要求的仪器设备，用于检验检测活动。按计划开展仪器设备的期间核查工作，保持其原有状态，防止使用不符合技术规范要求的设备。</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.4、尽可能使用有证标准物质，按计划开展标准物质期间核查工作，确保相关检测的结果能够溯源到国家基准。</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.5、对影响检测结果的化学试剂等消耗品进行质量验证，保证其使用不影响最终检测结果和质量。</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.6、定期开展标准查新和更换，保证检测室现场使用的检测标准、作业指导书均为现行有效版本。</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.7、对现场环境条件及设施进行有效监控，保证环境条件和相关设施符合检验检测活动要求。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.8、检测部质量监督员对涉及检测结果的各项活动进行充分监督，尽可能运用统计技术对实验室的检测结果质量进行控制。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、检测报告质量控制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.1、检测报告编制人员、各级报告审查人员检查有关检测记录、检测方法、报告格式、结果判定是否满足要求，授权签字人对报告的正确性负责。</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.2、报告检查中，无论哪个环节发现问题，及时反馈，及时纠正，实现对报告质量的有效控制。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w:t>
      </w:r>
      <w:r>
        <w:rPr>
          <w:rFonts w:hint="eastAsia" w:ascii="宋体" w:hAnsi="宋体"/>
          <w:sz w:val="28"/>
          <w:szCs w:val="28"/>
          <w:highlight w:val="none"/>
          <w:lang w:val="en-US"/>
        </w:rPr>
        <w:t>五</w:t>
      </w:r>
      <w:r>
        <w:rPr>
          <w:rFonts w:hint="eastAsia" w:ascii="宋体" w:hAnsi="宋体"/>
          <w:sz w:val="28"/>
          <w:szCs w:val="28"/>
          <w:highlight w:val="none"/>
        </w:rPr>
        <w:t>）在线运维质量保证与质量控制措施</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台数据进行不少于一次的一致性比对、校准。</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1、运维技术要求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 水质自动分析仪按照 HJ-355 的要求定期进行自动标样核查和自动校准，自动标样核查结果应满足HJ-355表1要求。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、校验、比对试验和质控样测试工作要求。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.1必要时对设备进行量程漂移、零点漂移和重复性测试。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（1）</w:t>
      </w:r>
      <w:r>
        <w:rPr>
          <w:rFonts w:hint="eastAsia" w:ascii="宋体" w:hAnsi="宋体"/>
          <w:sz w:val="28"/>
          <w:szCs w:val="28"/>
          <w:highlight w:val="none"/>
          <w:lang w:val="en-US"/>
        </w:rPr>
        <w:t>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自动监测仪的量程漂移、零点漂移和重复性测试方法见HJ377-2019《化学需氧量（COD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）水质在线自动监测仪技术要求及检测方法》。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2</w:t>
      </w:r>
      <w:r>
        <w:rPr>
          <w:rFonts w:hint="eastAsia" w:ascii="宋体" w:hAnsi="宋体"/>
          <w:sz w:val="28"/>
          <w:szCs w:val="28"/>
          <w:highlight w:val="none"/>
        </w:rPr>
        <w:t>）</w:t>
      </w:r>
      <w:r>
        <w:rPr>
          <w:rFonts w:hint="eastAsia" w:ascii="宋体" w:hAnsi="宋体"/>
          <w:sz w:val="28"/>
          <w:szCs w:val="28"/>
          <w:highlight w:val="none"/>
          <w:lang w:val="en-US"/>
        </w:rPr>
        <w:t>氨氮自动监测仪的量程漂移、零点漂移和重复性测试方法详见HJ/T101-2019《氨氮水质在线自动监测仪技术要求及检测方法》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3</w:t>
      </w:r>
      <w:r>
        <w:rPr>
          <w:rFonts w:hint="eastAsia" w:ascii="宋体" w:hAnsi="宋体"/>
          <w:sz w:val="28"/>
          <w:szCs w:val="28"/>
          <w:highlight w:val="none"/>
        </w:rPr>
        <w:t>）</w:t>
      </w:r>
      <w:r>
        <w:rPr>
          <w:rFonts w:hint="eastAsia" w:ascii="宋体" w:hAnsi="宋体"/>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4</w:t>
      </w:r>
      <w:r>
        <w:rPr>
          <w:rFonts w:hint="eastAsia" w:ascii="宋体" w:hAnsi="宋体"/>
          <w:sz w:val="28"/>
          <w:szCs w:val="28"/>
          <w:highlight w:val="none"/>
        </w:rPr>
        <w:t>）</w:t>
      </w:r>
      <w:r>
        <w:rPr>
          <w:rFonts w:hint="eastAsia" w:ascii="宋体" w:hAnsi="宋体"/>
          <w:sz w:val="28"/>
          <w:szCs w:val="28"/>
          <w:highlight w:val="none"/>
          <w:lang w:val="en-US"/>
        </w:rPr>
        <w:t>操作参照各仪器使用说明书。</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3</w:t>
      </w:r>
      <w:r>
        <w:rPr>
          <w:rFonts w:hint="eastAsia" w:ascii="宋体" w:hAnsi="宋体"/>
          <w:sz w:val="28"/>
          <w:szCs w:val="28"/>
          <w:highlight w:val="none"/>
          <w:lang w:val="en-US"/>
        </w:rPr>
        <w:t>、与标准方法比对试验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除流量外，运维人员每月应对每个站点所有自动分析仪至少进行1次自动监测方法与实验室标准方法的比对试验，试验结果应满足HJ 355表1规定的要求。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4</w:t>
      </w:r>
      <w:r>
        <w:rPr>
          <w:rFonts w:hint="eastAsia" w:ascii="宋体" w:hAnsi="宋体"/>
          <w:sz w:val="28"/>
          <w:szCs w:val="28"/>
          <w:highlight w:val="none"/>
          <w:lang w:val="en-US"/>
        </w:rPr>
        <w:t>、质控样试验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highlight w:val="none"/>
          <w:lang w:val="en-US"/>
        </w:rPr>
        <w:t>排放标准浓度的质控样品，每种样品至少测定2次，质控样测定的相对误差不大于标准值的±10%。</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5</w:t>
      </w:r>
      <w:r>
        <w:rPr>
          <w:rFonts w:hint="eastAsia" w:ascii="宋体" w:hAnsi="宋体"/>
          <w:sz w:val="28"/>
          <w:szCs w:val="28"/>
          <w:highlight w:val="none"/>
          <w:lang w:val="en-US"/>
        </w:rPr>
        <w:t>、有效数据率</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、其他质量控制要求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.1应按照 HJ-91.1、HJ-493 以及本标准的相关要求对水样分析、自动监测实施质量控制。</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.2对某一时段、某些异常水样，应不定期进行平行监测、加密监测和留样比对试验。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.3水污染源在线监测仪器所使用的标准溶液应正确保存且经有证的标准样品验证合格后方可使用。</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 xml:space="preserve">八、监测信息公开 </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17"/>
        <w:spacing w:line="240" w:lineRule="auto"/>
        <w:ind w:left="-420" w:leftChars="-200" w:firstLine="560"/>
        <w:outlineLvl w:val="1"/>
        <w:rPr>
          <w:rFonts w:ascii="宋体" w:hAnsi="宋体"/>
          <w:sz w:val="28"/>
          <w:szCs w:val="28"/>
          <w:highlight w:val="none"/>
          <w:lang w:val="en-US"/>
        </w:rPr>
      </w:pPr>
    </w:p>
    <w:p>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highlight w:val="none"/>
          <w:lang w:val="zh-CN"/>
        </w:rPr>
      </w:pPr>
    </w:p>
    <w:p>
      <w:pPr>
        <w:pStyle w:val="17"/>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val="0"/>
          <w:bCs w:val="0"/>
          <w:sz w:val="28"/>
          <w:szCs w:val="28"/>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lang w:val="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FFFFFFF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F8550"/>
    <w:multiLevelType w:val="singleLevel"/>
    <w:tmpl w:val="CBCF8550"/>
    <w:lvl w:ilvl="0" w:tentative="0">
      <w:start w:val="1"/>
      <w:numFmt w:val="decimal"/>
      <w:lvlText w:val="%1."/>
      <w:lvlJc w:val="left"/>
      <w:pPr>
        <w:tabs>
          <w:tab w:val="left" w:pos="312"/>
        </w:tabs>
      </w:pPr>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abstractNum w:abstractNumId="2">
    <w:nsid w:val="066D4DCC"/>
    <w:multiLevelType w:val="singleLevel"/>
    <w:tmpl w:val="066D4DCC"/>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4OTM3OWI5MjExMjliNzkxNTQ4ZDM4MWI3ZjNlYTYifQ=="/>
  </w:docVars>
  <w:rsids>
    <w:rsidRoot w:val="00EF740B"/>
    <w:rsid w:val="00064DBF"/>
    <w:rsid w:val="00070C07"/>
    <w:rsid w:val="000B3138"/>
    <w:rsid w:val="0010023F"/>
    <w:rsid w:val="002408BC"/>
    <w:rsid w:val="00273D88"/>
    <w:rsid w:val="00275634"/>
    <w:rsid w:val="002D0D64"/>
    <w:rsid w:val="003F03DA"/>
    <w:rsid w:val="003F6058"/>
    <w:rsid w:val="00450A96"/>
    <w:rsid w:val="004D0C88"/>
    <w:rsid w:val="004F04D3"/>
    <w:rsid w:val="0050037C"/>
    <w:rsid w:val="00560BAE"/>
    <w:rsid w:val="00601C8E"/>
    <w:rsid w:val="00621748"/>
    <w:rsid w:val="006C7931"/>
    <w:rsid w:val="006F2CBE"/>
    <w:rsid w:val="00792FBB"/>
    <w:rsid w:val="00794811"/>
    <w:rsid w:val="007E24D0"/>
    <w:rsid w:val="007F2EDF"/>
    <w:rsid w:val="008A70AA"/>
    <w:rsid w:val="00932FB8"/>
    <w:rsid w:val="00B719C7"/>
    <w:rsid w:val="00BD1F19"/>
    <w:rsid w:val="00C159AC"/>
    <w:rsid w:val="00C57ED5"/>
    <w:rsid w:val="00D00C9C"/>
    <w:rsid w:val="00DB0F36"/>
    <w:rsid w:val="00DD56DD"/>
    <w:rsid w:val="00E23C7B"/>
    <w:rsid w:val="00E456A9"/>
    <w:rsid w:val="00EC7B5F"/>
    <w:rsid w:val="00ED02A3"/>
    <w:rsid w:val="00EF740B"/>
    <w:rsid w:val="00F06454"/>
    <w:rsid w:val="011B0B29"/>
    <w:rsid w:val="0154099A"/>
    <w:rsid w:val="01704772"/>
    <w:rsid w:val="01E31CBA"/>
    <w:rsid w:val="020A79D2"/>
    <w:rsid w:val="02551C86"/>
    <w:rsid w:val="028449B8"/>
    <w:rsid w:val="02D1668B"/>
    <w:rsid w:val="0477598D"/>
    <w:rsid w:val="04877EA0"/>
    <w:rsid w:val="06266329"/>
    <w:rsid w:val="06EE2A52"/>
    <w:rsid w:val="0814288D"/>
    <w:rsid w:val="0B96552F"/>
    <w:rsid w:val="0B9B31DD"/>
    <w:rsid w:val="0C060443"/>
    <w:rsid w:val="0D596A7F"/>
    <w:rsid w:val="0D860903"/>
    <w:rsid w:val="0E2A021A"/>
    <w:rsid w:val="0E7B0CD7"/>
    <w:rsid w:val="0ECB6B53"/>
    <w:rsid w:val="0EF171E1"/>
    <w:rsid w:val="0F522F87"/>
    <w:rsid w:val="10A2678D"/>
    <w:rsid w:val="10AE7BCF"/>
    <w:rsid w:val="10CA1840"/>
    <w:rsid w:val="11A65731"/>
    <w:rsid w:val="127E553F"/>
    <w:rsid w:val="12EE149E"/>
    <w:rsid w:val="13F65B75"/>
    <w:rsid w:val="1412393D"/>
    <w:rsid w:val="14784D62"/>
    <w:rsid w:val="15AA7120"/>
    <w:rsid w:val="166449AE"/>
    <w:rsid w:val="1AAD0BF0"/>
    <w:rsid w:val="1B745089"/>
    <w:rsid w:val="1BEC1597"/>
    <w:rsid w:val="1BF135A1"/>
    <w:rsid w:val="1C102EEE"/>
    <w:rsid w:val="1C151BE9"/>
    <w:rsid w:val="1C4A3676"/>
    <w:rsid w:val="1C521E1E"/>
    <w:rsid w:val="1D5C7E55"/>
    <w:rsid w:val="1EA5569B"/>
    <w:rsid w:val="1F1C6859"/>
    <w:rsid w:val="1F7E5EFF"/>
    <w:rsid w:val="1F8B5027"/>
    <w:rsid w:val="1F947EAF"/>
    <w:rsid w:val="1FB65DB1"/>
    <w:rsid w:val="2137341A"/>
    <w:rsid w:val="228D5DA8"/>
    <w:rsid w:val="22DE422B"/>
    <w:rsid w:val="23346E14"/>
    <w:rsid w:val="234F458F"/>
    <w:rsid w:val="23E31A2F"/>
    <w:rsid w:val="24025C54"/>
    <w:rsid w:val="2412732E"/>
    <w:rsid w:val="244637ED"/>
    <w:rsid w:val="257162D7"/>
    <w:rsid w:val="25FB75CA"/>
    <w:rsid w:val="26DB0B03"/>
    <w:rsid w:val="26FB520B"/>
    <w:rsid w:val="28EB5233"/>
    <w:rsid w:val="299F78B6"/>
    <w:rsid w:val="2A6D1328"/>
    <w:rsid w:val="2A8B7E3A"/>
    <w:rsid w:val="2A941233"/>
    <w:rsid w:val="2B8D7D27"/>
    <w:rsid w:val="2D0A596C"/>
    <w:rsid w:val="2EAE6EB3"/>
    <w:rsid w:val="2EB82888"/>
    <w:rsid w:val="2FDF16A6"/>
    <w:rsid w:val="30501245"/>
    <w:rsid w:val="30911CC0"/>
    <w:rsid w:val="30B6540E"/>
    <w:rsid w:val="31102277"/>
    <w:rsid w:val="31576CC8"/>
    <w:rsid w:val="31DE2022"/>
    <w:rsid w:val="32D3687B"/>
    <w:rsid w:val="338E6922"/>
    <w:rsid w:val="33D56E6C"/>
    <w:rsid w:val="34ED34A4"/>
    <w:rsid w:val="35EA3960"/>
    <w:rsid w:val="37D25FFE"/>
    <w:rsid w:val="38E30E42"/>
    <w:rsid w:val="39601FFC"/>
    <w:rsid w:val="397D3023"/>
    <w:rsid w:val="399A161F"/>
    <w:rsid w:val="3AD42B84"/>
    <w:rsid w:val="3B770892"/>
    <w:rsid w:val="3BBE7F07"/>
    <w:rsid w:val="3CB80047"/>
    <w:rsid w:val="3D7430F3"/>
    <w:rsid w:val="3E156D61"/>
    <w:rsid w:val="3F2355BB"/>
    <w:rsid w:val="40374EE0"/>
    <w:rsid w:val="41546F82"/>
    <w:rsid w:val="41E43E40"/>
    <w:rsid w:val="425A6618"/>
    <w:rsid w:val="42924C7D"/>
    <w:rsid w:val="429D1D92"/>
    <w:rsid w:val="42AC6944"/>
    <w:rsid w:val="437A6528"/>
    <w:rsid w:val="43F379C4"/>
    <w:rsid w:val="45F04FB3"/>
    <w:rsid w:val="463E2A0A"/>
    <w:rsid w:val="465C7164"/>
    <w:rsid w:val="467241DC"/>
    <w:rsid w:val="4694113E"/>
    <w:rsid w:val="46DD580B"/>
    <w:rsid w:val="47045DE6"/>
    <w:rsid w:val="483700F0"/>
    <w:rsid w:val="487B7E49"/>
    <w:rsid w:val="4890170F"/>
    <w:rsid w:val="49E80A45"/>
    <w:rsid w:val="4A1346BE"/>
    <w:rsid w:val="4A273C4D"/>
    <w:rsid w:val="4A940F59"/>
    <w:rsid w:val="4B0F37A9"/>
    <w:rsid w:val="4D391073"/>
    <w:rsid w:val="4D4C6310"/>
    <w:rsid w:val="4D8F0645"/>
    <w:rsid w:val="4E19415E"/>
    <w:rsid w:val="4E3E684C"/>
    <w:rsid w:val="4E9B6783"/>
    <w:rsid w:val="4F7E64BC"/>
    <w:rsid w:val="4FC87033"/>
    <w:rsid w:val="4FF14E3D"/>
    <w:rsid w:val="505815DA"/>
    <w:rsid w:val="50AC6875"/>
    <w:rsid w:val="51260EDF"/>
    <w:rsid w:val="51922196"/>
    <w:rsid w:val="522927F7"/>
    <w:rsid w:val="522D7EDE"/>
    <w:rsid w:val="52F16AC2"/>
    <w:rsid w:val="54247CBC"/>
    <w:rsid w:val="55BE7A5C"/>
    <w:rsid w:val="56C24BAF"/>
    <w:rsid w:val="58DC5138"/>
    <w:rsid w:val="59652919"/>
    <w:rsid w:val="59AC7302"/>
    <w:rsid w:val="5A066554"/>
    <w:rsid w:val="5BD14E4D"/>
    <w:rsid w:val="5D610DE5"/>
    <w:rsid w:val="5D896391"/>
    <w:rsid w:val="5DF417CA"/>
    <w:rsid w:val="5DFB2398"/>
    <w:rsid w:val="5E167788"/>
    <w:rsid w:val="5E5E2B95"/>
    <w:rsid w:val="5E932438"/>
    <w:rsid w:val="60916CAF"/>
    <w:rsid w:val="60954832"/>
    <w:rsid w:val="6265684A"/>
    <w:rsid w:val="632D2E85"/>
    <w:rsid w:val="63450CE0"/>
    <w:rsid w:val="634C29D0"/>
    <w:rsid w:val="638A7F05"/>
    <w:rsid w:val="64DA5BC8"/>
    <w:rsid w:val="650224CC"/>
    <w:rsid w:val="65C46ECA"/>
    <w:rsid w:val="66194291"/>
    <w:rsid w:val="67CE5394"/>
    <w:rsid w:val="67D2576D"/>
    <w:rsid w:val="68684D3C"/>
    <w:rsid w:val="686B5940"/>
    <w:rsid w:val="68B46A81"/>
    <w:rsid w:val="6914650B"/>
    <w:rsid w:val="6A104222"/>
    <w:rsid w:val="6AAF2569"/>
    <w:rsid w:val="6B882FFF"/>
    <w:rsid w:val="6BF93EB1"/>
    <w:rsid w:val="6CEE2469"/>
    <w:rsid w:val="6D1A27B8"/>
    <w:rsid w:val="6D2A4A4E"/>
    <w:rsid w:val="6D363EE7"/>
    <w:rsid w:val="6E4F2261"/>
    <w:rsid w:val="6F6639BD"/>
    <w:rsid w:val="6F9B6285"/>
    <w:rsid w:val="6FA43561"/>
    <w:rsid w:val="6FF129B5"/>
    <w:rsid w:val="700317FB"/>
    <w:rsid w:val="70BD0E5E"/>
    <w:rsid w:val="71B2527A"/>
    <w:rsid w:val="71FB452B"/>
    <w:rsid w:val="74193E88"/>
    <w:rsid w:val="744877CF"/>
    <w:rsid w:val="74C26DA2"/>
    <w:rsid w:val="75224124"/>
    <w:rsid w:val="75DA541D"/>
    <w:rsid w:val="75F62936"/>
    <w:rsid w:val="76D348AD"/>
    <w:rsid w:val="771A0787"/>
    <w:rsid w:val="77722C30"/>
    <w:rsid w:val="77824FE1"/>
    <w:rsid w:val="78EA354B"/>
    <w:rsid w:val="79C54946"/>
    <w:rsid w:val="7A0471E6"/>
    <w:rsid w:val="7AFC37E8"/>
    <w:rsid w:val="7B1C3799"/>
    <w:rsid w:val="7DC728FC"/>
    <w:rsid w:val="7E3075F1"/>
    <w:rsid w:val="7E644613"/>
    <w:rsid w:val="7FE9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185ECF"/>
      <w:u w:val="none"/>
    </w:rPr>
  </w:style>
  <w:style w:type="character" w:styleId="12">
    <w:name w:val="Emphasis"/>
    <w:basedOn w:val="10"/>
    <w:qFormat/>
    <w:uiPriority w:val="20"/>
    <w:rPr>
      <w:i/>
    </w:rPr>
  </w:style>
  <w:style w:type="character" w:styleId="13">
    <w:name w:val="Hyperlink"/>
    <w:basedOn w:val="10"/>
    <w:semiHidden/>
    <w:unhideWhenUsed/>
    <w:qFormat/>
    <w:uiPriority w:val="99"/>
    <w:rPr>
      <w:color w:val="185ECF"/>
      <w:u w:val="none"/>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A0正文"/>
    <w:basedOn w:val="1"/>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8">
    <w:name w:val="A标题2级"/>
    <w:basedOn w:val="3"/>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3"/>
    <w:semiHidden/>
    <w:qFormat/>
    <w:uiPriority w:val="9"/>
    <w:rPr>
      <w:rFonts w:asciiTheme="majorHAnsi" w:hAnsiTheme="majorHAnsi" w:eastAsiaTheme="majorEastAsia" w:cstheme="majorBidi"/>
      <w:b/>
      <w:bCs/>
      <w:sz w:val="32"/>
      <w:szCs w:val="32"/>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1">
    <w:name w:val="正文_23"/>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2"/>
    <w:qFormat/>
    <w:uiPriority w:val="0"/>
    <w:pPr>
      <w:widowControl w:val="0"/>
      <w:jc w:val="both"/>
    </w:pPr>
    <w:rPr>
      <w:rFonts w:ascii="Calibri" w:hAnsi="Calibri" w:eastAsia="宋体" w:cs="Times New Roman"/>
      <w:kern w:val="2"/>
      <w:sz w:val="21"/>
      <w:szCs w:val="20"/>
      <w:lang w:val="en-US" w:eastAsia="zh-CN" w:bidi="ar-SA"/>
    </w:rPr>
  </w:style>
  <w:style w:type="paragraph" w:customStyle="1" w:styleId="23">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qFormat/>
    <w:uiPriority w:val="0"/>
    <w:rPr>
      <w:rFonts w:hint="eastAsia" w:ascii="黑体" w:hAnsi="宋体" w:eastAsia="黑体" w:cs="黑体"/>
      <w:color w:val="000000"/>
      <w:sz w:val="21"/>
      <w:szCs w:val="21"/>
      <w:u w:val="none"/>
    </w:rPr>
  </w:style>
  <w:style w:type="character" w:customStyle="1" w:styleId="25">
    <w:name w:val="font51"/>
    <w:basedOn w:val="10"/>
    <w:qFormat/>
    <w:uiPriority w:val="0"/>
    <w:rPr>
      <w:rFonts w:hint="default" w:ascii="Arial" w:hAnsi="Arial" w:cs="Arial"/>
      <w:color w:val="000000"/>
      <w:sz w:val="19"/>
      <w:szCs w:val="19"/>
      <w:u w:val="none"/>
    </w:rPr>
  </w:style>
  <w:style w:type="character" w:customStyle="1" w:styleId="26">
    <w:name w:val="font41"/>
    <w:basedOn w:val="10"/>
    <w:qFormat/>
    <w:uiPriority w:val="0"/>
    <w:rPr>
      <w:rFonts w:hint="default" w:ascii="Arial" w:hAnsi="Arial" w:cs="Arial"/>
      <w:color w:val="333333"/>
      <w:sz w:val="19"/>
      <w:szCs w:val="19"/>
      <w:u w:val="none"/>
    </w:rPr>
  </w:style>
  <w:style w:type="character" w:customStyle="1" w:styleId="27">
    <w:name w:val="font61"/>
    <w:basedOn w:val="10"/>
    <w:qFormat/>
    <w:uiPriority w:val="0"/>
    <w:rPr>
      <w:rFonts w:hint="eastAsia" w:ascii="宋体" w:hAnsi="宋体" w:eastAsia="宋体" w:cs="宋体"/>
      <w:color w:val="333333"/>
      <w:sz w:val="19"/>
      <w:szCs w:val="19"/>
      <w:u w:val="none"/>
    </w:rPr>
  </w:style>
  <w:style w:type="character" w:customStyle="1" w:styleId="28">
    <w:name w:val="font31"/>
    <w:basedOn w:val="10"/>
    <w:qFormat/>
    <w:uiPriority w:val="0"/>
    <w:rPr>
      <w:rFonts w:hint="eastAsia" w:ascii="宋体" w:hAnsi="宋体" w:eastAsia="宋体" w:cs="宋体"/>
      <w:color w:val="000000"/>
      <w:sz w:val="21"/>
      <w:szCs w:val="21"/>
      <w:u w:val="none"/>
    </w:rPr>
  </w:style>
  <w:style w:type="character" w:customStyle="1" w:styleId="29">
    <w:name w:val="font71"/>
    <w:basedOn w:val="10"/>
    <w:qFormat/>
    <w:uiPriority w:val="0"/>
    <w:rPr>
      <w:rFonts w:ascii="等线" w:hAnsi="等线" w:eastAsia="等线" w:cs="等线"/>
      <w:color w:val="000000"/>
      <w:sz w:val="21"/>
      <w:szCs w:val="21"/>
      <w:u w:val="none"/>
    </w:rPr>
  </w:style>
  <w:style w:type="character" w:customStyle="1" w:styleId="30">
    <w:name w:val="font01"/>
    <w:basedOn w:val="10"/>
    <w:qFormat/>
    <w:uiPriority w:val="0"/>
    <w:rPr>
      <w:rFonts w:hint="eastAsia" w:ascii="宋体" w:hAnsi="宋体" w:eastAsia="宋体" w:cs="宋体"/>
      <w:color w:val="FF0000"/>
      <w:sz w:val="21"/>
      <w:szCs w:val="21"/>
      <w:u w:val="none"/>
    </w:rPr>
  </w:style>
  <w:style w:type="paragraph" w:customStyle="1" w:styleId="31">
    <w:name w:val="List Paragraph1"/>
    <w:basedOn w:val="1"/>
    <w:qFormat/>
    <w:uiPriority w:val="0"/>
    <w:pPr>
      <w:ind w:left="720"/>
    </w:pPr>
    <w:rPr>
      <w:rFonts w:ascii="Cambria" w:hAnsi="Cambria" w:eastAsia="Cambria"/>
      <w:sz w:val="22"/>
      <w:szCs w:val="22"/>
    </w:rPr>
  </w:style>
  <w:style w:type="paragraph" w:customStyle="1" w:styleId="32">
    <w:name w:val="列出段落1"/>
    <w:basedOn w:val="1"/>
    <w:qFormat/>
    <w:uiPriority w:val="0"/>
    <w:pPr>
      <w:ind w:left="720"/>
    </w:pPr>
    <w:rPr>
      <w:rFonts w:ascii="Cambria" w:hAnsi="Cambria" w:eastAsia="Cambria"/>
      <w:sz w:val="22"/>
      <w:szCs w:val="22"/>
    </w:rPr>
  </w:style>
  <w:style w:type="paragraph" w:customStyle="1" w:styleId="33">
    <w:name w:val="列出段落2"/>
    <w:basedOn w:val="1"/>
    <w:qFormat/>
    <w:uiPriority w:val="0"/>
    <w:pPr>
      <w:ind w:left="720"/>
    </w:pPr>
    <w:rPr>
      <w:rFonts w:ascii="Cambria" w:hAnsi="Cambria" w:eastAsia="Cambria"/>
      <w:sz w:val="22"/>
      <w:szCs w:val="22"/>
    </w:rPr>
  </w:style>
  <w:style w:type="character" w:customStyle="1" w:styleId="34">
    <w:name w:val="checkbox"/>
    <w:basedOn w:val="10"/>
    <w:qFormat/>
    <w:uiPriority w:val="0"/>
  </w:style>
  <w:style w:type="character" w:customStyle="1" w:styleId="35">
    <w:name w:val="shenbao"/>
    <w:basedOn w:val="10"/>
    <w:qFormat/>
    <w:uiPriority w:val="0"/>
    <w:rPr>
      <w:color w:val="EF6334"/>
    </w:rPr>
  </w:style>
  <w:style w:type="character" w:customStyle="1" w:styleId="36">
    <w:name w:val="chakan"/>
    <w:basedOn w:val="10"/>
    <w:qFormat/>
    <w:uiPriority w:val="0"/>
    <w:rPr>
      <w:color w:val="0064E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emf"/><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12431</Words>
  <Characters>15009</Characters>
  <Lines>22</Lines>
  <Paragraphs>6</Paragraphs>
  <TotalTime>7</TotalTime>
  <ScaleCrop>false</ScaleCrop>
  <LinksUpToDate>false</LinksUpToDate>
  <CharactersWithSpaces>15207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Administrator</cp:lastModifiedBy>
  <cp:lastPrinted>2022-06-23T03:57:00Z</cp:lastPrinted>
  <dcterms:modified xsi:type="dcterms:W3CDTF">2023-05-09T02:48:45Z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9DD88051B4E34042801C7D594DC57D68</vt:lpwstr>
  </property>
</Properties>
</file>